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F3864"/>
          <w:sz w:val="40"/>
          <w:szCs w:val="40"/>
        </w:rPr>
        <w:t xml:space="preserve">LAFROX</w:t>
      </w:r>
    </w:p>
    <w:p>
      <w:pPr>
        <w:pBdr>
          <w:bottom w:val="single" w:color="1F3864" w:sz="12" w:space="6"/>
        </w:pBdr>
        <w:spacing w:after="300"/>
      </w:pPr>
      <w:r>
        <w:rPr>
          <w:rFonts w:ascii="Calibri" w:cs="Calibri" w:eastAsia="Calibri" w:hAnsi="Calibri"/>
          <w:color w:val="595959"/>
          <w:sz w:val="20"/>
          <w:szCs w:val="20"/>
        </w:rPr>
        <w:t xml:space="preserve">Licitación N° TFEP-01/2026 · Caso 02 — Logística · Distribuidora Puelche S.A.</w:t>
      </w:r>
    </w:p>
    <w:p>
      <w:pPr>
        <w:spacing w:after="120"/>
      </w:pPr>
      <w:r>
        <w:rPr>
          <w:rFonts w:ascii="Calibri" w:cs="Calibri" w:eastAsia="Calibri" w:hAnsi="Calibri"/>
          <w:b/>
          <w:bCs/>
          <w:color w:val="000000"/>
          <w:sz w:val="34"/>
          <w:szCs w:val="34"/>
        </w:rPr>
        <w:t xml:space="preserve">Guion de la Presentación Preparatoria 1</w:t>
      </w:r>
    </w:p>
    <w:p>
      <w:pPr>
        <w:spacing w:after="300" w:before="0" w:line="276"/>
      </w:pPr>
      <w:r>
        <w:rPr>
          <w:rFonts w:ascii="Calibri" w:cs="Calibri" w:eastAsia="Calibri" w:hAnsi="Calibri"/>
          <w:color w:val="595959"/>
          <w:sz w:val="22"/>
          <w:szCs w:val="22"/>
        </w:rPr>
        <w:t xml:space="preserve">Agenda cerrada del Formulario T-22 · 30 diapositivas · 15:00 de exposición + 12:00 de preguntas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Soporte visual</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PRESENTACIÓN LAFROX 1 (Entrega 1) — 30 diapositivas, 16:9</w:t>
            </w:r>
          </w:p>
        </w:tc>
      </w:tr>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Base documental</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Entrega 1/ — subdocumentos 1, 2, 3, 4.1, 4.2, 5 y 13 (registro congelado)</w:t>
            </w:r>
          </w:p>
        </w:tc>
      </w:tr>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Instancia</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Presentación preparatoria 1 (T-20: 14-09 a 25-09-2026). Obligatoria: no presentar = quedar fuera del proceso (AA §1834)</w:t>
            </w:r>
          </w:p>
        </w:tc>
      </w:tr>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Ponderación</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Las presentaciones preparatorias pesan 10 % del puntaje final (AA §47.2, §62°)</w:t>
            </w:r>
          </w:p>
        </w:tc>
      </w:tr>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Duración</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Dos bloques: 15:00 de exposición (tiempos por diapositiva y acumulado) + 12:00 de preguntas de la Contraparte Técnica y de la CTRO</w:t>
            </w:r>
          </w:p>
        </w:tc>
      </w:tr>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Comisión</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Contraparte técnica del CLIENTE, acompañada por ARQUITECH como Comisión Técnica de Revisión de Ofertas (CTRO). La CTRO interviene en la instancia de preguntas; su revisión es formativa e insumo para el profesor, y se le da el mismo trato formal que al mandante</w:t>
            </w:r>
          </w:p>
        </w:tc>
      </w:tr>
      <w:tr>
        <w:tc>
          <w:tcPr>
            <w:tcW w:type="dxa" w:w="22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8"/>
                <w:szCs w:val="18"/>
              </w:rPr>
              <w:t xml:space="preserve">Ritmo de lectura</w:t>
            </w:r>
          </w:p>
        </w:tc>
        <w:tc>
          <w:tcPr>
            <w:tcW w:type="dxa" w:w="6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 138 palabras por minuto. Si vas más rápido que eso, estás corriendo.</w:t>
            </w:r>
          </w:p>
        </w:tc>
      </w:tr>
    </w:tbl>
    <w:p>
      <w:r>
        <w:br w:type="page"/>
      </w:r>
    </w:p>
    <w:p>
      <w:pPr>
        <w:pStyle w:val="Heading1"/>
        <w:spacing w:after="160" w:before="0"/>
      </w:pPr>
      <w:r>
        <w:rPr>
          <w:rFonts w:ascii="Calibri" w:cs="Calibri" w:eastAsia="Calibri" w:hAnsi="Calibri"/>
          <w:b/>
          <w:bCs/>
          <w:color w:val="1F3864"/>
          <w:sz w:val="28"/>
          <w:szCs w:val="28"/>
        </w:rPr>
        <w:t xml:space="preserve">Cómo usar este guion</w:t>
      </w:r>
    </w:p>
    <w:p>
      <w:pPr>
        <w:pStyle w:val="ListParagraph"/>
        <w:numPr>
          <w:ilvl w:val="0"/>
          <w:numId w:val="2"/>
        </w:numPr>
        <w:spacing w:after="60" w:line="264"/>
      </w:pPr>
      <w:r>
        <w:rPr>
          <w:rFonts w:ascii="Calibri" w:cs="Calibri" w:eastAsia="Calibri" w:hAnsi="Calibri"/>
          <w:color w:val="595959"/>
          <w:sz w:val="20"/>
          <w:szCs w:val="20"/>
        </w:rPr>
        <w:t xml:space="preserve">La instancia tiene dos bloques y los dos se preparan: 15 minutos de exposición y 12 minutos de preguntas. El segundo bloque dura casi lo mismo que el primero, así que no es un apéndice.</w:t>
      </w:r>
    </w:p>
    <w:p>
      <w:pPr>
        <w:pStyle w:val="ListParagraph"/>
        <w:numPr>
          <w:ilvl w:val="0"/>
          <w:numId w:val="2"/>
        </w:numPr>
        <w:spacing w:after="60" w:line="264"/>
      </w:pPr>
      <w:r>
        <w:rPr>
          <w:rFonts w:ascii="Calibri" w:cs="Calibri" w:eastAsia="Calibri" w:hAnsi="Calibri"/>
          <w:color w:val="595959"/>
          <w:sz w:val="20"/>
          <w:szCs w:val="20"/>
        </w:rPr>
        <w:t xml:space="preserve">El texto dentro del recuadro con barra azul es lo que se dice. Está escrito para leerse en voz alta: las cifras van en palabras cuando se pronuncian.</w:t>
      </w:r>
    </w:p>
    <w:p>
      <w:pPr>
        <w:pStyle w:val="ListParagraph"/>
        <w:numPr>
          <w:ilvl w:val="0"/>
          <w:numId w:val="2"/>
        </w:numPr>
        <w:spacing w:after="60" w:line="264"/>
      </w:pPr>
      <w:r>
        <w:rPr>
          <w:rFonts w:ascii="Calibri" w:cs="Calibri" w:eastAsia="Calibri" w:hAnsi="Calibri"/>
          <w:color w:val="595959"/>
          <w:sz w:val="20"/>
          <w:szCs w:val="20"/>
        </w:rPr>
        <w:t xml:space="preserve">«Apoyo y control» son notas para quien expone: cifras que no se pueden equivocar, criterios de la rúbrica y avisos de bloqueantes. No se leen.</w:t>
      </w:r>
    </w:p>
    <w:p>
      <w:pPr>
        <w:pStyle w:val="ListParagraph"/>
        <w:numPr>
          <w:ilvl w:val="0"/>
          <w:numId w:val="2"/>
        </w:numPr>
        <w:spacing w:after="60" w:line="264"/>
      </w:pPr>
      <w:r>
        <w:rPr>
          <w:rFonts w:ascii="Calibri" w:cs="Calibri" w:eastAsia="Calibri" w:hAnsi="Calibri"/>
          <w:color w:val="595959"/>
          <w:sz w:val="20"/>
          <w:szCs w:val="20"/>
        </w:rPr>
        <w:t xml:space="preserve">«Preguntas probables de la CTRO» reúne, por diapositiva, lo que la Comisión puede preguntar sobre ese contenido, con la respuesta ya trabajada. Son 66 en total: es el banco de preparación, no un libreto. No se leen durante la exposición.</w:t>
      </w:r>
    </w:p>
    <w:p>
      <w:pPr>
        <w:pStyle w:val="ListParagraph"/>
        <w:numPr>
          <w:ilvl w:val="0"/>
          <w:numId w:val="2"/>
        </w:numPr>
        <w:spacing w:after="60" w:line="264"/>
      </w:pPr>
      <w:r>
        <w:rPr>
          <w:rFonts w:ascii="Calibri" w:cs="Calibri" w:eastAsia="Calibri" w:hAnsi="Calibri"/>
          <w:color w:val="595959"/>
          <w:sz w:val="20"/>
          <w:szCs w:val="20"/>
        </w:rPr>
        <w:t xml:space="preserve">«Transición» es la frase de enlace con la diapositiva siguiente. Sirve sobre todo en los cambios de orador.</w:t>
      </w:r>
    </w:p>
    <w:p>
      <w:pPr>
        <w:pStyle w:val="ListParagraph"/>
        <w:numPr>
          <w:ilvl w:val="0"/>
          <w:numId w:val="2"/>
        </w:numPr>
        <w:spacing w:after="60" w:line="264"/>
      </w:pPr>
      <w:r>
        <w:rPr>
          <w:rFonts w:ascii="Calibri" w:cs="Calibri" w:eastAsia="Calibri" w:hAnsi="Calibri"/>
          <w:color w:val="595959"/>
          <w:sz w:val="20"/>
          <w:szCs w:val="20"/>
        </w:rPr>
        <w:t xml:space="preserve">El reparto de oradores es una propuesta basada en los roles de la diapositiva 4: ajústenlo si el equipo decide otra distribución, respetando los tiempos.</w:t>
      </w:r>
    </w:p>
    <w:p>
      <w:pPr>
        <w:pStyle w:val="ListParagraph"/>
        <w:numPr>
          <w:ilvl w:val="0"/>
          <w:numId w:val="2"/>
        </w:numPr>
        <w:spacing w:after="60" w:line="264"/>
      </w:pPr>
      <w:r>
        <w:rPr>
          <w:rFonts w:ascii="Calibri" w:cs="Calibri" w:eastAsia="Calibri" w:hAnsi="Calibri"/>
          <w:color w:val="595959"/>
          <w:sz w:val="20"/>
          <w:szCs w:val="20"/>
        </w:rPr>
        <w:t xml:space="preserve">Regla de oro de esta instancia: agenda cerrada. No salirse de los cinco bloques del T-22 (empresa, problema, solución y alcance, arquitectura, innovaciones).</w:t>
      </w:r>
    </w:p>
    <w:p>
      <w:pPr>
        <w:pStyle w:val="Heading1"/>
        <w:spacing w:after="160" w:before="320"/>
      </w:pPr>
      <w:r>
        <w:rPr>
          <w:rFonts w:ascii="Calibri" w:cs="Calibri" w:eastAsia="Calibri" w:hAnsi="Calibri"/>
          <w:b/>
          <w:bCs/>
          <w:color w:val="1F3864"/>
          <w:sz w:val="28"/>
          <w:szCs w:val="28"/>
        </w:rPr>
        <w:t xml:space="preserve">Distribución de tiempos y oradores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900"/>
        <w:gridCol w:w="1200"/>
        <w:gridCol w:w="2600"/>
      </w:tblGrid>
      <w:tr>
        <w:trPr>
          <w:tblHeader/>
        </w:trPr>
        <w:tc>
          <w:tcPr>
            <w:tcW w:type="dxa" w:w="7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w:t>
            </w:r>
          </w:p>
        </w:tc>
        <w:tc>
          <w:tcPr>
            <w:tcW w:type="dxa" w:w="34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Diapositiva</w:t>
            </w:r>
          </w:p>
        </w:tc>
        <w:tc>
          <w:tcPr>
            <w:tcW w:type="dxa" w:w="9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Tiempo</w:t>
            </w:r>
          </w:p>
        </w:tc>
        <w:tc>
          <w:tcPr>
            <w:tcW w:type="dxa" w:w="12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Acumulado</w:t>
            </w:r>
          </w:p>
        </w:tc>
        <w:tc>
          <w:tcPr>
            <w:tcW w:type="dxa" w:w="26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Orador</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Portada — LAFROX</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0:20</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Alex Aravena</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Nuestra empresa</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0:40</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1:00</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Alex Aravena</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3</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Nuestros valores — Misión y Visión</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0:17</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1:17</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Alex Aravena</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4</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Nuestro equipo</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0:25</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1:42</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Alex Aravena</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5</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del negocio — Armado de rutas (Día 1)</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0:45</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2:27</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Maximiliano Miño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6</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Preparación de pedidos</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0:27</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2:54</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Maximiliano Miño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7</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Carga y salida</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3:14</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Maximiliano Miño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8</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Reparto en la calle (Día 2)</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0:40</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3:54</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Maximiliano Miño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9</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Preventa en terreno</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0:27</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4:21</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Guillermo Castillo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10</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Recepción de proveedores</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0:25</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4:46</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Guillermo Castillo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11</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Regreso de la flota</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0:25</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5:11</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Guillermo Castillo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12</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Dificultades — Ciclo completo</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0:18</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5:29</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Guillermo Castillo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13</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Problemas — Mapa por áreas</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0:50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6:19</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Leandro Chamorro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14</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Propuesta</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0:15</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6:34</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Leandro Chamorro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15</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Objetivo</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0:32</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7:06</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Leandro Chamorro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16</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Áreas de mejora</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0:50</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7:56</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Bastián Trejo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17</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Etapas — Etapa 1</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0:45</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8:41</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Bastián Trejo</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18</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Etapas — Etapa 2</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0:35</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9:16</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Bastián Trejo</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19</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Etapas — Operación y soporte</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0:32</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9:48</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Patricio Henríquez</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20</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Innovaciones</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1:05</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10:53</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Patricio Henríquez</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21</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de la solución (portadilla)</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11:03</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Tomás Pérez</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22</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lógica</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0:55</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11:58</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Tomás Pérez</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23</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física</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0:40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12:38</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Tomás Pérez</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24</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física — Cloud</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0:24</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13:02</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Álvaro Catalán</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25</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física — Talca</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0:30</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13:32</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Álvaro Catalán</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26</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física — Concepción</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0:16</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13:48</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Álvaro Catalán</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27</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Arquitectura física — Cross-docking</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0:17</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14:05</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Álvaro Catalán</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28</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Tecnologías clave</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0:20</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14:25</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Álvaro Catalán</w:t>
            </w:r>
          </w:p>
        </w:tc>
      </w:tr>
      <w:tr>
        <w:tc>
          <w:tcPr>
            <w:tcW w:type="dxa" w:w="7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29</w:t>
            </w:r>
          </w:p>
        </w:tc>
        <w:tc>
          <w:tcPr>
            <w:tcW w:type="dxa" w:w="34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Beneficios</w:t>
            </w:r>
          </w:p>
        </w:tc>
        <w:tc>
          <w:tcPr>
            <w:tcW w:type="dxa" w:w="9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0:25</w:t>
            </w:r>
          </w:p>
        </w:tc>
        <w:tc>
          <w:tcPr>
            <w:tcW w:type="dxa" w:w="12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14:50</w:t>
            </w:r>
          </w:p>
        </w:tc>
        <w:tc>
          <w:tcPr>
            <w:tcW w:type="dxa" w:w="26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Alex Aravena</w:t>
            </w:r>
          </w:p>
        </w:tc>
      </w:tr>
      <w:tr>
        <w:tc>
          <w:tcPr>
            <w:tcW w:type="dxa" w:w="7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30</w:t>
            </w:r>
          </w:p>
        </w:tc>
        <w:tc>
          <w:tcPr>
            <w:tcW w:type="dxa" w:w="34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Cierre</w:t>
            </w:r>
          </w:p>
        </w:tc>
        <w:tc>
          <w:tcPr>
            <w:tcW w:type="dxa" w:w="9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0:10</w:t>
            </w:r>
          </w:p>
        </w:tc>
        <w:tc>
          <w:tcPr>
            <w:tcW w:type="dxa" w:w="12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15:00</w:t>
            </w:r>
          </w:p>
        </w:tc>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Alex Aravena</w:t>
            </w:r>
          </w:p>
        </w:tc>
      </w:tr>
    </w:tbl>
    <w:p>
      <w:pPr>
        <w:spacing w:after="80" w:before="160" w:line="276"/>
      </w:pPr>
      <w:r>
        <w:rPr>
          <w:rFonts w:ascii="Calibri" w:cs="Calibri" w:eastAsia="Calibri" w:hAnsi="Calibri"/>
          <w:color w:val="595959"/>
          <w:sz w:val="18"/>
          <w:szCs w:val="18"/>
        </w:rPr>
        <w:t xml:space="preserve">Total: 15:00 minutos. Reparto por bloque del T-22: presentación de la empresa 1:42 · problema y necesidad 4:37 · esquema de solución y alcance 3:29 · innovaciones 1:05 · arquitectura lógica y física 3:32. Los beneficios y el cierre (0:35) no son bloque del T-22: son remate.</w:t>
      </w:r>
    </w:p>
    <w:p>
      <w:pPr>
        <w:spacing w:after="120" w:before="0" w:line="276"/>
      </w:pPr>
      <w:r>
        <w:rPr>
          <w:rFonts w:ascii="Calibri" w:cs="Calibri" w:eastAsia="Calibri" w:hAnsi="Calibri"/>
          <w:color w:val="595959"/>
          <w:sz w:val="18"/>
          <w:szCs w:val="18"/>
        </w:rPr>
        <w:t xml:space="preserve">Reparto por persona: Alex Aravena 2:17 · Maximiliano Miño 2:12 · Guillermo Castillo 1:35 · Leandro Chamorro 1:37 · Bastián Trejo 2:10 · Patricio Henríquez 1:37 · Tomás Pérez 1:45 · Álvaro Catalán 1:47.</w:t>
      </w:r>
    </w:p>
    <w:p>
      <w:r>
        <w:br w:type="page"/>
      </w:r>
    </w:p>
    <w:p>
      <w:pPr>
        <w:pStyle w:val="Heading1"/>
        <w:spacing w:after="160" w:before="0"/>
      </w:pPr>
      <w:r>
        <w:rPr>
          <w:rFonts w:ascii="Calibri" w:cs="Calibri" w:eastAsia="Calibri" w:hAnsi="Calibri"/>
          <w:b/>
          <w:bCs/>
          <w:color w:val="1F3864"/>
          <w:sz w:val="28"/>
          <w:szCs w:val="28"/>
        </w:rPr>
        <w:t xml:space="preserve">La ronda de preguntas (12 minutos)</w:t>
      </w:r>
    </w:p>
    <w:p>
      <w:pPr>
        <w:spacing w:after="120" w:before="0" w:line="276"/>
      </w:pPr>
      <w:r>
        <w:rPr>
          <w:rFonts w:ascii="Calibri" w:cs="Calibri" w:eastAsia="Calibri" w:hAnsi="Calibri"/>
          <w:sz w:val="20"/>
          <w:szCs w:val="20"/>
        </w:rPr>
        <w:t xml:space="preserve">La Comisión Técnica de Revisión de Ofertas (ARQUITECH) acompaña al CLIENTE en todas las presentaciones y puede intervenir en esta instancia. Su revisión es formativa y constituye insumo para el profesor: no reemplaza ni pondera la calificación. Se le da el mismo trato formal que a la contraparte técnica del mandante.</w:t>
      </w:r>
    </w:p>
    <w:p>
      <w:pPr>
        <w:spacing w:after="120" w:before="0" w:line="276"/>
      </w:pPr>
      <w:r>
        <w:rPr>
          <w:rFonts w:ascii="Calibri" w:cs="Calibri" w:eastAsia="Calibri" w:hAnsi="Calibri"/>
          <w:sz w:val="20"/>
          <w:szCs w:val="20"/>
        </w:rPr>
        <w:t xml:space="preserve">Doce minutos son entre 12 y 16 preguntas si cada respuesta dura entre 30 y 50 segundos. Responder en menos de treinta segundos suena a evasiva; pasar del minuto le quita dos preguntas a la Comisión. Ese es el único control de ritmo que hay que llevar.</w:t>
      </w:r>
    </w:p>
    <w:p>
      <w:pPr>
        <w:pStyle w:val="Heading2"/>
        <w:spacing w:after="140" w:before="260"/>
      </w:pPr>
      <w:r>
        <w:rPr>
          <w:rFonts w:ascii="Calibri" w:cs="Calibri" w:eastAsia="Calibri" w:hAnsi="Calibri"/>
          <w:b/>
          <w:bCs/>
          <w:color w:val="1F3864"/>
          <w:sz w:val="24"/>
          <w:szCs w:val="24"/>
        </w:rPr>
        <w:t xml:space="preserve">Reglas de turno</w:t>
      </w:r>
    </w:p>
    <w:p>
      <w:pPr>
        <w:pStyle w:val="ListParagraph"/>
        <w:numPr>
          <w:ilvl w:val="0"/>
          <w:numId w:val="2"/>
        </w:numPr>
        <w:spacing w:after="60" w:line="264"/>
      </w:pPr>
      <w:r>
        <w:rPr>
          <w:rFonts w:ascii="Calibri" w:cs="Calibri" w:eastAsia="Calibri" w:hAnsi="Calibri"/>
          <w:color w:val="595959"/>
          <w:sz w:val="20"/>
          <w:szCs w:val="20"/>
        </w:rPr>
        <w:t xml:space="preserve">Responde quien expuso la lámina. Si la pregunta cruza dominios, la toma el Jefe de Proyecto y la deriva por nombre. Nunca responden dos personas a la vez, y nunca se corrige en voz alta a un compañero: se complementa.</w:t>
      </w:r>
    </w:p>
    <w:p>
      <w:pPr>
        <w:pStyle w:val="ListParagraph"/>
        <w:numPr>
          <w:ilvl w:val="0"/>
          <w:numId w:val="2"/>
        </w:numPr>
        <w:spacing w:after="60" w:line="264"/>
      </w:pPr>
      <w:r>
        <w:rPr>
          <w:rFonts w:ascii="Calibri" w:cs="Calibri" w:eastAsia="Calibri" w:hAnsi="Calibri"/>
          <w:color w:val="595959"/>
          <w:sz w:val="20"/>
          <w:szCs w:val="20"/>
        </w:rPr>
        <w:t xml:space="preserve">Si la respuesta está en un vacío declarado, decirlo con su identificador y su tratamiento («está registrado como V-02, elevado a consulta conforme al Art. 43.3»). La rúbrica premia la consistencia con el registro de vacíos, no la improvisación.</w:t>
      </w:r>
    </w:p>
    <w:p>
      <w:pPr>
        <w:pStyle w:val="ListParagraph"/>
        <w:numPr>
          <w:ilvl w:val="0"/>
          <w:numId w:val="2"/>
        </w:numPr>
        <w:spacing w:after="60" w:line="264"/>
      </w:pPr>
      <w:r>
        <w:rPr>
          <w:rFonts w:ascii="Calibri" w:cs="Calibri" w:eastAsia="Calibri" w:hAnsi="Calibri"/>
          <w:color w:val="595959"/>
          <w:sz w:val="20"/>
          <w:szCs w:val="20"/>
        </w:rPr>
        <w:t xml:space="preserve">Si no se sabe: «no está resuelto en el Informe 1; está registrado como vacío y se responde en el Informe 2». Jamás inventar una cifra: una cifra distinta de la del informe es bloqueante.</w:t>
      </w:r>
    </w:p>
    <w:p>
      <w:pPr>
        <w:pStyle w:val="ListParagraph"/>
        <w:numPr>
          <w:ilvl w:val="0"/>
          <w:numId w:val="2"/>
        </w:numPr>
        <w:spacing w:after="60" w:line="264"/>
      </w:pPr>
      <w:r>
        <w:rPr>
          <w:rFonts w:ascii="Calibri" w:cs="Calibri" w:eastAsia="Calibri" w:hAnsi="Calibri"/>
          <w:color w:val="595959"/>
          <w:sz w:val="20"/>
          <w:szCs w:val="20"/>
        </w:rPr>
        <w:t xml:space="preserve">Nunca presentar una inconsistencia de las Bases como corrección propia. Se declara como consulta al mandante o como supuesto fundado.</w:t>
      </w:r>
    </w:p>
    <w:p>
      <w:pPr>
        <w:pStyle w:val="ListParagraph"/>
        <w:numPr>
          <w:ilvl w:val="0"/>
          <w:numId w:val="2"/>
        </w:numPr>
        <w:spacing w:after="60" w:line="264"/>
      </w:pPr>
      <w:r>
        <w:rPr>
          <w:rFonts w:ascii="Calibri" w:cs="Calibri" w:eastAsia="Calibri" w:hAnsi="Calibri"/>
          <w:color w:val="595959"/>
          <w:sz w:val="20"/>
          <w:szCs w:val="20"/>
        </w:rPr>
        <w:t xml:space="preserve">No discutir la pregunta. Se agradece, se responde y, si hay desacuerdo técnico, se ofrece el fundamento documental: artículo, numeral o tabla.</w:t>
      </w:r>
    </w:p>
    <w:p>
      <w:pPr>
        <w:pStyle w:val="ListParagraph"/>
        <w:numPr>
          <w:ilvl w:val="0"/>
          <w:numId w:val="2"/>
        </w:numPr>
        <w:spacing w:after="60" w:line="264"/>
      </w:pPr>
      <w:r>
        <w:rPr>
          <w:rFonts w:ascii="Calibri" w:cs="Calibri" w:eastAsia="Calibri" w:hAnsi="Calibri"/>
          <w:color w:val="595959"/>
          <w:sz w:val="20"/>
          <w:szCs w:val="20"/>
        </w:rPr>
        <w:t xml:space="preserve">Una persona del equipo toma acta de cada observación, con su autor y la sección que afecta. Esa acta es el insumo de la tabla observación → respuesta → sección del Informe 2 (Art. 45 · T-22).</w:t>
      </w:r>
    </w:p>
    <w:p>
      <w:pPr>
        <w:pStyle w:val="Heading2"/>
        <w:spacing w:after="140" w:before="260"/>
      </w:pPr>
      <w:r>
        <w:rPr>
          <w:rFonts w:ascii="Calibri" w:cs="Calibri" w:eastAsia="Calibri" w:hAnsi="Calibri"/>
          <w:b/>
          <w:bCs/>
          <w:color w:val="1F3864"/>
          <w:sz w:val="24"/>
          <w:szCs w:val="24"/>
        </w:rPr>
        <w:t xml:space="preserve">Quién responde qué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Quién</w:t>
            </w:r>
          </w:p>
        </w:tc>
        <w:tc>
          <w:tcPr>
            <w:tcW w:type="dxa" w:w="62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Dominio de respuesta</w:t>
            </w:r>
          </w:p>
        </w:tc>
      </w:tr>
      <w:tr>
        <w:tc>
          <w:tcPr>
            <w:tcW w:type="dxa" w:w="26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Alex Aravena</w:t>
            </w:r>
          </w:p>
        </w:tc>
        <w:tc>
          <w:tcPr>
            <w:tcW w:type="dxa" w:w="62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Proceso y contrato: alcance, etapas, hitos y aceptación, riesgos, plazos y cualquier pregunta que cruce dominios o que nadie tome en tres segundos.</w:t>
            </w:r>
          </w:p>
        </w:tc>
      </w:tr>
      <w:tr>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Tomás Pérez · Álvaro Catalán</w:t>
            </w:r>
          </w:p>
        </w:tc>
        <w:tc>
          <w:tcPr>
            <w:tcW w:type="dxa" w:w="62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Arquitectura lógica y física: capas, híbrido y emplazamiento componente por componente, nube y on-premise, sitios, continuidad y recuperación ante desastres.</w:t>
            </w:r>
          </w:p>
        </w:tc>
      </w:tr>
      <w:tr>
        <w:tc>
          <w:tcPr>
            <w:tcW w:type="dxa" w:w="26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Bastián Trejo · Leandro Chamorro</w:t>
            </w:r>
          </w:p>
        </w:tc>
        <w:tc>
          <w:tcPr>
            <w:tcW w:type="dxa" w:w="62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Alcance funcional y datos: qué entra en cada etapa, integración con el ERP y los documentos tributarios, WMS de 2013, modelo de datos, migración y trazabilidad.</w:t>
            </w:r>
          </w:p>
        </w:tc>
      </w:tr>
      <w:tr>
        <w:tc>
          <w:tcPr>
            <w:tcW w:type="dxa" w:w="26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Maximiliano Miño · Guillermo Castillo</w:t>
            </w:r>
          </w:p>
        </w:tc>
        <w:tc>
          <w:tcPr>
            <w:tcW w:type="dxa" w:w="62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Terreno: preventa, reparto, prueba de entrega, operación sin señal, dispositivos y experiencia de usuario del canal tradicional.</w:t>
            </w:r>
          </w:p>
        </w:tc>
      </w:tr>
      <w:tr>
        <w:tc>
          <w:tcPr>
            <w:tcW w:type="dxa" w:w="26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Patricio Henríquez</w:t>
            </w:r>
          </w:p>
        </w:tc>
        <w:tc>
          <w:tcPr>
            <w:tcW w:type="dxa" w:w="62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Seguridad, calidad, operación y servicio: Zero Trust, ambientes, niveles de servicio y su medición, mesa de ayuda, y la cartera de innovaciones.</w:t>
            </w:r>
          </w:p>
        </w:tc>
      </w:tr>
    </w:tbl>
    <w:p>
      <w:pPr>
        <w:pStyle w:val="Heading2"/>
        <w:spacing w:after="140" w:before="300"/>
      </w:pPr>
      <w:r>
        <w:rPr>
          <w:rFonts w:ascii="Calibri" w:cs="Calibri" w:eastAsia="Calibri" w:hAnsi="Calibri"/>
          <w:b/>
          <w:bCs/>
          <w:color w:val="1F3864"/>
          <w:sz w:val="24"/>
          <w:szCs w:val="24"/>
        </w:rPr>
        <w:t xml:space="preserve">Las catorce más probables</w:t>
      </w:r>
    </w:p>
    <w:p>
      <w:pPr>
        <w:spacing w:after="120" w:before="0" w:line="276"/>
      </w:pPr>
      <w:r>
        <w:rPr>
          <w:rFonts w:ascii="Calibri" w:cs="Calibri" w:eastAsia="Calibri" w:hAnsi="Calibri"/>
          <w:sz w:val="19"/>
          <w:szCs w:val="19"/>
        </w:rPr>
        <w:t xml:space="preserve">Si en doce minutos caben unas catorce preguntas, estas son las catorce que más peso tienen: apuntan a lo que la rúbrica bloquea y a lo que el caso obliga a decidir. La respuesta completa de cada una está en la diapositiva indicada. Nótese que están repartidas entre las cinco personas: ninguna concentra el riesgo.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
        <w:gridCol w:w="4600"/>
        <w:gridCol w:w="1500"/>
        <w:gridCol w:w="2140"/>
      </w:tblGrid>
      <w:tr>
        <w:trPr>
          <w:tblHeader/>
        </w:trPr>
        <w:tc>
          <w:tcPr>
            <w:tcW w:type="dxa" w:w="56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w:t>
            </w:r>
          </w:p>
        </w:tc>
        <w:tc>
          <w:tcPr>
            <w:tcW w:type="dxa" w:w="46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Pregunta</w:t>
            </w:r>
          </w:p>
        </w:tc>
        <w:tc>
          <w:tcPr>
            <w:tcW w:type="dxa" w:w="15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Respuesta en</w:t>
            </w:r>
          </w:p>
        </w:tc>
        <w:tc>
          <w:tcPr>
            <w:tcW w:type="dxa" w:w="214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Responde</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¿Qué queda en nube, qué on-premise y con qué criterio?</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23</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Tomás Pérez</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2</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¿Cinco o seis instalaciones? El caso dice cinco.</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23</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Tomás Pérez</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3</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¿Por qué un monolito modular y no microservicios?</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22</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Tomás Pérez</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4</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¿Reemplazan el WMS de 2013 o conviven con él?</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17</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Bastián Trejo</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5</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¿Cuatro ambientes o cinco?</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17</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Bastián Trejo</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6</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¿Qué es una excursión térmica y quién decide?</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16</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Bastián Trejo</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7</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¿Cómo se hacen cargo del sindicato con la telemetría?</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18</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Bastián Trejo</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8</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¿Cómo capturan el conocimiento del planificador si no está escrito?</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5</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Maximiliano Miño</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9</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¿Van a eliminar el pago en efectivo?</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8</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Maximiliano Miño</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10</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¿Qué hacen con el 41 % de recepciones históricas sin lote?</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10</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Guillermo Castillo</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11</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¿Y si dos preventistas comprometen el mismo stock sin señal?</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9</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Guillermo Castillo</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12</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¿Por qué el motor de ruteo no está entre las innovaciones?</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20</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Patricio Henríquez</w:t>
            </w:r>
          </w:p>
        </w:tc>
      </w:tr>
      <w:tr>
        <w:tc>
          <w:tcPr>
            <w:tcW w:type="dxa" w:w="56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13</w:t>
            </w:r>
          </w:p>
        </w:tc>
        <w:tc>
          <w:tcPr>
            <w:tcW w:type="dxa" w:w="46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El 99,9 %, ¿sobre qué se mide y cada cuánto?</w:t>
            </w:r>
          </w:p>
        </w:tc>
        <w:tc>
          <w:tcPr>
            <w:tcW w:type="dxa" w:w="1500"/>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Diap. 19</w:t>
            </w:r>
          </w:p>
        </w:tc>
        <w:tc>
          <w:tcPr>
            <w:tcW w:type="dxa" w:w="214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Patricio Henríquez</w:t>
            </w:r>
          </w:p>
        </w:tc>
      </w:tr>
      <w:tr>
        <w:tc>
          <w:tcPr>
            <w:tcW w:type="dxa" w:w="56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14</w:t>
            </w:r>
          </w:p>
        </w:tc>
        <w:tc>
          <w:tcPr>
            <w:tcW w:type="dxa" w:w="46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¿Cuál es el mayor riesgo de esta propuesta?</w:t>
            </w:r>
          </w:p>
        </w:tc>
        <w:tc>
          <w:tcPr>
            <w:tcW w:type="dxa" w:w="15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7"/>
                <w:szCs w:val="17"/>
              </w:rPr>
              <w:t xml:space="preserve">Anexo C</w:t>
            </w:r>
          </w:p>
        </w:tc>
        <w:tc>
          <w:tcPr>
            <w:tcW w:type="dxa" w:w="214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Alex Aravena</w:t>
            </w:r>
          </w:p>
        </w:tc>
      </w:tr>
    </w:tbl>
    <w:p>
      <w:r>
        <w:br w:type="page"/>
      </w:r>
    </w:p>
    <w:p>
      <w:pPr>
        <w:pStyle w:val="Heading1"/>
        <w:spacing w:after="200" w:before="0"/>
      </w:pPr>
      <w:r>
        <w:rPr>
          <w:rFonts w:ascii="Calibri" w:cs="Calibri" w:eastAsia="Calibri" w:hAnsi="Calibri"/>
          <w:b/>
          <w:bCs/>
          <w:color w:val="1F3864"/>
          <w:sz w:val="28"/>
          <w:szCs w:val="28"/>
        </w:rPr>
        <w:t xml:space="preserve">Guion diapositiva por diapositiva</w:t>
      </w:r>
    </w:p>
    <w:p>
      <w:pPr>
        <w:pStyle w:val="Heading2"/>
        <w:keepNext/>
        <w:spacing w:after="40" w:before="0"/>
      </w:pPr>
      <w:r>
        <w:rPr>
          <w:rFonts w:ascii="Calibri" w:cs="Calibri" w:eastAsia="Calibri" w:hAnsi="Calibri"/>
          <w:b/>
          <w:bCs/>
          <w:color w:val="1F3864"/>
          <w:sz w:val="24"/>
          <w:szCs w:val="24"/>
        </w:rPr>
        <w:t xml:space="preserve">Diapositiva 1 · Portada — LAFROX</w:t>
      </w:r>
    </w:p>
    <w:p>
      <w:pPr>
        <w:keepNext/>
        <w:shd w:fill="F2F2F2" w:color="auto" w:val="clear"/>
        <w:spacing w:after="140"/>
      </w:pPr>
      <w:r>
        <w:rPr>
          <w:rFonts w:ascii="Calibri" w:cs="Calibri" w:eastAsia="Calibri" w:hAnsi="Calibri"/>
          <w:b/>
          <w:bCs/>
          <w:color w:val="595959"/>
          <w:sz w:val="18"/>
          <w:szCs w:val="18"/>
        </w:rPr>
        <w:t xml:space="preserve">Duración 0:20   ·   acumulado 0:20   ·   orador: Alex Aravena</w:t>
      </w:r>
    </w:p>
    <w:p>
      <w:pPr>
        <w:pBdr>
          <w:left w:val="single" w:color="1F3864" w:sz="12" w:space="8"/>
        </w:pBdr>
        <w:spacing w:after="140" w:line="300"/>
        <w:ind w:left="316"/>
      </w:pPr>
      <w:r>
        <w:rPr>
          <w:rFonts w:ascii="Calibri" w:cs="Calibri" w:eastAsia="Calibri" w:hAnsi="Calibri"/>
          <w:color w:val="000000"/>
          <w:sz w:val="22"/>
          <w:szCs w:val="22"/>
        </w:rPr>
        <w:t xml:space="preserve">Buenos días. Gracias por recibirnos. Somos LafroX y presentamos nuestra propuesta para Distribuidora Puelche, licitación TFEP-01/2026, Caso 02 — Logística.</w:t>
      </w:r>
    </w:p>
    <w:p>
      <w:pPr>
        <w:pBdr>
          <w:left w:val="single" w:color="1F3864" w:sz="12" w:space="8"/>
        </w:pBdr>
        <w:spacing w:after="140" w:line="300"/>
        <w:ind w:left="316"/>
      </w:pPr>
      <w:r>
        <w:rPr>
          <w:rFonts w:ascii="Calibri" w:cs="Calibri" w:eastAsia="Calibri" w:hAnsi="Calibri"/>
          <w:color w:val="000000"/>
          <w:sz w:val="22"/>
          <w:szCs w:val="22"/>
        </w:rPr>
        <w:t xml:space="preserve">En quince minutos: quiénes somos, el problema, la solución y su alcance, la arquitectura, y las cinco innovaciones. Partamos.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Usar siempre el identificador oficial: TFEP-01/2026. Nunca «FEP01.26» ni «FEP02.26».</w:t>
      </w:r>
    </w:p>
    <w:p>
      <w:pPr>
        <w:pStyle w:val="ListParagraph"/>
        <w:numPr>
          <w:ilvl w:val="0"/>
          <w:numId w:val="2"/>
        </w:numPr>
        <w:spacing w:after="60" w:line="264"/>
      </w:pPr>
      <w:r>
        <w:rPr>
          <w:rFonts w:ascii="Calibri" w:cs="Calibri" w:eastAsia="Calibri" w:hAnsi="Calibri"/>
          <w:color w:val="595959"/>
          <w:sz w:val="19"/>
          <w:szCs w:val="19"/>
        </w:rPr>
        <w:t xml:space="preserve">Anunciar la agenda cerrada del Formulario T-22: los cinco bloques son exactamente lo que la comisión evalúa; no salirse de ellos.</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¿Alcanzan a cubrir los cinco temas del T-22 en quince minutos?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Sí, y el reparto está medido: empresa 1:42, problema y necesidad 4:37, esquema de solución y alcance 3:29, innovaciones 1:05 y arquitectura 3:32. Reservamos la profundidad para la ronda de preguntas, que es donde ustedes eligen qué examinar.</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¿Esta presentación reemplaza al Informe 1?</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No. El Informe 1 se entregó el 07-09-2026 conforme al Art. 45 y esta instancia lo expone. Todo lo que digamos hoy es trazable a los subdocumentos 1, 2, 3, 4.1, 4.2, 5 y 13.</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«Primero, quiénes somos.»</w:t>
      </w:r>
    </w:p>
    <w:p>
      <w:pPr>
        <w:pStyle w:val="Heading2"/>
        <w:keepNext/>
        <w:spacing w:after="40" w:before="360"/>
      </w:pPr>
      <w:r>
        <w:rPr>
          <w:rFonts w:ascii="Calibri" w:cs="Calibri" w:eastAsia="Calibri" w:hAnsi="Calibri"/>
          <w:b/>
          <w:bCs/>
          <w:color w:val="1F3864"/>
          <w:sz w:val="24"/>
          <w:szCs w:val="24"/>
        </w:rPr>
        <w:t xml:space="preserve">Diapositiva 2 · Nuestra empresa</w:t>
      </w:r>
    </w:p>
    <w:p>
      <w:pPr>
        <w:keepNext/>
        <w:shd w:fill="F2F2F2" w:color="auto" w:val="clear"/>
        <w:spacing w:after="140"/>
      </w:pPr>
      <w:r>
        <w:rPr>
          <w:rFonts w:ascii="Calibri" w:cs="Calibri" w:eastAsia="Calibri" w:hAnsi="Calibri"/>
          <w:b/>
          <w:bCs/>
          <w:color w:val="595959"/>
          <w:sz w:val="18"/>
          <w:szCs w:val="18"/>
        </w:rPr>
        <w:t xml:space="preserve">Duración 0:40   ·   acumulado 1:00   ·   orador: Alex Aravena</w:t>
      </w:r>
    </w:p>
    <w:p>
      <w:pPr>
        <w:pBdr>
          <w:left w:val="single" w:color="1F3864" w:sz="12" w:space="8"/>
        </w:pBdr>
        <w:spacing w:after="140" w:line="300"/>
        <w:ind w:left="316"/>
      </w:pPr>
      <w:r>
        <w:rPr>
          <w:rFonts w:ascii="Calibri" w:cs="Calibri" w:eastAsia="Calibri" w:hAnsi="Calibri"/>
          <w:color w:val="000000"/>
          <w:sz w:val="22"/>
          <w:szCs w:val="22"/>
        </w:rPr>
        <w:t xml:space="preserve">LafroX es una firma de ingeniería de software especializada en logística de última milla y distribución de consumo masivo. Ciento veinte profesionales, y no tercerizamos la ingeniería.</w:t>
      </w:r>
    </w:p>
    <w:p>
      <w:pPr>
        <w:pBdr>
          <w:left w:val="single" w:color="1F3864" w:sz="12" w:space="8"/>
        </w:pBdr>
        <w:spacing w:after="140" w:line="300"/>
        <w:ind w:left="316"/>
      </w:pPr>
      <w:r>
        <w:rPr>
          <w:rFonts w:ascii="Calibri" w:cs="Calibri" w:eastAsia="Calibri" w:hAnsi="Calibri"/>
          <w:color w:val="000000"/>
          <w:sz w:val="22"/>
          <w:szCs w:val="22"/>
        </w:rPr>
        <w:t xml:space="preserve">Nuestro diferencial aplica directo a este caso: arquitecturas Cloud-Edge, aplicaciones offline-first para operar sin cobertura, y telemetría IoT para cadena de frío. Dos referencias: en Embotelladora Andina subimos el OTIF ocho puntos con reparto desconectado; en Agrosuper llevamos la respuesta a un retiro sanitario de días hábiles a menos de dos horas, con trazabilidad GS1.</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Rúbrica A1 pide: trayectoria, capacidades, actividad y servicios. Los tres párrafos cubren los cuatro.</w:t>
      </w:r>
    </w:p>
    <w:p>
      <w:pPr>
        <w:pStyle w:val="ListParagraph"/>
        <w:numPr>
          <w:ilvl w:val="0"/>
          <w:numId w:val="2"/>
        </w:numPr>
        <w:spacing w:after="60" w:line="264"/>
      </w:pPr>
      <w:r>
        <w:rPr>
          <w:rFonts w:ascii="Calibri" w:cs="Calibri" w:eastAsia="Calibri" w:hAnsi="Calibri"/>
          <w:color w:val="595959"/>
          <w:sz w:val="19"/>
          <w:szCs w:val="19"/>
        </w:rPr>
        <w:t xml:space="preserve">Los dos casos de éxito están elegidos a propósito: uno es el problema de conectividad de Puelche, el otro es el retiro sanitario de marzo de 2026.</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¿Están certificados en todo lo que nombraron, o solo alineados?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distinción está en el Subdoc 1 y la hacemos explícita: ISO 9001 es certificación de nuestro sistema de gestión de calidad. CMMI-DEV nivel 3, ISO/IEC 27001 e ISO/IEC 20000-1 con ITIL v4 los declaramos como alineación formalizada de procesos y controles, no como sello vigente.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Los casos de Andina y Agrosuper, ¿los ejecutó este equipo?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Son credenciales corporativas de LafroX. El equipo nominal de este contrato es el de la lámina siguiente: ocho ingenieros con responsable único por dominio, y no tercerizamos la ingeniería.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midieron los ocho puntos de mejora de OTIF?</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Con la misma definición que comprometemos aquí: entrega completa y dentro de la ventana comprometida, medida por entrega y no como promedio mensual. Fijar esa definición de forma unívoca es, de hecho, una de las decisiones que este caso exige (16.1 #1).</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«Eso que hacemos nace de cómo entendemos el oficio.»</w:t>
      </w:r>
    </w:p>
    <w:p>
      <w:pPr>
        <w:pStyle w:val="Heading2"/>
        <w:keepNext/>
        <w:spacing w:after="40" w:before="360"/>
      </w:pPr>
      <w:r>
        <w:rPr>
          <w:rFonts w:ascii="Calibri" w:cs="Calibri" w:eastAsia="Calibri" w:hAnsi="Calibri"/>
          <w:b/>
          <w:bCs/>
          <w:color w:val="1F3864"/>
          <w:sz w:val="24"/>
          <w:szCs w:val="24"/>
        </w:rPr>
        <w:t xml:space="preserve">Diapositiva 3 · Nuestros valores — Misión y Visión</w:t>
      </w:r>
    </w:p>
    <w:p>
      <w:pPr>
        <w:keepNext/>
        <w:shd w:fill="F2F2F2" w:color="auto" w:val="clear"/>
        <w:spacing w:after="140"/>
      </w:pPr>
      <w:r>
        <w:rPr>
          <w:rFonts w:ascii="Calibri" w:cs="Calibri" w:eastAsia="Calibri" w:hAnsi="Calibri"/>
          <w:b/>
          <w:bCs/>
          <w:color w:val="595959"/>
          <w:sz w:val="18"/>
          <w:szCs w:val="18"/>
        </w:rPr>
        <w:t xml:space="preserve">Duración 0:17   ·   acumulado 1:17   ·   orador: Alex Aravena</w:t>
      </w:r>
    </w:p>
    <w:p>
      <w:pPr>
        <w:pBdr>
          <w:left w:val="single" w:color="1F3864" w:sz="12" w:space="8"/>
        </w:pBdr>
        <w:spacing w:after="140" w:line="300"/>
        <w:ind w:left="316"/>
      </w:pPr>
      <w:r>
        <w:rPr>
          <w:rFonts w:ascii="Calibri" w:cs="Calibri" w:eastAsia="Calibri" w:hAnsi="Calibri"/>
          <w:color w:val="000000"/>
          <w:sz w:val="22"/>
          <w:szCs w:val="22"/>
        </w:rPr>
        <w:t xml:space="preserve">Nuestra misión es diseñar software resiliente que capture el dato en el origen del hecho operacional, para garantizar trazabilidad y continuidad sin importar la conectividad. No es decorativo: es exactamente lo que este caso exige.</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Enfatizar «capturar el dato en el origen»: es el hilo conductor de toda la propuesta y reaparece en el costo de servir y en la trazabilidad.</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tiene que ver su misión con este caso, concretamente?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Capturar el dato en el origen es la respuesta a los tres quiebres del caso: el lote en el andén de recepción, la temperatura dentro del camión y el costo en el momento de la entrega. Ninguno de los tres se resuelve con un informe posterior.</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El compromiso ESG, ¿tiene efecto en la propuesta o es declarativo?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Tres efectos concretos y verificables: ruteo que reduce kilómetros en vacío y mejora la ocupación, despliegue en centros de datos con energía renovable, y despapelización mediante guía de despacho electrónica y prueba de entrega digital.</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este es el equipo que lo ejecuta.»</w:t>
      </w:r>
    </w:p>
    <w:p>
      <w:pPr>
        <w:pStyle w:val="Heading2"/>
        <w:keepNext/>
        <w:spacing w:after="40" w:before="360"/>
      </w:pPr>
      <w:r>
        <w:rPr>
          <w:rFonts w:ascii="Calibri" w:cs="Calibri" w:eastAsia="Calibri" w:hAnsi="Calibri"/>
          <w:b/>
          <w:bCs/>
          <w:color w:val="1F3864"/>
          <w:sz w:val="24"/>
          <w:szCs w:val="24"/>
        </w:rPr>
        <w:t xml:space="preserve">Diapositiva 4 · Nuestro equipo</w:t>
      </w:r>
    </w:p>
    <w:p>
      <w:pPr>
        <w:keepNext/>
        <w:shd w:fill="F2F2F2" w:color="auto" w:val="clear"/>
        <w:spacing w:after="140"/>
      </w:pPr>
      <w:r>
        <w:rPr>
          <w:rFonts w:ascii="Calibri" w:cs="Calibri" w:eastAsia="Calibri" w:hAnsi="Calibri"/>
          <w:b/>
          <w:bCs/>
          <w:color w:val="595959"/>
          <w:sz w:val="18"/>
          <w:szCs w:val="18"/>
        </w:rPr>
        <w:t xml:space="preserve">Duración 0:25   ·   acumulado 1:42   ·   orador: Alex Aravena</w:t>
      </w:r>
    </w:p>
    <w:p>
      <w:pPr>
        <w:pBdr>
          <w:left w:val="single" w:color="1F3864" w:sz="12" w:space="8"/>
        </w:pBdr>
        <w:spacing w:after="140" w:line="300"/>
        <w:ind w:left="316"/>
      </w:pPr>
      <w:r>
        <w:rPr>
          <w:rFonts w:ascii="Calibri" w:cs="Calibri" w:eastAsia="Calibri" w:hAnsi="Calibri"/>
          <w:color w:val="000000"/>
          <w:sz w:val="22"/>
          <w:szCs w:val="22"/>
        </w:rPr>
        <w:t xml:space="preserve">El equipo que ejecuta el contrato: ocho ingenieros, con responsable único por dominio. Alex Aravena en la jefatura; Tomás Pérez y Álvaro Catalán en arquitectura; Bastián Trejo y Leandro Chamorro en backend e integración; Maximiliano Miño y Guillermo Castillo en frontend y movilidad; y Patricio Henríquez en ciberseguridad, calidad e infraestructura. Los ocho exponemos hoy.</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No leer el organigrama completo: nombrar y seguir. La diapositiva ya lo muestra.</w:t>
      </w:r>
    </w:p>
    <w:p>
      <w:pPr>
        <w:pStyle w:val="ListParagraph"/>
        <w:numPr>
          <w:ilvl w:val="0"/>
          <w:numId w:val="2"/>
        </w:numPr>
        <w:spacing w:after="60" w:line="264"/>
      </w:pPr>
      <w:r>
        <w:rPr>
          <w:rFonts w:ascii="Calibri" w:cs="Calibri" w:eastAsia="Calibri" w:hAnsi="Calibri"/>
          <w:color w:val="595959"/>
          <w:sz w:val="19"/>
          <w:szCs w:val="19"/>
        </w:rPr>
        <w:t xml:space="preserve">Decir «los ocho exponemos hoy» ordena a la comisión para los cambios de orador que vienen.</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¿Quién responde ante el CLIENTE por el contrato?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El Jefe de Proyecto, Alex Aravena. El resto reporta a él por dominio, con responsable único por área y sin responsabilidad compartida.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¿Con ocho personas ejecutan cincuenta y seis meses?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Los ocho son la gobernanza nominal del contrato, no la dotación. Detrás está la capacidad instalada de LafroX: 120 profesionales, NOC 24/7 y laboratorio de pruebas offline. La dedicación y la nivelación de recursos por rol se detallan en el plan de trabajo del Informe 2.</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«Vamos al problema. Y no lo vamos a presentar como una lista.»</w:t>
      </w:r>
    </w:p>
    <w:p>
      <w:pPr>
        <w:pStyle w:val="Heading2"/>
        <w:keepNext/>
        <w:spacing w:after="40" w:before="360"/>
      </w:pPr>
      <w:r>
        <w:rPr>
          <w:rFonts w:ascii="Calibri" w:cs="Calibri" w:eastAsia="Calibri" w:hAnsi="Calibri"/>
          <w:b/>
          <w:bCs/>
          <w:color w:val="1F3864"/>
          <w:sz w:val="24"/>
          <w:szCs w:val="24"/>
        </w:rPr>
        <w:t xml:space="preserve">Diapositiva 5 · Dificultades del negocio — Armado de rutas (Día 1)</w:t>
      </w:r>
    </w:p>
    <w:p>
      <w:pPr>
        <w:keepNext/>
        <w:shd w:fill="F2F2F2" w:color="auto" w:val="clear"/>
        <w:spacing w:after="140"/>
      </w:pPr>
      <w:r>
        <w:rPr>
          <w:rFonts w:ascii="Calibri" w:cs="Calibri" w:eastAsia="Calibri" w:hAnsi="Calibri"/>
          <w:b/>
          <w:bCs/>
          <w:color w:val="595959"/>
          <w:sz w:val="18"/>
          <w:szCs w:val="18"/>
        </w:rPr>
        <w:t xml:space="preserve">Duración 0:45   ·   acumulado 2:27   ·   orador: Maximiliano Miño</w:t>
      </w:r>
    </w:p>
    <w:p>
      <w:pPr>
        <w:pBdr>
          <w:left w:val="single" w:color="1F3864" w:sz="12" w:space="8"/>
        </w:pBdr>
        <w:spacing w:after="140" w:line="300"/>
        <w:ind w:left="316"/>
      </w:pPr>
      <w:r>
        <w:rPr>
          <w:rFonts w:ascii="Calibri" w:cs="Calibri" w:eastAsia="Calibri" w:hAnsi="Calibri"/>
          <w:color w:val="000000"/>
          <w:sz w:val="22"/>
          <w:szCs w:val="22"/>
        </w:rPr>
        <w:t xml:space="preserve">El problema no se lo vamos a presentar como una lista: vamos a recorrer dos días de la operación real, porque las fallas están encadenadas.</w:t>
      </w:r>
    </w:p>
    <w:p>
      <w:pPr>
        <w:pBdr>
          <w:left w:val="single" w:color="1F3864" w:sz="12" w:space="8"/>
        </w:pBdr>
        <w:spacing w:after="140" w:line="300"/>
        <w:ind w:left="316"/>
      </w:pPr>
      <w:r>
        <w:rPr>
          <w:rFonts w:ascii="Calibri" w:cs="Calibri" w:eastAsia="Calibri" w:hAnsi="Calibri"/>
          <w:color w:val="000000"/>
          <w:sz w:val="22"/>
          <w:szCs w:val="22"/>
        </w:rPr>
        <w:t xml:space="preserve">Día uno, por la tarde. Hugo Maldonado, el planificador, asigna mil cuatrocientas entregas a noventa y seis camiones en una planilla de once hojas que nadie más entiende. Le toma cuatro horas. Ahí está el conocimiento crítico: qué puente rural no aguanta carga, qué cliente atiende a qué hora. Cuando sale de vacaciones, el cumplimiento cae entre seis y nueve puntos. Y se jubila en dos años.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Cifras: 1.400 entregas/día · 96 camiones (42 propios + 54 externos) · 3,5–4 h diarias · planilla de 11 hojas · caída de 6 a 9 puntos.</w:t>
      </w:r>
    </w:p>
    <w:p>
      <w:pPr>
        <w:pStyle w:val="ListParagraph"/>
        <w:numPr>
          <w:ilvl w:val="0"/>
          <w:numId w:val="2"/>
        </w:numPr>
        <w:spacing w:after="60" w:line="264"/>
      </w:pPr>
      <w:r>
        <w:rPr>
          <w:rFonts w:ascii="Calibri" w:cs="Calibri" w:eastAsia="Calibri" w:hAnsi="Calibri"/>
          <w:color w:val="595959"/>
          <w:sz w:val="19"/>
          <w:szCs w:val="19"/>
        </w:rPr>
        <w:t xml:space="preserve">Ojo con el bloqueante G1: camiones ≠ conductores. Son 96 camiones y ≈200 conductores.</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Si el conocimiento del planificador no está escrito, ¿cómo lo capturan?</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De dos formas simultáneas: sesiones de transferencia y parametrización del motor durante la Etapa 1, y bitácora de cada corrección manual que él haga sobre la ruta propuesta. Esa bitácora es la que codifica el criterio que no está documentado. Es el resultado R18-16.</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¿Son noventa y seis camiones o cuarenta y dos?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Noventa y seis camiones: cuarenta y dos propios y cincuenta y cuatro de transportistas externos. Los aproximadamente doscientos conductores son otra cifra distinta. La divergencia entre el Cap. 2.3 y la Tabla 14.1 está registrada como vacío V-03 y elevada a consulta.</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«Mientras Hugo arma la ruta, en la bodega ya empezó el turno de noche.»</w:t>
      </w:r>
    </w:p>
    <w:p>
      <w:pPr>
        <w:pStyle w:val="Heading2"/>
        <w:keepNext/>
        <w:spacing w:after="40" w:before="360"/>
      </w:pPr>
      <w:r>
        <w:rPr>
          <w:rFonts w:ascii="Calibri" w:cs="Calibri" w:eastAsia="Calibri" w:hAnsi="Calibri"/>
          <w:b/>
          <w:bCs/>
          <w:color w:val="1F3864"/>
          <w:sz w:val="24"/>
          <w:szCs w:val="24"/>
        </w:rPr>
        <w:t xml:space="preserve">Diapositiva 6 · Dificultades — Preparación de pedidos</w:t>
      </w:r>
    </w:p>
    <w:p>
      <w:pPr>
        <w:keepNext/>
        <w:shd w:fill="F2F2F2" w:color="auto" w:val="clear"/>
        <w:spacing w:after="140"/>
      </w:pPr>
      <w:r>
        <w:rPr>
          <w:rFonts w:ascii="Calibri" w:cs="Calibri" w:eastAsia="Calibri" w:hAnsi="Calibri"/>
          <w:b/>
          <w:bCs/>
          <w:color w:val="595959"/>
          <w:sz w:val="18"/>
          <w:szCs w:val="18"/>
        </w:rPr>
        <w:t xml:space="preserve">Duración 0:27   ·   acumulado 2:54   ·   orador: Maximiliano Miño</w:t>
      </w:r>
    </w:p>
    <w:p>
      <w:pPr>
        <w:pBdr>
          <w:left w:val="single" w:color="1F3864" w:sz="12" w:space="8"/>
        </w:pBdr>
        <w:spacing w:after="140" w:line="300"/>
        <w:ind w:left="316"/>
      </w:pPr>
      <w:r>
        <w:rPr>
          <w:rFonts w:ascii="Calibri" w:cs="Calibri" w:eastAsia="Calibri" w:hAnsi="Calibri"/>
          <w:color w:val="000000"/>
          <w:sz w:val="22"/>
          <w:szCs w:val="22"/>
        </w:rPr>
        <w:t xml:space="preserve">Día uno, de noche. Ciento veinte preparadores arman los pedidos entre las diez y las seis, con una hoja impresa y un lápiz. El faltante se anota al pie: queda la cantidad, nunca la causa. Y los congelados se preparan dentro de una cámara a menos veintidós grados, con guantes, donde no hay señal de ningún tipo.</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Cifras: turno 22:00–06:00 · 120 preparadores · 38 % rotación · cámara a −22 °C · turnos de 30 min.</w:t>
      </w:r>
    </w:p>
    <w:p>
      <w:pPr>
        <w:pStyle w:val="ListParagraph"/>
        <w:numPr>
          <w:ilvl w:val="0"/>
          <w:numId w:val="2"/>
        </w:numPr>
        <w:spacing w:after="60" w:line="264"/>
      </w:pPr>
      <w:r>
        <w:rPr>
          <w:rFonts w:ascii="Calibri" w:cs="Calibri" w:eastAsia="Calibri" w:hAnsi="Calibri"/>
          <w:color w:val="595959"/>
          <w:sz w:val="19"/>
          <w:szCs w:val="19"/>
        </w:rPr>
        <w:t xml:space="preserve">La condición de −22 °C con guantes es la restricción n.º 7 del caso: anticipa la innovación 2 y el hardware rugged.</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dispositivo funciona a menos veintidós grados y con guantes?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Un terminal rugged certificado para ese rango, con confirmación de lectura en un segundo o menos por línea. La certificación del modelo específico está declarada como investigación adicional de la innovación 2: no afirmamos tener el modelo elegido.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Dentro de la cámara no hay señal. ¿Cómo validan el picking?</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misión de ola se precarga al inicio del turno y la validación GS1 se ejecuta local en el terminal. Se sincroniza al salir de la cámara. No requiere conectividad dentro del recinto ni costo de telecomunicaciones ahí.</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«Con los pedidos armados, hay que cargar.»</w:t>
      </w:r>
    </w:p>
    <w:p>
      <w:pPr>
        <w:pStyle w:val="Heading2"/>
        <w:keepNext/>
        <w:spacing w:after="40" w:before="360"/>
      </w:pPr>
      <w:r>
        <w:rPr>
          <w:rFonts w:ascii="Calibri" w:cs="Calibri" w:eastAsia="Calibri" w:hAnsi="Calibri"/>
          <w:b/>
          <w:bCs/>
          <w:color w:val="1F3864"/>
          <w:sz w:val="24"/>
          <w:szCs w:val="24"/>
        </w:rPr>
        <w:t xml:space="preserve">Diapositiva 7 · Dificultades — Carga y salida</w:t>
      </w:r>
    </w:p>
    <w:p>
      <w:pPr>
        <w:keepNext/>
        <w:shd w:fill="F2F2F2" w:color="auto" w:val="clear"/>
        <w:spacing w:after="140"/>
      </w:pPr>
      <w:r>
        <w:rPr>
          <w:rFonts w:ascii="Calibri" w:cs="Calibri" w:eastAsia="Calibri" w:hAnsi="Calibri"/>
          <w:b/>
          <w:bCs/>
          <w:color w:val="595959"/>
          <w:sz w:val="18"/>
          <w:szCs w:val="18"/>
        </w:rPr>
        <w:t xml:space="preserve">Duración 0:20   ·   acumulado 3:14   ·   orador: Maximiliano Miño</w:t>
      </w:r>
    </w:p>
    <w:p>
      <w:pPr>
        <w:pBdr>
          <w:left w:val="single" w:color="1F3864" w:sz="12" w:space="8"/>
        </w:pBdr>
        <w:spacing w:after="140" w:line="300"/>
        <w:ind w:left="316"/>
      </w:pPr>
      <w:r>
        <w:rPr>
          <w:rFonts w:ascii="Calibri" w:cs="Calibri" w:eastAsia="Calibri" w:hAnsi="Calibri"/>
          <w:color w:val="000000"/>
          <w:sz w:val="22"/>
          <w:szCs w:val="22"/>
        </w:rPr>
        <w:t xml:space="preserve">Se carga en orden inverso de ruta, y eso depende de que el cargador conozca ese orden, que vive solo en la planilla de Hugo. Los camiones salen entre las cinco y media y las siete: esa es la ventana crítica, y ahí la indisponibilidad tiene que ser cero.</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Dejar instalada la frase «ventana 05:30–07:00 con indisponibilidad cero»: se retoma en arquitectura física.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pasa si el sistema se cae entre las cinco y media y las siete?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Todas las decisiones de esa ventana son locales al centro de distribución: no dependen del enlace WAN ni de la observabilidad centralizada. El CD tiene veinticuatro horas de autonomía completa. Esa es la razón de diseño del componente on-premise.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¿Y si el que carga se equivoca de secuencia?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carga es dirigida e inversa a la ruta desde el sistema, no desde una planilla personal. La secuencia deja de ser conocimiento de una persona.</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«Día dos: la operación se va a la calle.»</w:t>
      </w:r>
    </w:p>
    <w:p>
      <w:pPr>
        <w:pStyle w:val="Heading2"/>
        <w:keepNext/>
        <w:spacing w:after="40" w:before="360"/>
      </w:pPr>
      <w:r>
        <w:rPr>
          <w:rFonts w:ascii="Calibri" w:cs="Calibri" w:eastAsia="Calibri" w:hAnsi="Calibri"/>
          <w:b/>
          <w:bCs/>
          <w:color w:val="1F3864"/>
          <w:sz w:val="24"/>
          <w:szCs w:val="24"/>
        </w:rPr>
        <w:t xml:space="preserve">Diapositiva 8 · Dificultades — Reparto en la calle (Día 2)</w:t>
      </w:r>
    </w:p>
    <w:p>
      <w:pPr>
        <w:keepNext/>
        <w:shd w:fill="F2F2F2" w:color="auto" w:val="clear"/>
        <w:spacing w:after="140"/>
      </w:pPr>
      <w:r>
        <w:rPr>
          <w:rFonts w:ascii="Calibri" w:cs="Calibri" w:eastAsia="Calibri" w:hAnsi="Calibri"/>
          <w:b/>
          <w:bCs/>
          <w:color w:val="595959"/>
          <w:sz w:val="18"/>
          <w:szCs w:val="18"/>
        </w:rPr>
        <w:t xml:space="preserve">Duración 0:40   ·   acumulado 3:54   ·   orador: Maximiliano Miño</w:t>
      </w:r>
    </w:p>
    <w:p>
      <w:pPr>
        <w:pBdr>
          <w:left w:val="single" w:color="1F3864" w:sz="12" w:space="8"/>
        </w:pBdr>
        <w:spacing w:after="140" w:line="300"/>
        <w:ind w:left="316"/>
      </w:pPr>
      <w:r>
        <w:rPr>
          <w:rFonts w:ascii="Calibri" w:cs="Calibri" w:eastAsia="Calibri" w:hAnsi="Calibri"/>
          <w:color w:val="000000"/>
          <w:sz w:val="22"/>
          <w:szCs w:val="22"/>
        </w:rPr>
        <w:t xml:space="preserve">Día dos. El camión sale con las guías en papel y un termógrafo que el conductor anota tres veces: no hay registro continuo de temperatura en ninguna parte. El cliente firma en papel. Si paga al contado —treinta y ocho por ciento de las ventas del canal tradicional— el conductor guarda el efectivo en la cabina.</w:t>
      </w:r>
    </w:p>
    <w:p>
      <w:pPr>
        <w:pBdr>
          <w:left w:val="single" w:color="1F3864" w:sz="12" w:space="8"/>
        </w:pBdr>
        <w:spacing w:after="140" w:line="300"/>
        <w:ind w:left="316"/>
      </w:pPr>
      <w:r>
        <w:rPr>
          <w:rFonts w:ascii="Calibri" w:cs="Calibri" w:eastAsia="Calibri" w:hAnsi="Calibri"/>
          <w:color w:val="000000"/>
          <w:sz w:val="22"/>
          <w:szCs w:val="22"/>
        </w:rPr>
        <w:t xml:space="preserve">Si el local está cerrado no hay protocolo: decide cada conductor, y eso explica el cuatro coma dos por ciento de reentregas. Y el uno coma uno por ciento de las guías nunca vuelve: hallar una toma doce días.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Cifras: 38 % pago en efectivo · 4,2 % reentregas · 1,1 % de guías perdidas al mes · 12 días para hallar una guía.</w:t>
      </w:r>
    </w:p>
    <w:p>
      <w:pPr>
        <w:pStyle w:val="ListParagraph"/>
        <w:numPr>
          <w:ilvl w:val="0"/>
          <w:numId w:val="2"/>
        </w:numPr>
        <w:spacing w:after="60" w:line="264"/>
      </w:pPr>
      <w:r>
        <w:rPr>
          <w:rFonts w:ascii="Calibri" w:cs="Calibri" w:eastAsia="Calibri" w:hAnsi="Calibri"/>
          <w:color w:val="595959"/>
          <w:sz w:val="19"/>
          <w:szCs w:val="19"/>
        </w:rPr>
        <w:t xml:space="preserve">Vocabulario (rúbrica B2): decir «prueba de entrega», «canal tradicional», «excursión térmica» con propiedad.</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¿Van a eliminar el pago en efectivo?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No unilateralmente: es decisión del CLIENTE. Lo que hacemos es controlarlo — POS móvil, abonos parciales, rendición digital por camión y bloqueo del cierre ante descuadre sin causal tipificada. Es el resultado R18-10.</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prueba de entrega vale si no hay señal o el receptor no firma en pantalla?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prueba de entrega admite evidencia alternativa: código QR o fotografía con el nombre del receptor, capturada sin conectividad y sincronizada al reconectar. La validez depende del perfil del receptor, no de la conectividad.</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en paralelo a todo esto, está la preventa.»</w:t>
      </w:r>
    </w:p>
    <w:p>
      <w:pPr>
        <w:pStyle w:val="Heading2"/>
        <w:keepNext/>
        <w:spacing w:after="40" w:before="360"/>
      </w:pPr>
      <w:r>
        <w:rPr>
          <w:rFonts w:ascii="Calibri" w:cs="Calibri" w:eastAsia="Calibri" w:hAnsi="Calibri"/>
          <w:b/>
          <w:bCs/>
          <w:color w:val="1F3864"/>
          <w:sz w:val="24"/>
          <w:szCs w:val="24"/>
        </w:rPr>
        <w:t xml:space="preserve">Diapositiva 9 · Dificultades — Preventa en terreno</w:t>
      </w:r>
    </w:p>
    <w:p>
      <w:pPr>
        <w:keepNext/>
        <w:shd w:fill="F2F2F2" w:color="auto" w:val="clear"/>
        <w:spacing w:after="140"/>
      </w:pPr>
      <w:r>
        <w:rPr>
          <w:rFonts w:ascii="Calibri" w:cs="Calibri" w:eastAsia="Calibri" w:hAnsi="Calibri"/>
          <w:b/>
          <w:bCs/>
          <w:color w:val="595959"/>
          <w:sz w:val="18"/>
          <w:szCs w:val="18"/>
        </w:rPr>
        <w:t xml:space="preserve">Duración 0:27   ·   acumulado 4:21   ·   orador: Guillermo Castillo</w:t>
      </w:r>
    </w:p>
    <w:p>
      <w:pPr>
        <w:pBdr>
          <w:left w:val="single" w:color="1F3864" w:sz="12" w:space="8"/>
        </w:pBdr>
        <w:spacing w:after="140" w:line="300"/>
        <w:ind w:left="316"/>
      </w:pPr>
      <w:r>
        <w:rPr>
          <w:rFonts w:ascii="Calibri" w:cs="Calibri" w:eastAsia="Calibri" w:hAnsi="Calibri"/>
          <w:color w:val="000000"/>
          <w:sz w:val="22"/>
          <w:szCs w:val="22"/>
        </w:rPr>
        <w:t xml:space="preserve">En paralelo, sesenta y dos preventistas venden con una aplicación de 2016 cuyo proveedor ya no existe. No muestra stock, ni crédito, ni deuda, ni historial: se vende de memoria. Resultado, siete coma ocho por ciento de las líneas llega con quiebre. Y en zonas rurales la aplicación a veces no envía el pedido, y a veces lo duplica.</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Cifras: 62 preventistas · app de 2016 · 7,8 % de líneas con quiebre.</w:t>
      </w:r>
    </w:p>
    <w:p>
      <w:pPr>
        <w:pStyle w:val="ListParagraph"/>
        <w:numPr>
          <w:ilvl w:val="0"/>
          <w:numId w:val="2"/>
        </w:numPr>
        <w:spacing w:after="60" w:line="264"/>
      </w:pPr>
      <w:r>
        <w:rPr>
          <w:rFonts w:ascii="Calibri" w:cs="Calibri" w:eastAsia="Calibri" w:hAnsi="Calibri"/>
          <w:color w:val="595959"/>
          <w:sz w:val="19"/>
          <w:szCs w:val="19"/>
        </w:rPr>
        <w:t xml:space="preserve">Aquí nace el criterio «cero pedidos perdidos ni duplicados» del Capítulo 18. Dejarlo sembrado.</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muestran stock real si el preventista está sin señal?</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Con caché de turno en el dispositivo, que lleva stock disponible para la venta, crédito y deuda vencida, y con reserva de stock al confirmar el pedido. El momento exacto en que se compromete el stock es una decisión declarada (16.1 #8).</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¿Y si dos preventistas comprometen el mismo stock estando ambos sin señal?</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Se resuelve por regla de negocio al sincronizar, con reconciliación determinista y bitácora auditable de la decisión aplicada, nunca por marca de tiempo ciega. El pedido no se pierde: puede quedar parcial, y el preventista queda notificado.</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el ciclo empieza otra vez en el andén de recepción.»</w:t>
      </w:r>
    </w:p>
    <w:p>
      <w:pPr>
        <w:pStyle w:val="Heading2"/>
        <w:keepNext/>
        <w:spacing w:after="40" w:before="360"/>
      </w:pPr>
      <w:r>
        <w:rPr>
          <w:rFonts w:ascii="Calibri" w:cs="Calibri" w:eastAsia="Calibri" w:hAnsi="Calibri"/>
          <w:b/>
          <w:bCs/>
          <w:color w:val="1F3864"/>
          <w:sz w:val="24"/>
          <w:szCs w:val="24"/>
        </w:rPr>
        <w:t xml:space="preserve">Diapositiva 10 · Dificultades — Recepción de proveedores</w:t>
      </w:r>
    </w:p>
    <w:p>
      <w:pPr>
        <w:keepNext/>
        <w:shd w:fill="F2F2F2" w:color="auto" w:val="clear"/>
        <w:spacing w:after="140"/>
      </w:pPr>
      <w:r>
        <w:rPr>
          <w:rFonts w:ascii="Calibri" w:cs="Calibri" w:eastAsia="Calibri" w:hAnsi="Calibri"/>
          <w:b/>
          <w:bCs/>
          <w:color w:val="595959"/>
          <w:sz w:val="18"/>
          <w:szCs w:val="18"/>
        </w:rPr>
        <w:t xml:space="preserve">Duración 0:25   ·   acumulado 4:46   ·   orador: Guillermo Castillo</w:t>
      </w:r>
    </w:p>
    <w:p>
      <w:pPr>
        <w:pBdr>
          <w:left w:val="single" w:color="1F3864" w:sz="12" w:space="8"/>
        </w:pBdr>
        <w:spacing w:after="140" w:line="300"/>
        <w:ind w:left="316"/>
      </w:pPr>
      <w:r>
        <w:rPr>
          <w:rFonts w:ascii="Calibri" w:cs="Calibri" w:eastAsia="Calibri" w:hAnsi="Calibri"/>
          <w:color w:val="000000"/>
          <w:sz w:val="22"/>
          <w:szCs w:val="22"/>
        </w:rPr>
        <w:t xml:space="preserve">En recepción: ciento ochenta proveedores y ninguno confirma por vía electrónica estructurada. Se cuenta contra la guía de papel y el lote se anota, cuando se anota, en texto libre. En el retiro de marzo, el cuarenta y uno por ciento de las recepciones no tenía lote. Ese es el quiebre de trazabilidad.</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 canónica: 41 % de recepciones sin lote. Es el dato que justifica la innovación 1.</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hacen con el cuarenta y uno por ciento de recepciones históricas sin lote?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No deducimos el dato. Se migra marcado y excluido de la cobertura de trazabilidad hacia atrás; está registrado como vacío V-10 y resuelto por la Decisión 58. La cobertura del cien por ciento es hacia adelante, desde la producción de la Etapa 1.</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¿Van a obligar a los ciento ochenta proveedores a pedir cita?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solución habilita la agenda de andén; exigirla es decisión comercial del CLIENTE. Lo que sí queda obligatorio en el sistema es el registro estructurado de lote y fecha de vencimiento en la recepción.</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al final del día, la flota vuelve.»</w:t>
      </w:r>
    </w:p>
    <w:p>
      <w:pPr>
        <w:pStyle w:val="Heading2"/>
        <w:keepNext/>
        <w:spacing w:after="40" w:before="360"/>
      </w:pPr>
      <w:r>
        <w:rPr>
          <w:rFonts w:ascii="Calibri" w:cs="Calibri" w:eastAsia="Calibri" w:hAnsi="Calibri"/>
          <w:b/>
          <w:bCs/>
          <w:color w:val="1F3864"/>
          <w:sz w:val="24"/>
          <w:szCs w:val="24"/>
        </w:rPr>
        <w:t xml:space="preserve">Diapositiva 11 · Dificultades — Regreso de la flota</w:t>
      </w:r>
    </w:p>
    <w:p>
      <w:pPr>
        <w:keepNext/>
        <w:shd w:fill="F2F2F2" w:color="auto" w:val="clear"/>
        <w:spacing w:after="140"/>
      </w:pPr>
      <w:r>
        <w:rPr>
          <w:rFonts w:ascii="Calibri" w:cs="Calibri" w:eastAsia="Calibri" w:hAnsi="Calibri"/>
          <w:b/>
          <w:bCs/>
          <w:color w:val="595959"/>
          <w:sz w:val="18"/>
          <w:szCs w:val="18"/>
        </w:rPr>
        <w:t xml:space="preserve">Duración 0:25   ·   acumulado 5:11   ·   orador: Guillermo Castillo</w:t>
      </w:r>
    </w:p>
    <w:p>
      <w:pPr>
        <w:pBdr>
          <w:left w:val="single" w:color="1F3864" w:sz="12" w:space="8"/>
        </w:pBdr>
        <w:spacing w:after="140" w:line="300"/>
        <w:ind w:left="316"/>
      </w:pPr>
      <w:r>
        <w:rPr>
          <w:rFonts w:ascii="Calibri" w:cs="Calibri" w:eastAsia="Calibri" w:hAnsi="Calibri"/>
          <w:color w:val="000000"/>
          <w:sz w:val="22"/>
          <w:szCs w:val="22"/>
        </w:rPr>
        <w:t xml:space="preserve">La flota vuelve. El destino de las devoluciones lo decide el jefe de bodega producto por producto, sin registro. Los envases se controlan en cuadernos: sesenta y ocho mil canastillos, catorce por ciento de pérdida anual. Y el efectivo se rinde al día siguiente, con diferencias de cuatro coma dos millones mensuales que se resuelven, cito, «conversando».</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Cifras: 68.000 canastillos + 9.400 pallets · 14 % pérdida anual · $4,2 M mensuales de descuadre.</w:t>
      </w:r>
    </w:p>
    <w:p>
      <w:pPr>
        <w:pStyle w:val="ListParagraph"/>
        <w:numPr>
          <w:ilvl w:val="0"/>
          <w:numId w:val="2"/>
        </w:numPr>
        <w:spacing w:after="60" w:line="264"/>
      </w:pPr>
      <w:r>
        <w:rPr>
          <w:rFonts w:ascii="Calibri" w:cs="Calibri" w:eastAsia="Calibri" w:hAnsi="Calibri"/>
          <w:color w:val="595959"/>
          <w:sz w:val="19"/>
          <w:szCs w:val="19"/>
        </w:rPr>
        <w:t xml:space="preserve">La cita «conversando» es del jefe de tesorería. Decirla como cita: pega fuerte y es del caso.</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Si los envases nunca se contaron, ¿de dónde sale el saldo inicial?</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De un inventario de apertura acordado con el CLIENTE. Está declarado como vacío V-11 y resuelto por la Decisión 58. Desde ese saldo, la cuenta corriente por cliente se actualiza en cada entrega y cada devolución.</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¿Le van a cobrar al conductor las diferencias de rendición?</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No proponemos una sanción: proponemos que la diferencia deje de ser invisible. El cierre se bloquea sin causal tipificada, y la causal permite distinguir error de conteo, descuento otorgado, cobro no realizado o pérdida. Qué se hace con esa información es política del CLIENTE.</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así se cierra el ciclo.»</w:t>
      </w:r>
    </w:p>
    <w:p>
      <w:pPr>
        <w:pStyle w:val="Heading2"/>
        <w:keepNext/>
        <w:spacing w:after="40" w:before="360"/>
      </w:pPr>
      <w:r>
        <w:rPr>
          <w:rFonts w:ascii="Calibri" w:cs="Calibri" w:eastAsia="Calibri" w:hAnsi="Calibri"/>
          <w:b/>
          <w:bCs/>
          <w:color w:val="1F3864"/>
          <w:sz w:val="24"/>
          <w:szCs w:val="24"/>
        </w:rPr>
        <w:t xml:space="preserve">Diapositiva 12 · Dificultades — Ciclo completo</w:t>
      </w:r>
    </w:p>
    <w:p>
      <w:pPr>
        <w:keepNext/>
        <w:shd w:fill="F2F2F2" w:color="auto" w:val="clear"/>
        <w:spacing w:after="140"/>
      </w:pPr>
      <w:r>
        <w:rPr>
          <w:rFonts w:ascii="Calibri" w:cs="Calibri" w:eastAsia="Calibri" w:hAnsi="Calibri"/>
          <w:b/>
          <w:bCs/>
          <w:color w:val="595959"/>
          <w:sz w:val="18"/>
          <w:szCs w:val="18"/>
        </w:rPr>
        <w:t xml:space="preserve">Duración 0:18   ·   acumulado 5:29   ·   orador: Guillermo Castillo</w:t>
      </w:r>
    </w:p>
    <w:p>
      <w:pPr>
        <w:pBdr>
          <w:left w:val="single" w:color="1F3864" w:sz="12" w:space="8"/>
        </w:pBdr>
        <w:spacing w:after="140" w:line="300"/>
        <w:ind w:left="316"/>
      </w:pPr>
      <w:r>
        <w:rPr>
          <w:rFonts w:ascii="Calibri" w:cs="Calibri" w:eastAsia="Calibri" w:hAnsi="Calibri"/>
          <w:color w:val="000000"/>
          <w:sz w:val="22"/>
          <w:szCs w:val="22"/>
        </w:rPr>
        <w:t xml:space="preserve">Este es el ciclo completo. No son fallas aisladas: se refuerzan. La venta a ciegas produce quiebres, la ruta artesanal deja los camiones al sesenta y ocho por ciento, y la entrega sin evidencia genera reentregas que nadie puede costear.</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Cerrar el bloque con la idea sistémica: «el impacto total es mayor que la suma de las partes».</w:t>
      </w:r>
    </w:p>
    <w:p>
      <w:pPr>
        <w:pStyle w:val="ListParagraph"/>
        <w:numPr>
          <w:ilvl w:val="0"/>
          <w:numId w:val="2"/>
        </w:numPr>
        <w:spacing w:after="60" w:line="264"/>
      </w:pPr>
      <w:r>
        <w:rPr>
          <w:rFonts w:ascii="Calibri" w:cs="Calibri" w:eastAsia="Calibri" w:hAnsi="Calibri"/>
          <w:color w:val="595959"/>
          <w:sz w:val="19"/>
          <w:szCs w:val="19"/>
        </w:rPr>
        <w:t xml:space="preserve">Rúbrica A2: hasta aquí NO se ha mencionado ninguna solución. Mantenerlo así.</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De todos estos problemas, ¿cuál atacan primero?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Trazabilidad sanitaria y captura del conocimiento del planificador. Los dos van en Etapa 1 por criterio declarado (Decisión 20): son las dos urgencias que el propio caso explicita, una por el sumario abierto y la otra por la jubilación.</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«Ordenemos ese diagnóstico.»</w:t>
      </w:r>
    </w:p>
    <w:p>
      <w:pPr>
        <w:pStyle w:val="Heading2"/>
        <w:keepNext/>
        <w:spacing w:after="40" w:before="360"/>
      </w:pPr>
      <w:r>
        <w:rPr>
          <w:rFonts w:ascii="Calibri" w:cs="Calibri" w:eastAsia="Calibri" w:hAnsi="Calibri"/>
          <w:b/>
          <w:bCs/>
          <w:color w:val="1F3864"/>
          <w:sz w:val="24"/>
          <w:szCs w:val="24"/>
        </w:rPr>
        <w:t xml:space="preserve">Diapositiva 13 · Problemas — Mapa por áreas</w:t>
      </w:r>
    </w:p>
    <w:p>
      <w:pPr>
        <w:keepNext/>
        <w:shd w:fill="F2F2F2" w:color="auto" w:val="clear"/>
        <w:spacing w:after="140"/>
      </w:pPr>
      <w:r>
        <w:rPr>
          <w:rFonts w:ascii="Calibri" w:cs="Calibri" w:eastAsia="Calibri" w:hAnsi="Calibri"/>
          <w:b/>
          <w:bCs/>
          <w:color w:val="595959"/>
          <w:sz w:val="18"/>
          <w:szCs w:val="18"/>
        </w:rPr>
        <w:t xml:space="preserve">Duración 0:50   ·   acumulado 6:19   ·   orador: Leandro Chamorro</w:t>
      </w:r>
    </w:p>
    <w:p>
      <w:pPr>
        <w:pBdr>
          <w:left w:val="single" w:color="1F3864" w:sz="12" w:space="8"/>
        </w:pBdr>
        <w:spacing w:after="140" w:line="300"/>
        <w:ind w:left="316"/>
      </w:pPr>
      <w:r>
        <w:rPr>
          <w:rFonts w:ascii="Calibri" w:cs="Calibri" w:eastAsia="Calibri" w:hAnsi="Calibri"/>
          <w:color w:val="000000"/>
          <w:sz w:val="22"/>
          <w:szCs w:val="22"/>
        </w:rPr>
        <w:t xml:space="preserve">Ordenado, el diagnóstico son estos frentes. Trazabilidad y calidad sanitaria: el retiro del lote 24-0217 tardó nueve días, costó treinta y un millones y cuatro mil ochocientos kilos, y dejó un sumario abierto y seis meses de suspensión como distribuidor, seis por ciento de las ventas.</w:t>
      </w:r>
    </w:p>
    <w:p>
      <w:pPr>
        <w:pBdr>
          <w:left w:val="single" w:color="1F3864" w:sz="12" w:space="8"/>
        </w:pBdr>
        <w:spacing w:after="140" w:line="300"/>
        <w:ind w:left="316"/>
      </w:pPr>
      <w:r>
        <w:rPr>
          <w:rFonts w:ascii="Calibri" w:cs="Calibri" w:eastAsia="Calibri" w:hAnsi="Calibri"/>
          <w:color w:val="000000"/>
          <w:sz w:val="22"/>
          <w:szCs w:val="22"/>
        </w:rPr>
        <w:t xml:space="preserve">Preventa: a ciegas. Rutas: una sola persona. Bodega: dos coma tres por ciento de diferencia de conteo y uno coma siete de merma. Entrega: papel. Envases: catorce por ciento de pérdida. Costo de servir: prorrateo de 2016. Y cumplimiento comercial: Puelche no cumple ninguna de las cuatro condiciones que su principal cadena exige para enero de 2029, y esa cadena es el once por ciento de la venta.</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Cifras canónicas de esta lámina: 24-0217 · 9 días · $31.000.000 · 4.800 kg · 6 meses · 6 % de ventas · 2,3 % · 1,7 % · 14 % · 11 % de la venta.</w:t>
      </w:r>
    </w:p>
    <w:p>
      <w:pPr>
        <w:pStyle w:val="ListParagraph"/>
        <w:numPr>
          <w:ilvl w:val="0"/>
          <w:numId w:val="2"/>
        </w:numPr>
        <w:spacing w:after="60" w:line="264"/>
      </w:pPr>
      <w:r>
        <w:rPr>
          <w:rFonts w:ascii="Calibri" w:cs="Calibri" w:eastAsia="Calibri" w:hAnsi="Calibri"/>
          <w:color w:val="595959"/>
          <w:sz w:val="19"/>
          <w:szCs w:val="19"/>
        </w:rPr>
        <w:t xml:space="preserve">Los tres problemas del caso quedan nombrados: habilitación sanitaria y comercial, competitividad del servicio y costo. Rúbrica, checklist §3.5.</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¿De dónde salen estas cifras?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Del Capítulo 15 y del relato del caso, referenciadas en el Subdoc 2. Ninguna es una estimación nuestra; donde el caso no da un valor, lo declaramos como supuesto.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El ochenta y dos coma cuatro por ciento de OTIF, ¿con qué definición está calculado?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 el dato declarado por Puelche, y ese es justamente el problema: no hay definición unívoca de «entrega cumplida». Fijarla es la decisión 16.1 #1 y es condición para que la meta sea verificable.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separan «cumplimiento normativo y comercial» si ya hablaron de trazabilidad?</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son dos presiones distintas: la sanitaria viene de la autoridad y del proveedor; la comercial viene de la cadena de supermercados que fijó condiciones para enero de 2029. La misma plataforma responde a las dos, pero los plazos y los evaluadores son distintos.</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«Frente a eso, esta es nuestra propuesta.»</w:t>
      </w:r>
    </w:p>
    <w:p>
      <w:pPr>
        <w:pStyle w:val="Heading2"/>
        <w:keepNext/>
        <w:spacing w:after="40" w:before="360"/>
      </w:pPr>
      <w:r>
        <w:rPr>
          <w:rFonts w:ascii="Calibri" w:cs="Calibri" w:eastAsia="Calibri" w:hAnsi="Calibri"/>
          <w:b/>
          <w:bCs/>
          <w:color w:val="1F3864"/>
          <w:sz w:val="24"/>
          <w:szCs w:val="24"/>
        </w:rPr>
        <w:t xml:space="preserve">Diapositiva 14 · Propuesta</w:t>
      </w:r>
    </w:p>
    <w:p>
      <w:pPr>
        <w:keepNext/>
        <w:shd w:fill="F2F2F2" w:color="auto" w:val="clear"/>
        <w:spacing w:after="140"/>
      </w:pPr>
      <w:r>
        <w:rPr>
          <w:rFonts w:ascii="Calibri" w:cs="Calibri" w:eastAsia="Calibri" w:hAnsi="Calibri"/>
          <w:b/>
          <w:bCs/>
          <w:color w:val="595959"/>
          <w:sz w:val="18"/>
          <w:szCs w:val="18"/>
        </w:rPr>
        <w:t xml:space="preserve">Duración 0:15   ·   acumulado 6:34   ·   orador: Leandro Chamorro</w:t>
      </w:r>
    </w:p>
    <w:p>
      <w:pPr>
        <w:pBdr>
          <w:left w:val="single" w:color="1F3864" w:sz="12" w:space="8"/>
        </w:pBdr>
        <w:spacing w:after="140" w:line="300"/>
        <w:ind w:left="316"/>
      </w:pPr>
      <w:r>
        <w:rPr>
          <w:rFonts w:ascii="Calibri" w:cs="Calibri" w:eastAsia="Calibri" w:hAnsi="Calibri"/>
          <w:color w:val="000000"/>
          <w:sz w:val="22"/>
          <w:szCs w:val="22"/>
        </w:rPr>
        <w:t xml:space="preserve">Proponemos el diseño, la construcción, la implantación y la operación de una plataforma digital de logística. No es un módulo ni la modernización de un sistema aislado: es integral, porque los tres problemas se retroalimentan.</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Pausa después de «plataforma integral». Es el pivote entre el bloque de problema y el de solución.</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una plataforma y no ir módulo por módulo?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los tres problemas se retroalimentan: el costo de servir necesita los eventos de la entrega, y la preventa informada necesita el stock de bodega. Ir por módulos aislados reproduce los silos actuales. La entrega sí es por etapas y por olas, nunca un cambio total de una vez.</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qué significa eso en concreto?»</w:t>
      </w:r>
    </w:p>
    <w:p>
      <w:pPr>
        <w:pStyle w:val="Heading2"/>
        <w:keepNext/>
        <w:spacing w:after="40" w:before="360"/>
      </w:pPr>
      <w:r>
        <w:rPr>
          <w:rFonts w:ascii="Calibri" w:cs="Calibri" w:eastAsia="Calibri" w:hAnsi="Calibri"/>
          <w:b/>
          <w:bCs/>
          <w:color w:val="1F3864"/>
          <w:sz w:val="24"/>
          <w:szCs w:val="24"/>
        </w:rPr>
        <w:t xml:space="preserve">Diapositiva 15 · Objetivo</w:t>
      </w:r>
    </w:p>
    <w:p>
      <w:pPr>
        <w:keepNext/>
        <w:shd w:fill="F2F2F2" w:color="auto" w:val="clear"/>
        <w:spacing w:after="140"/>
      </w:pPr>
      <w:r>
        <w:rPr>
          <w:rFonts w:ascii="Calibri" w:cs="Calibri" w:eastAsia="Calibri" w:hAnsi="Calibri"/>
          <w:b/>
          <w:bCs/>
          <w:color w:val="595959"/>
          <w:sz w:val="18"/>
          <w:szCs w:val="18"/>
        </w:rPr>
        <w:t xml:space="preserve">Duración 0:32   ·   acumulado 7:06   ·   orador: Leandro Chamorro</w:t>
      </w:r>
    </w:p>
    <w:p>
      <w:pPr>
        <w:pBdr>
          <w:left w:val="single" w:color="1F3864" w:sz="12" w:space="8"/>
        </w:pBdr>
        <w:spacing w:after="140" w:line="300"/>
        <w:ind w:left="316"/>
      </w:pPr>
      <w:r>
        <w:rPr>
          <w:rFonts w:ascii="Calibri" w:cs="Calibri" w:eastAsia="Calibri" w:hAnsi="Calibri"/>
          <w:color w:val="000000"/>
          <w:sz w:val="22"/>
          <w:szCs w:val="22"/>
        </w:rPr>
        <w:t xml:space="preserve">El objetivo es reemplazar la operación de libreta, en cinco compromisos. Trazabilidad de lote con evidencia en menos de dos horas, no estimación. Venta con información real en terreno. Capturar el conocimiento del planificador y pasarlo a un motor de ruteo, antes de que se jubile. Terminar con la guía de papel, con cada entrega registrada en el lugar y el momento. Y cero descuadres, con los activos bajo control.</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Rúbrica B5: cada bloque cierra con su compromiso. Estos cinco son criterios del Capítulo 18 del caso.</w:t>
      </w:r>
    </w:p>
    <w:p>
      <w:pPr>
        <w:pStyle w:val="ListParagraph"/>
        <w:numPr>
          <w:ilvl w:val="0"/>
          <w:numId w:val="2"/>
        </w:numPr>
        <w:spacing w:after="60" w:line="264"/>
      </w:pPr>
      <w:r>
        <w:rPr>
          <w:rFonts w:ascii="Calibri" w:cs="Calibri" w:eastAsia="Calibri" w:hAnsi="Calibri"/>
          <w:color w:val="595959"/>
          <w:sz w:val="19"/>
          <w:szCs w:val="19"/>
        </w:rPr>
        <w:t xml:space="preserve">Ojo: la lámina dice «trazabilidad de lote en horas», pero el compromiso contractual es menos de dos horas (R18-01). Decir la cifra exacta en voz alta; la lámina no se corrige a esta altura, pero la Comisión sí puede preguntarlo.</w:t>
      </w:r>
    </w:p>
    <w:p>
      <w:pPr>
        <w:pStyle w:val="ListParagraph"/>
        <w:numPr>
          <w:ilvl w:val="0"/>
          <w:numId w:val="2"/>
        </w:numPr>
        <w:spacing w:after="60" w:line="264"/>
      </w:pPr>
      <w:r>
        <w:rPr>
          <w:rFonts w:ascii="Calibri" w:cs="Calibri" w:eastAsia="Calibri" w:hAnsi="Calibri"/>
          <w:color w:val="595959"/>
          <w:sz w:val="19"/>
          <w:szCs w:val="19"/>
        </w:rPr>
        <w:t xml:space="preserve">Numerar en voz alta (uno, dos, tres…) ayuda a la comisión a seguir sin leer la lámina.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Dicen «trazabilidad en horas». ¿Cuál es el compromiso exacto?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Menos de dos horas, con evidencia sobre el cien por ciento del lote, desde la producción de la Etapa 1. Es el criterio R18-01 del Capítulo 18. «En horas» es el lenguaje de la lámina; el compromiso contractual es menos de dos horas.</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«Terminar con la guía de papel»: ¿eso incluye el documento tributario?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El documento tributario lo sigue emitiendo el ERP, que no se reemplaza. Lo que se digitaliza es la evidencia de entrega y su articulación con la guía de despacho electrónica y el acuse de recibo. Una sola verdad, un solo emisor.</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«Agrupados, esos compromisos son tres áreas de mejora.»</w:t>
      </w:r>
    </w:p>
    <w:p>
      <w:pPr>
        <w:pStyle w:val="Heading2"/>
        <w:keepNext/>
        <w:spacing w:after="40" w:before="360"/>
      </w:pPr>
      <w:r>
        <w:rPr>
          <w:rFonts w:ascii="Calibri" w:cs="Calibri" w:eastAsia="Calibri" w:hAnsi="Calibri"/>
          <w:b/>
          <w:bCs/>
          <w:color w:val="1F3864"/>
          <w:sz w:val="24"/>
          <w:szCs w:val="24"/>
        </w:rPr>
        <w:t xml:space="preserve">Diapositiva 16 · Áreas de mejora</w:t>
      </w:r>
    </w:p>
    <w:p>
      <w:pPr>
        <w:keepNext/>
        <w:shd w:fill="F2F2F2" w:color="auto" w:val="clear"/>
        <w:spacing w:after="140"/>
      </w:pPr>
      <w:r>
        <w:rPr>
          <w:rFonts w:ascii="Calibri" w:cs="Calibri" w:eastAsia="Calibri" w:hAnsi="Calibri"/>
          <w:b/>
          <w:bCs/>
          <w:color w:val="595959"/>
          <w:sz w:val="18"/>
          <w:szCs w:val="18"/>
        </w:rPr>
        <w:t xml:space="preserve">Duración 0:50   ·   acumulado 7:56   ·   orador: Bastián Trejo</w:t>
      </w:r>
    </w:p>
    <w:p>
      <w:pPr>
        <w:pBdr>
          <w:left w:val="single" w:color="1F3864" w:sz="12" w:space="8"/>
        </w:pBdr>
        <w:spacing w:after="140" w:line="300"/>
        <w:ind w:left="316"/>
      </w:pPr>
      <w:r>
        <w:rPr>
          <w:rFonts w:ascii="Calibri" w:cs="Calibri" w:eastAsia="Calibri" w:hAnsi="Calibri"/>
          <w:color w:val="000000"/>
          <w:sz w:val="22"/>
          <w:szCs w:val="22"/>
        </w:rPr>
        <w:t xml:space="preserve">Los tres problemas se atacan en una sola plataforma. Primero, trazabilidad y cadena de frío: el lote pasa de discrecional a obligatorio y estructurado en recepción, con GS1 EPCIS y retención de cinco años, y la temperatura se registra en continuo con alerta ante excursión térmica. Eso es habilitación comercial, no solo cumplimiento.</w:t>
      </w:r>
    </w:p>
    <w:p>
      <w:pPr>
        <w:pBdr>
          <w:left w:val="single" w:color="1F3864" w:sz="12" w:space="8"/>
        </w:pBdr>
        <w:spacing w:after="140" w:line="300"/>
        <w:ind w:left="316"/>
      </w:pPr>
      <w:r>
        <w:rPr>
          <w:rFonts w:ascii="Calibri" w:cs="Calibri" w:eastAsia="Calibri" w:hAnsi="Calibri"/>
          <w:color w:val="000000"/>
          <w:sz w:val="22"/>
          <w:szCs w:val="22"/>
        </w:rPr>
        <w:t xml:space="preserve">Segundo, competitividad: preventa informada y offline catorce horas sin señal, sin pedidos perdidos ni duplicados; entrega con prueba digital; y canal moderno con pedido electrónico, en producción antes de enero de 2029. Tercero, costo de servir: el ruteo deja de depender de la planilla, y el costo se construye desde el hecho, por cliente y por entrega.</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Las tres columnas de la lámina se corresponden una a una con los tres párrafos. No improvisar el orden.</w:t>
      </w:r>
    </w:p>
    <w:p>
      <w:pPr>
        <w:pStyle w:val="ListParagraph"/>
        <w:numPr>
          <w:ilvl w:val="0"/>
          <w:numId w:val="2"/>
        </w:numPr>
        <w:spacing w:after="60" w:line="264"/>
      </w:pPr>
      <w:r>
        <w:rPr>
          <w:rFonts w:ascii="Calibri" w:cs="Calibri" w:eastAsia="Calibri" w:hAnsi="Calibri"/>
          <w:color w:val="595959"/>
          <w:sz w:val="19"/>
          <w:szCs w:val="19"/>
        </w:rPr>
        <w:t xml:space="preserve">Vocabulario exigido: GS1 EPCIS, excursión térmica, OTIF, costo de servir, canal moderno.</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GS1 EPCIS y no un modelo de trazabilidad propio?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es el estándar que entienden la autoridad sanitaria, el proveedor y la cadena, es exigible por las transversales y evita el lock-in. La identidad primaria es el lote del proveedor en GS1 —GTIN más lote más vencimiento— y la unidad logística SSCC se enlaza en cada movimiento interno.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es exactamente una excursión térmica y quién decide?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Hoy no existe regla escrita en Puelche: es la decisión 16.1 #4, y la declaramos como tal. Proponemos umbral y duración por rango de producto, detección en el borde y regla escrita de bloqueo, con la autoridad de decisión radicada en la jefatura de calidad. Sin esa regla, cualquier sistema de alertas es inoperable.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¿El motor propone la ruta o la impone?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propone y el planificador la corrige. Cada corrección queda registrada, y ese registro es lo que codifica su criterio. Imponerla sería perder el conocimiento que estamos tratando de capturar.</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cuándo se entrega cada cosa? El cronograma es innegociable.»</w:t>
      </w:r>
    </w:p>
    <w:p>
      <w:pPr>
        <w:pStyle w:val="Heading2"/>
        <w:keepNext/>
        <w:spacing w:after="40" w:before="360"/>
      </w:pPr>
      <w:r>
        <w:rPr>
          <w:rFonts w:ascii="Calibri" w:cs="Calibri" w:eastAsia="Calibri" w:hAnsi="Calibri"/>
          <w:b/>
          <w:bCs/>
          <w:color w:val="1F3864"/>
          <w:sz w:val="24"/>
          <w:szCs w:val="24"/>
        </w:rPr>
        <w:t xml:space="preserve">Diapositiva 17 · Etapas — Etapa 1</w:t>
      </w:r>
    </w:p>
    <w:p>
      <w:pPr>
        <w:keepNext/>
        <w:shd w:fill="F2F2F2" w:color="auto" w:val="clear"/>
        <w:spacing w:after="140"/>
      </w:pPr>
      <w:r>
        <w:rPr>
          <w:rFonts w:ascii="Calibri" w:cs="Calibri" w:eastAsia="Calibri" w:hAnsi="Calibri"/>
          <w:b/>
          <w:bCs/>
          <w:color w:val="595959"/>
          <w:sz w:val="18"/>
          <w:szCs w:val="18"/>
        </w:rPr>
        <w:t xml:space="preserve">Duración 0:45   ·   acumulado 8:41   ·   orador: Bastián Trejo</w:t>
      </w:r>
    </w:p>
    <w:p>
      <w:pPr>
        <w:pBdr>
          <w:left w:val="single" w:color="1F3864" w:sz="12" w:space="8"/>
        </w:pBdr>
        <w:spacing w:after="140" w:line="300"/>
        <w:ind w:left="316"/>
      </w:pPr>
      <w:r>
        <w:rPr>
          <w:rFonts w:ascii="Calibri" w:cs="Calibri" w:eastAsia="Calibri" w:hAnsi="Calibri"/>
          <w:color w:val="000000"/>
          <w:sz w:val="22"/>
          <w:szCs w:val="22"/>
        </w:rPr>
        <w:t xml:space="preserve">El cronograma de cincuenta y seis meses es innegociable y lo respetamos. Etapa 1: desarrollo meses uno a doce, marcha blanca trece a quince, producción en el dieciséis.</w:t>
      </w:r>
    </w:p>
    <w:p>
      <w:pPr>
        <w:pBdr>
          <w:left w:val="single" w:color="1F3864" w:sz="12" w:space="8"/>
        </w:pBdr>
        <w:spacing w:after="140" w:line="300"/>
        <w:ind w:left="316"/>
      </w:pPr>
      <w:r>
        <w:rPr>
          <w:rFonts w:ascii="Calibri" w:cs="Calibri" w:eastAsia="Calibri" w:hAnsi="Calibri"/>
          <w:color w:val="000000"/>
          <w:sz w:val="22"/>
          <w:szCs w:val="22"/>
        </w:rPr>
        <w:t xml:space="preserve">Ahí entra arquitectura y seguridad, la infraestructura con cinco ambientes más recuperación ante desastres, y los módulos de trazabilidad y cadena de frío, recepción, gestión de almacén —que reemplaza el WMS de 2013—, preventa offline, picking, entrega y prueba de entrega, rendición, devoluciones y envases, y ruteo. El ruteo va en Etapa 1 por una razón explícita: el planificador se jubila en dos años y su conocimiento hay que capturarlo antes.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Bloqueante G2: Etapa 1 son los meses 1–15 (desarrollo 1–12 + marcha blanca 13–15), producción en el 16. Decir «Etapa 1 son los primeros 12 meses» es error.</w:t>
      </w:r>
    </w:p>
    <w:p>
      <w:pPr>
        <w:pStyle w:val="ListParagraph"/>
        <w:numPr>
          <w:ilvl w:val="0"/>
          <w:numId w:val="2"/>
        </w:numPr>
        <w:spacing w:after="60" w:line="264"/>
      </w:pPr>
      <w:r>
        <w:rPr>
          <w:rFonts w:ascii="Calibri" w:cs="Calibri" w:eastAsia="Calibri" w:hAnsi="Calibri"/>
          <w:color w:val="595959"/>
          <w:sz w:val="19"/>
          <w:szCs w:val="19"/>
        </w:rPr>
        <w:t xml:space="preserve">Son cinco ambientes + DR (RT-04.01), no cuatro. La discrepancia con el Art. 24° está declarada como consulta.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¿Reemplazan el WMS de 2013 o conviven con él?</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Se reemplaza, dentro de la Etapa 1. Convive detrás de la misma capa anticorrupción con una tabla de capacidad absorbida —recepción GS1, slotting, misiones con terminal, conteo cíclico— que se vacía ola a ola por sitio, con estrategia azul-verde y plan de reversión, y se retira al cierre de la Etapa 1.</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¿Cuatro ambientes o cinco?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Cinco más el ambiente de Recuperación ante Desastres, por precedencia de las Bases Técnicas Transversales sobre el Art. 24°. La divergencia está registrada como vacío V-04 y resuelta por precedencia, no por criterio nuestro.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el ruteo en Etapa 1 y no más adelante?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 la jubilación del planificador en dos años. Es criterio de asignación declarado en la Decisión 20 y corresponde al resultado R18-16: el conocimiento queda codificado antes de su salida.</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la Etapa 2 se solapa con la primera.»</w:t>
      </w:r>
    </w:p>
    <w:p>
      <w:pPr>
        <w:pStyle w:val="Heading2"/>
        <w:keepNext/>
        <w:spacing w:after="40" w:before="360"/>
      </w:pPr>
      <w:r>
        <w:rPr>
          <w:rFonts w:ascii="Calibri" w:cs="Calibri" w:eastAsia="Calibri" w:hAnsi="Calibri"/>
          <w:b/>
          <w:bCs/>
          <w:color w:val="1F3864"/>
          <w:sz w:val="24"/>
          <w:szCs w:val="24"/>
        </w:rPr>
        <w:t xml:space="preserve">Diapositiva 18 · Etapas — Etapa 2</w:t>
      </w:r>
    </w:p>
    <w:p>
      <w:pPr>
        <w:keepNext/>
        <w:shd w:fill="F2F2F2" w:color="auto" w:val="clear"/>
        <w:spacing w:after="140"/>
      </w:pPr>
      <w:r>
        <w:rPr>
          <w:rFonts w:ascii="Calibri" w:cs="Calibri" w:eastAsia="Calibri" w:hAnsi="Calibri"/>
          <w:b/>
          <w:bCs/>
          <w:color w:val="595959"/>
          <w:sz w:val="18"/>
          <w:szCs w:val="18"/>
        </w:rPr>
        <w:t xml:space="preserve">Duración 0:35   ·   acumulado 9:16   ·   orador: Bastián Trejo</w:t>
      </w:r>
    </w:p>
    <w:p>
      <w:pPr>
        <w:pBdr>
          <w:left w:val="single" w:color="1F3864" w:sz="12" w:space="8"/>
        </w:pBdr>
        <w:spacing w:after="140" w:line="300"/>
        <w:ind w:left="316"/>
      </w:pPr>
      <w:r>
        <w:rPr>
          <w:rFonts w:ascii="Calibri" w:cs="Calibri" w:eastAsia="Calibri" w:hAnsi="Calibri"/>
          <w:color w:val="000000"/>
          <w:sz w:val="22"/>
          <w:szCs w:val="22"/>
        </w:rPr>
        <w:t xml:space="preserve">Etapa 2: meses trece a dieciocho, marcha blanca diecinueve y veinte, producción en el veintiuno. Se solapa con la primera, y así está en las bases.</w:t>
      </w:r>
    </w:p>
    <w:p>
      <w:pPr>
        <w:pBdr>
          <w:left w:val="single" w:color="1F3864" w:sz="12" w:space="8"/>
        </w:pBdr>
        <w:spacing w:after="140" w:line="300"/>
        <w:ind w:left="316"/>
      </w:pPr>
      <w:r>
        <w:rPr>
          <w:rFonts w:ascii="Calibri" w:cs="Calibri" w:eastAsia="Calibri" w:hAnsi="Calibri"/>
          <w:color w:val="000000"/>
          <w:sz w:val="22"/>
          <w:szCs w:val="22"/>
        </w:rPr>
        <w:t xml:space="preserve">Aquí entran canal moderno y portales, con pedido electrónico, aviso de despacho y ventana de treinta minutos; analítica con OTIF, fill rate y costo de servir por entrega; el ruteo completo con restricciones de capacidad y de frío; y telemetría de flota, respetando el acuerdo sindical.</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Mencionar el acuerdo sindical: el caso lo exige y la rúbrica lo revisa en el checklist de coherencia.</w:t>
      </w:r>
    </w:p>
    <w:p>
      <w:pPr>
        <w:pStyle w:val="ListParagraph"/>
        <w:numPr>
          <w:ilvl w:val="0"/>
          <w:numId w:val="2"/>
        </w:numPr>
        <w:spacing w:after="60" w:line="264"/>
      </w:pPr>
      <w:r>
        <w:rPr>
          <w:rFonts w:ascii="Calibri" w:cs="Calibri" w:eastAsia="Calibri" w:hAnsi="Calibri"/>
          <w:color w:val="595959"/>
          <w:sz w:val="19"/>
          <w:szCs w:val="19"/>
        </w:rPr>
        <w:t xml:space="preserve">El canal moderno debe estar en producción antes de enero de 2029: es el hito externo que protege el 11 % de la venta.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El canal moderno rige desde enero de 2029. ¿Llegan a tiempo?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Sí, con holgura: producción en el mes 21 del contrato, y el hito externo está declarado en la tabla de hitos del Subdoc 3. Es el resultado R18-13.</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se hacen cargo del sindicato con la telemetría?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El alcance es acotado y declarado: ruta planificada versus real, geocercas de llegada y salida, y vinculación conductor-camión por viaje. No proponemos cámaras en cabina. Va con acuerdo sindical y plan de gestión del cambio activo desde el mes 1.</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la analítica queda en Etapa 2 si el costo de servir es urgente?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el costo de servir se construye desde los hechos operacionales, y esos hechos —kilómetros, tiempos de descarga, peajes, faltantes con causa— solo existen una vez que la Etapa 1 está capturándolos. Calcularlo antes sería volver al prorrateo de 2016 con otro nombre.</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después de la Etapa 2 viene lo más largo del contrato.»</w:t>
      </w:r>
    </w:p>
    <w:p>
      <w:pPr>
        <w:pStyle w:val="Heading2"/>
        <w:keepNext/>
        <w:spacing w:after="40" w:before="360"/>
      </w:pPr>
      <w:r>
        <w:rPr>
          <w:rFonts w:ascii="Calibri" w:cs="Calibri" w:eastAsia="Calibri" w:hAnsi="Calibri"/>
          <w:b/>
          <w:bCs/>
          <w:color w:val="1F3864"/>
          <w:sz w:val="24"/>
          <w:szCs w:val="24"/>
        </w:rPr>
        <w:t xml:space="preserve">Diapositiva 19 · Etapas — Operación y soporte</w:t>
      </w:r>
    </w:p>
    <w:p>
      <w:pPr>
        <w:keepNext/>
        <w:shd w:fill="F2F2F2" w:color="auto" w:val="clear"/>
        <w:spacing w:after="140"/>
      </w:pPr>
      <w:r>
        <w:rPr>
          <w:rFonts w:ascii="Calibri" w:cs="Calibri" w:eastAsia="Calibri" w:hAnsi="Calibri"/>
          <w:b/>
          <w:bCs/>
          <w:color w:val="595959"/>
          <w:sz w:val="18"/>
          <w:szCs w:val="18"/>
        </w:rPr>
        <w:t xml:space="preserve">Duración 0:32   ·   acumulado 9:48   ·   orador: Patricio Henríquez</w:t>
      </w:r>
    </w:p>
    <w:p>
      <w:pPr>
        <w:pBdr>
          <w:left w:val="single" w:color="1F3864" w:sz="12" w:space="8"/>
        </w:pBdr>
        <w:spacing w:after="140" w:line="300"/>
        <w:ind w:left="316"/>
      </w:pPr>
      <w:r>
        <w:rPr>
          <w:rFonts w:ascii="Calibri" w:cs="Calibri" w:eastAsia="Calibri" w:hAnsi="Calibri"/>
          <w:color w:val="000000"/>
          <w:sz w:val="22"/>
          <w:szCs w:val="22"/>
        </w:rPr>
        <w:t xml:space="preserve">Y treinta y seis meses de operación, del veintiuno al cincuenta y seis: veinticuatro por siete, mesa de soporte en cuatro niveles, mantención correctiva, preventiva y evolutiva. El compromiso crítico es noventa y nueve coma nueve por ciento, medido sobre la transacción de negocio de extremo a extremo, no sobre un servidor. Informe mensual, multas por incumplimiento, y transferencia de conocimiento al equipo del cliente, que son cuatro personas.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La distinción «SLO de transacción de negocio, no de servidor» es un diferenciador técnico. Decirla.</w:t>
      </w:r>
    </w:p>
    <w:p>
      <w:pPr>
        <w:pStyle w:val="ListParagraph"/>
        <w:numPr>
          <w:ilvl w:val="0"/>
          <w:numId w:val="2"/>
        </w:numPr>
        <w:spacing w:after="60" w:line="264"/>
      </w:pPr>
      <w:r>
        <w:rPr>
          <w:rFonts w:ascii="Calibri" w:cs="Calibri" w:eastAsia="Calibri" w:hAnsi="Calibri"/>
          <w:color w:val="595959"/>
          <w:sz w:val="19"/>
          <w:szCs w:val="19"/>
        </w:rPr>
        <w:t xml:space="preserve">Equipo TI de 4 personas: es supuesto del caso y sustenta la innovación 4 y la decisión de monolito modular.</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El noventa y nueve coma nueve por ciento, ¿es mensual o anual? ¿Y sobre qué?</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Mensual, y sobre la transacción de negocio crítica de extremo a extremo: pedido, entrega y prueba de entrega. No sobre disponibilidad de servidores. Los servicios están clasificados: crítico igual o mayor a 99,9 %, alto igual o mayor a 99 %, y medio y bajo diferibles con latencia declarada.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dimensionaron la mesa de ayuda?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Con Erlang C sobre la volumetría del canal, con meta de 80 % de llamadas atendidas en veinte segundos y 70 % de resolución en el primer contacto. El dimensionamiento con la volumetría real está declarado como investigación adicional de la innovación 4.</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pasa con el equipo de TI del cliente durante los treinta y seis meses?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Capacitación y transferencia de conocimiento durante todo el período, y toda función que exigiría un administrador dedicado se entrega como servicio. El equipo de cuatro personas no crece: esa es la restricción de diseño, y es la innovación 4.</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«Dentro de todo esto, hay cinco cosas que hacemos distinto.»</w:t>
      </w:r>
    </w:p>
    <w:p>
      <w:pPr>
        <w:pStyle w:val="Heading2"/>
        <w:keepNext/>
        <w:spacing w:after="40" w:before="360"/>
      </w:pPr>
      <w:r>
        <w:rPr>
          <w:rFonts w:ascii="Calibri" w:cs="Calibri" w:eastAsia="Calibri" w:hAnsi="Calibri"/>
          <w:b/>
          <w:bCs/>
          <w:color w:val="1F3864"/>
          <w:sz w:val="24"/>
          <w:szCs w:val="24"/>
        </w:rPr>
        <w:t xml:space="preserve">Diapositiva 20 · Innovaciones</w:t>
      </w:r>
    </w:p>
    <w:p>
      <w:pPr>
        <w:keepNext/>
        <w:shd w:fill="F2F2F2" w:color="auto" w:val="clear"/>
        <w:spacing w:after="140"/>
      </w:pPr>
      <w:r>
        <w:rPr>
          <w:rFonts w:ascii="Calibri" w:cs="Calibri" w:eastAsia="Calibri" w:hAnsi="Calibri"/>
          <w:b/>
          <w:bCs/>
          <w:color w:val="595959"/>
          <w:sz w:val="18"/>
          <w:szCs w:val="18"/>
        </w:rPr>
        <w:t xml:space="preserve">Duración 1:05   ·   acumulado 10:53   ·   orador: Patricio Henríquez</w:t>
      </w:r>
    </w:p>
    <w:p>
      <w:pPr>
        <w:pBdr>
          <w:left w:val="single" w:color="1F3864" w:sz="12" w:space="8"/>
        </w:pBdr>
        <w:spacing w:after="140" w:line="300"/>
        <w:ind w:left="316"/>
      </w:pPr>
      <w:r>
        <w:rPr>
          <w:rFonts w:ascii="Calibri" w:cs="Calibri" w:eastAsia="Calibri" w:hAnsi="Calibri"/>
          <w:color w:val="000000"/>
          <w:sz w:val="22"/>
          <w:szCs w:val="22"/>
        </w:rPr>
        <w:t xml:space="preserve">Cinco innovaciones, una por tipo obligatorio. Producto: trazabilidad sanitaria GS1 EPCIS de extremo a extremo, contratable como garantía verificable —lista de clientes por lote, con evidencia, en menos de dos horas—.</w:t>
      </w:r>
    </w:p>
    <w:p>
      <w:pPr>
        <w:pBdr>
          <w:left w:val="single" w:color="1F3864" w:sz="12" w:space="8"/>
        </w:pBdr>
        <w:spacing w:after="140" w:line="300"/>
        <w:ind w:left="316"/>
      </w:pPr>
      <w:r>
        <w:rPr>
          <w:rFonts w:ascii="Calibri" w:cs="Calibri" w:eastAsia="Calibri" w:hAnsi="Calibri"/>
          <w:color w:val="000000"/>
          <w:sz w:val="22"/>
          <w:szCs w:val="22"/>
        </w:rPr>
        <w:t xml:space="preserve">Proceso: preparación nocturna por olas a menos veintidós grados, con terminales rugged operables con guantes, orden FEFO y secuenciación térmica; meta, precisión de picking sobre noventa y nueve coma cinco por ciento. Arquitectura: offline-first orientada a eventos, con buffer cifrado, identificador único y reconciliación determinista —catorce horas en terreno, veinticuatro en el centro de distribución, cero pedidos perdidos—.</w:t>
      </w:r>
    </w:p>
    <w:p>
      <w:pPr>
        <w:pBdr>
          <w:left w:val="single" w:color="1F3864" w:sz="12" w:space="8"/>
        </w:pBdr>
        <w:spacing w:after="140" w:line="300"/>
        <w:ind w:left="316"/>
      </w:pPr>
      <w:r>
        <w:rPr>
          <w:rFonts w:ascii="Calibri" w:cs="Calibri" w:eastAsia="Calibri" w:hAnsi="Calibri"/>
          <w:color w:val="000000"/>
          <w:sz w:val="22"/>
          <w:szCs w:val="22"/>
        </w:rPr>
        <w:t xml:space="preserve">Modelo de negocio: servicio gestionado de TI con pago por uso, porque el equipo interno son cuatro personas y no va a crecer. E impacto social: autoatención del canal tradicional por WhatsApp, sin app y sin internet para el almacenero. Las cinco requieren investigación adicional, y lo declaramos.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Rúbrica A5 y B7: de cada innovación hay que decir idea, tecnología y resultado esperado, y responder «¿qué problema real de Puelche resuelve?» con dato. Está en cada párrafo.</w:t>
      </w:r>
    </w:p>
    <w:p>
      <w:pPr>
        <w:pStyle w:val="ListParagraph"/>
        <w:numPr>
          <w:ilvl w:val="0"/>
          <w:numId w:val="2"/>
        </w:numPr>
        <w:spacing w:after="60" w:line="264"/>
      </w:pPr>
      <w:r>
        <w:rPr>
          <w:rFonts w:ascii="Calibri" w:cs="Calibri" w:eastAsia="Calibri" w:hAnsi="Calibri"/>
          <w:color w:val="595959"/>
          <w:sz w:val="19"/>
          <w:szCs w:val="19"/>
        </w:rPr>
        <w:t xml:space="preserve">Bloqueante G6: una por tipo, sin repetir. Si preguntan por el motor de ruteo o el costeo ABC: se descartaron como innovación porque ya son requisito exigido (RF-04.01, RF-11.02).</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el motor de ruteo no está entre las innovaciones?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la ruta automática en menos de veinte minutos es criterio de aceptación exigido, no un diferenciador. Lo declaramos en el anexo de candidatas descartadas, junto al costeo ABC, el registro continuo de temperatura y el portal clásico de clientes. Innovar sobre lo que ya es obligatorio no corresponde según el Art. 28.</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Declaran investigación adicional en las cinco. ¿No es una debilidad?</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 una exigencia del Art. 28: si la innovación requiere investigación, debe declararse. Y cada objeto está acotado: certificación de terminales a menos veintidós grados, pruebas de estrés a una coma cinco veces el peak, dimensionamiento Erlang C, tarifas y plantillas de WhatsApp, y codificación GS1 Chile.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La respuesta en menos de dos horas, ¿es contractual o una aspiración?</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 contractual: criterio R18-01, verificable con un ejercicio de trazabilidad hacia adelante y hacia atrás sobre los eventos EPCIS, con evidencia exportable ante la autoridad. Por eso la vendemos como garantía y no como funcionalidad.</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«Todo esto se sostiene en una arquitectura. Vamos a verla.»</w:t>
      </w:r>
    </w:p>
    <w:p>
      <w:pPr>
        <w:pStyle w:val="Heading2"/>
        <w:keepNext/>
        <w:spacing w:after="40" w:before="360"/>
      </w:pPr>
      <w:r>
        <w:rPr>
          <w:rFonts w:ascii="Calibri" w:cs="Calibri" w:eastAsia="Calibri" w:hAnsi="Calibri"/>
          <w:b/>
          <w:bCs/>
          <w:color w:val="1F3864"/>
          <w:sz w:val="24"/>
          <w:szCs w:val="24"/>
        </w:rPr>
        <w:t xml:space="preserve">Diapositiva 21 · Arquitectura de la solución (portadilla)</w:t>
      </w:r>
    </w:p>
    <w:p>
      <w:pPr>
        <w:keepNext/>
        <w:shd w:fill="F2F2F2" w:color="auto" w:val="clear"/>
        <w:spacing w:after="140"/>
      </w:pPr>
      <w:r>
        <w:rPr>
          <w:rFonts w:ascii="Calibri" w:cs="Calibri" w:eastAsia="Calibri" w:hAnsi="Calibri"/>
          <w:b/>
          <w:bCs/>
          <w:color w:val="595959"/>
          <w:sz w:val="18"/>
          <w:szCs w:val="18"/>
        </w:rPr>
        <w:t xml:space="preserve">Duración 0:10   ·   acumulado 11:03   ·   orador: Tomás Pérez</w:t>
      </w:r>
    </w:p>
    <w:p>
      <w:pPr>
        <w:pBdr>
          <w:left w:val="single" w:color="1F3864" w:sz="12" w:space="8"/>
        </w:pBdr>
        <w:spacing w:after="140" w:line="300"/>
        <w:ind w:left="316"/>
      </w:pPr>
      <w:r>
        <w:rPr>
          <w:rFonts w:ascii="Calibri" w:cs="Calibri" w:eastAsia="Calibri" w:hAnsi="Calibri"/>
          <w:color w:val="000000"/>
          <w:sz w:val="22"/>
          <w:szCs w:val="22"/>
        </w:rPr>
        <w:t xml:space="preserve">Vamos a la arquitectura. El compromiso aquí es explicar la nuestra, componente por componente.</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Bloqueante G5: el diagrama debe ser reconocible como Puelche. La frase lo anticipa.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¿Los diagramas son de esta solución o son plantillas?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Son propios de Puelche. La arquitectura lógica está desarrollada actor por actor —trece vistas, del preventista al gerente de TI— y la física nombra los seis sitios reales. Las fuentes están versionadas y los exportados acompañan al Informe 1.</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«Partamos por la lógica.»</w:t>
      </w:r>
    </w:p>
    <w:p>
      <w:pPr>
        <w:pStyle w:val="Heading2"/>
        <w:keepNext/>
        <w:spacing w:after="40" w:before="360"/>
      </w:pPr>
      <w:r>
        <w:rPr>
          <w:rFonts w:ascii="Calibri" w:cs="Calibri" w:eastAsia="Calibri" w:hAnsi="Calibri"/>
          <w:b/>
          <w:bCs/>
          <w:color w:val="1F3864"/>
          <w:sz w:val="24"/>
          <w:szCs w:val="24"/>
        </w:rPr>
        <w:t xml:space="preserve">Diapositiva 22 · Arquitectura lógica</w:t>
      </w:r>
    </w:p>
    <w:p>
      <w:pPr>
        <w:keepNext/>
        <w:shd w:fill="F2F2F2" w:color="auto" w:val="clear"/>
        <w:spacing w:after="140"/>
      </w:pPr>
      <w:r>
        <w:rPr>
          <w:rFonts w:ascii="Calibri" w:cs="Calibri" w:eastAsia="Calibri" w:hAnsi="Calibri"/>
          <w:b/>
          <w:bCs/>
          <w:color w:val="595959"/>
          <w:sz w:val="18"/>
          <w:szCs w:val="18"/>
        </w:rPr>
        <w:t xml:space="preserve">Duración 0:55   ·   acumulado 11:58   ·   orador: Tomás Pérez</w:t>
      </w:r>
    </w:p>
    <w:p>
      <w:pPr>
        <w:pBdr>
          <w:left w:val="single" w:color="1F3864" w:sz="12" w:space="8"/>
        </w:pBdr>
        <w:spacing w:after="140" w:line="300"/>
        <w:ind w:left="316"/>
      </w:pPr>
      <w:r>
        <w:rPr>
          <w:rFonts w:ascii="Calibri" w:cs="Calibri" w:eastAsia="Calibri" w:hAnsi="Calibri"/>
          <w:color w:val="000000"/>
          <w:sz w:val="22"/>
          <w:szCs w:val="22"/>
        </w:rPr>
        <w:t xml:space="preserve">Ocho capas, conforme al numeral dos punto uno de las transversales. Presentación: apps Kotlin nativas para preventa y reparto, portales Angular y el canal WhatsApp. Debajo, borde con CloudFront y WAF; puerta de enlace con API Gateway; y lógica de negocio, con los doce módulos sobre un monolito modular en Django.</w:t>
      </w:r>
    </w:p>
    <w:p>
      <w:pPr>
        <w:pBdr>
          <w:left w:val="single" w:color="1F3864" w:sz="12" w:space="8"/>
        </w:pBdr>
        <w:spacing w:after="140" w:line="300"/>
        <w:ind w:left="316"/>
      </w:pPr>
      <w:r>
        <w:rPr>
          <w:rFonts w:ascii="Calibri" w:cs="Calibri" w:eastAsia="Calibri" w:hAnsi="Calibri"/>
          <w:color w:val="000000"/>
          <w:sz w:val="22"/>
          <w:szCs w:val="22"/>
        </w:rPr>
        <w:t xml:space="preserve">Esa es una decisión explícita: cuatro personas de TI y treinta y un mil pedidos al mes no justifican microservicios, y los componentes críticos son extraíbles como workers si el volumen lo exige. Siguen integración y eventos con RabbitMQ y SQS; datos, con PostgreSQL y PostGIS por sitio y Aurora en nube; y dos capas transversales, seguridad con Keycloak y Zero Trust, y observabilidad. El ERP de 2017 no se reemplaza: se integra por capa anticorrupción y sigue emitiendo los documentos tributarios.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Recorrer la lámina de arriba hacia abajo, con el puntero. Nombrar la capa, no leer las cajas.</w:t>
      </w:r>
    </w:p>
    <w:p>
      <w:pPr>
        <w:pStyle w:val="ListParagraph"/>
        <w:numPr>
          <w:ilvl w:val="0"/>
          <w:numId w:val="2"/>
        </w:numPr>
        <w:spacing w:after="60" w:line="264"/>
      </w:pPr>
      <w:r>
        <w:rPr>
          <w:rFonts w:ascii="Calibri" w:cs="Calibri" w:eastAsia="Calibri" w:hAnsi="Calibri"/>
          <w:color w:val="595959"/>
          <w:sz w:val="19"/>
          <w:szCs w:val="19"/>
        </w:rPr>
        <w:t xml:space="preserve">Si preguntan «¿por qué no microservicios?»: equipo de 4 personas, volumen de 31.000 pedidos/mes y numeral 2.3 de las transversales, que lo recomienda.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ocho capas y no seis?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el numeral 2.1 de las Bases Técnicas Transversales exige ocho capas de existencia obligatoria. Las dos últimas son transversales: seguridad y observabilidad.</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Un monolito, ¿no es un punto único de falla?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 modular y sin estado en memoria, escalado horizontalmente en ECS Fargate, con las sesiones en almacenes externos. Los puntos únicos de falla se declaran uno a uno con su mitigación, y la autonomía local del centro de distribución es precisamente la mitigación de la caída del enlace.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¿Django aguanta el peak de septiembre?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El dimensionamiento se hace contra dos mil seiscientas entregas diarias en la ventana de cinco y media a siete, nunca contra el promedio, y se prueba a una coma cinco veces el peak declarado. Si el volumen lo exigiera, los componentes críticos —sincronización offline, EDI, telemetría— son extraíbles como workers sin rediseño.</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así se despliega físicamente.»</w:t>
      </w:r>
    </w:p>
    <w:p>
      <w:pPr>
        <w:pStyle w:val="Heading2"/>
        <w:keepNext/>
        <w:spacing w:after="40" w:before="360"/>
      </w:pPr>
      <w:r>
        <w:rPr>
          <w:rFonts w:ascii="Calibri" w:cs="Calibri" w:eastAsia="Calibri" w:hAnsi="Calibri"/>
          <w:b/>
          <w:bCs/>
          <w:color w:val="1F3864"/>
          <w:sz w:val="24"/>
          <w:szCs w:val="24"/>
        </w:rPr>
        <w:t xml:space="preserve">Diapositiva 23 · Arquitectura física</w:t>
      </w:r>
    </w:p>
    <w:p>
      <w:pPr>
        <w:keepNext/>
        <w:shd w:fill="F2F2F2" w:color="auto" w:val="clear"/>
        <w:spacing w:after="140"/>
      </w:pPr>
      <w:r>
        <w:rPr>
          <w:rFonts w:ascii="Calibri" w:cs="Calibri" w:eastAsia="Calibri" w:hAnsi="Calibri"/>
          <w:b/>
          <w:bCs/>
          <w:color w:val="595959"/>
          <w:sz w:val="18"/>
          <w:szCs w:val="18"/>
        </w:rPr>
        <w:t xml:space="preserve">Duración 0:40   ·   acumulado 12:38   ·   orador: Tomás Pérez</w:t>
      </w:r>
    </w:p>
    <w:p>
      <w:pPr>
        <w:pBdr>
          <w:left w:val="single" w:color="1F3864" w:sz="12" w:space="8"/>
        </w:pBdr>
        <w:spacing w:after="140" w:line="300"/>
        <w:ind w:left="316"/>
      </w:pPr>
      <w:r>
        <w:rPr>
          <w:rFonts w:ascii="Calibri" w:cs="Calibri" w:eastAsia="Calibri" w:hAnsi="Calibri"/>
          <w:color w:val="000000"/>
          <w:sz w:val="22"/>
          <w:szCs w:val="22"/>
        </w:rPr>
        <w:t xml:space="preserve">La física materializa el híbrido obligatorio del artículo dieciséis, componente por componente. Arriba, nube AWS: primaria São Paulo, recuperación ante desastres en Virginia. Abajo, seis instalaciones en cuatro regiones: cinco alojan cómputo —Talca, Concepción y los tres cross-docking de Curicó, Chillán y Los Ángeles— y la sexta es casa matriz, que solo consume la nube.</w:t>
      </w:r>
    </w:p>
    <w:p>
      <w:pPr>
        <w:pBdr>
          <w:left w:val="single" w:color="1F3864" w:sz="12" w:space="8"/>
        </w:pBdr>
        <w:spacing w:after="140" w:line="300"/>
        <w:ind w:left="316"/>
      </w:pPr>
      <w:r>
        <w:rPr>
          <w:rFonts w:ascii="Calibri" w:cs="Calibri" w:eastAsia="Calibri" w:hAnsi="Calibri"/>
          <w:color w:val="000000"/>
          <w:sz w:val="22"/>
          <w:szCs w:val="22"/>
        </w:rPr>
        <w:t xml:space="preserve">Una precisión: el caso menciona cinco instalaciones y la tabla catorce punto uno menciona seis. Adoptamos seis y elevamos la divergencia como consulta al mandante.</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Bloqueante G3: dejar clarísimo que hay carga en nube Y componentes on-premise. No es solo-nube ni solo-on-premise.</w:t>
      </w:r>
    </w:p>
    <w:p>
      <w:pPr>
        <w:pStyle w:val="ListParagraph"/>
        <w:numPr>
          <w:ilvl w:val="0"/>
          <w:numId w:val="2"/>
        </w:numPr>
        <w:spacing w:after="60" w:line="264"/>
      </w:pPr>
      <w:r>
        <w:rPr>
          <w:rFonts w:ascii="Calibri" w:cs="Calibri" w:eastAsia="Calibri" w:hAnsi="Calibri"/>
          <w:color w:val="595959"/>
          <w:sz w:val="19"/>
          <w:szCs w:val="19"/>
        </w:rPr>
        <w:t xml:space="preserve">Rúbrica C2: declarar la inconsistencia como consulta suma puntos; defenderla como corrección unilateral, los resta.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queda en nube, qué queda on-premise y con qué criterio?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Treinta y seis componentes clasificados: once on-premise puros, doce híbridos con pieza en ambos dominios y trece servicios administrados de nube pura. Cada uno justificado por latencia, criticidad operacional, volumen de datos, restricción regulatoria, conectividad y costo total de propiedad, como exige el Art. 16.2. Está en la Tabla de Emplazamiento del Informe 1.</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São Paulo y no una región en Chile?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Región primaria en sa-east-1 y recuperación ante desastres en us-east-1, a unos siete mil setecientos kilómetros, sin amenazas comunes, como exige la norma de DR. El tratamiento de datos personales queda bajo el Art. 23 y la Ley 21.719, con evaluación de impacto declarada.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¿Cinco o seis instalaciones? El caso dice cinco.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Adoptamos seis, por la Tabla 14.1 y RT-21.16, que son las dos menciones técnicas. Elevamos la divergencia con el §8 como consulta al mandante conforme al Art. 43.3, y está registrada como vacío V-02. No la corregimos por nuestra cuenta ni alteramos el dimensionamiento.</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«Veamos cada plano por separado. Primero la nube.»</w:t>
      </w:r>
    </w:p>
    <w:p>
      <w:pPr>
        <w:pStyle w:val="Heading2"/>
        <w:keepNext/>
        <w:spacing w:after="40" w:before="360"/>
      </w:pPr>
      <w:r>
        <w:rPr>
          <w:rFonts w:ascii="Calibri" w:cs="Calibri" w:eastAsia="Calibri" w:hAnsi="Calibri"/>
          <w:b/>
          <w:bCs/>
          <w:color w:val="1F3864"/>
          <w:sz w:val="24"/>
          <w:szCs w:val="24"/>
        </w:rPr>
        <w:t xml:space="preserve">Diapositiva 24 · Arquitectura física — Cloud</w:t>
      </w:r>
    </w:p>
    <w:p>
      <w:pPr>
        <w:keepNext/>
        <w:shd w:fill="F2F2F2" w:color="auto" w:val="clear"/>
        <w:spacing w:after="140"/>
      </w:pPr>
      <w:r>
        <w:rPr>
          <w:rFonts w:ascii="Calibri" w:cs="Calibri" w:eastAsia="Calibri" w:hAnsi="Calibri"/>
          <w:b/>
          <w:bCs/>
          <w:color w:val="595959"/>
          <w:sz w:val="18"/>
          <w:szCs w:val="18"/>
        </w:rPr>
        <w:t xml:space="preserve">Duración 0:24   ·   acumulado 13:02   ·   orador: Álvaro Catalán</w:t>
      </w:r>
    </w:p>
    <w:p>
      <w:pPr>
        <w:pBdr>
          <w:left w:val="single" w:color="1F3864" w:sz="12" w:space="8"/>
        </w:pBdr>
        <w:spacing w:after="140" w:line="300"/>
        <w:ind w:left="316"/>
      </w:pPr>
      <w:r>
        <w:rPr>
          <w:rFonts w:ascii="Calibri" w:cs="Calibri" w:eastAsia="Calibri" w:hAnsi="Calibri"/>
          <w:color w:val="000000"/>
          <w:sz w:val="22"/>
          <w:szCs w:val="22"/>
        </w:rPr>
        <w:t xml:space="preserve">En la nube va la carga principal: núcleo transaccional, analítica, integración y almacenamiento consolidado, con escalado elástico dimensionado contra el peak de septiembre —dos mil seiscientas entregas diarias—, nunca contra el promedio. Aurora multi-zona con conmutación bajo treinta segundos, DynamoDB para la ingesta IoT, y Keycloak como identidad maestra.</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La frase «dimensionado contra el peak, nunca contra el promedio» responde directo al caso: septiembre casi duplica el volumen durante tres semanas.</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escalan tres semanas de septiembre sin pagar esa capacidad todo el año?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Cómputo elástico facturado por consumo y analítica sin servidor. Ese es justamente el fundamento de la innovación 4: el costo de operación es variable y sigue al volumen real.</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RTO de cuatro horas y RPO de quince minutos, ¿probados o declarados?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Probados: conmutación real dos veces al año, midiendo RTO y RPO efectivos con informe al CLIENTE, más restauración mensual verificada con cero errores. La réplica mantiene un retraso típico bajo un segundo, con alarma a los cinco y quince minutos.</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en tierra, el sitio primario.»</w:t>
      </w:r>
    </w:p>
    <w:p>
      <w:pPr>
        <w:pStyle w:val="Heading2"/>
        <w:keepNext/>
        <w:spacing w:after="40" w:before="360"/>
      </w:pPr>
      <w:r>
        <w:rPr>
          <w:rFonts w:ascii="Calibri" w:cs="Calibri" w:eastAsia="Calibri" w:hAnsi="Calibri"/>
          <w:b/>
          <w:bCs/>
          <w:color w:val="1F3864"/>
          <w:sz w:val="24"/>
          <w:szCs w:val="24"/>
        </w:rPr>
        <w:t xml:space="preserve">Diapositiva 25 · Arquitectura física — Talca</w:t>
      </w:r>
    </w:p>
    <w:p>
      <w:pPr>
        <w:keepNext/>
        <w:shd w:fill="F2F2F2" w:color="auto" w:val="clear"/>
        <w:spacing w:after="140"/>
      </w:pPr>
      <w:r>
        <w:rPr>
          <w:rFonts w:ascii="Calibri" w:cs="Calibri" w:eastAsia="Calibri" w:hAnsi="Calibri"/>
          <w:b/>
          <w:bCs/>
          <w:color w:val="595959"/>
          <w:sz w:val="18"/>
          <w:szCs w:val="18"/>
        </w:rPr>
        <w:t xml:space="preserve">Duración 0:30   ·   acumulado 13:32   ·   orador: Álvaro Catalán</w:t>
      </w:r>
    </w:p>
    <w:p>
      <w:pPr>
        <w:pBdr>
          <w:left w:val="single" w:color="1F3864" w:sz="12" w:space="8"/>
        </w:pBdr>
        <w:spacing w:after="140" w:line="300"/>
        <w:ind w:left="316"/>
      </w:pPr>
      <w:r>
        <w:rPr>
          <w:rFonts w:ascii="Calibri" w:cs="Calibri" w:eastAsia="Calibri" w:hAnsi="Calibri"/>
          <w:color w:val="000000"/>
          <w:sz w:val="22"/>
          <w:szCs w:val="22"/>
        </w:rPr>
        <w:t xml:space="preserve">Talca es el sitio primario: sala técnica de treinta y dos metros, TIER dos, con UPS N+1, generador de doce kVA con estanque para veinticuatro horas, climatización N+1, extinción FM-200 y cuatro capas de acceso con biometría. Ahí corren el clúster del WMS, la base local, el broker, la capa anticorrupción del ERP y el respaldo: veinticuatro horas de autonomía sin enlace.</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Las 24 h de autonomía son RT-03.10 y responden al corte de fibra: es lo que protege la ventana 05:30–07:00.</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TIER II, ¿no es poco para una operación de misión crítica?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TIER II clasifica la infraestructura del recinto, no el nivel de servicio. El compromiso de 99,9 % es sobre la transacción de extremo a extremo y se sostiene en la cadena completa: nube, sala, borde y terreno, con veinticuatro horas de autonomía local y ambiente de DR probado semestralmente.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¿Quién paga la obra civil de la sala?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 obra civil y la infraestructura de climatización y energía de los recintos del CLIENTE están excluidas, salvo la adecuación de la sala técnica declarada en el padrón de emplazamiento. El inventario ofertado se referencia componente por componente al Formulario T-11.</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«Concepción no es una réplica de Talca.»</w:t>
      </w:r>
    </w:p>
    <w:p>
      <w:pPr>
        <w:pStyle w:val="Heading2"/>
        <w:keepNext/>
        <w:spacing w:after="40" w:before="360"/>
      </w:pPr>
      <w:r>
        <w:rPr>
          <w:rFonts w:ascii="Calibri" w:cs="Calibri" w:eastAsia="Calibri" w:hAnsi="Calibri"/>
          <w:b/>
          <w:bCs/>
          <w:color w:val="1F3864"/>
          <w:sz w:val="24"/>
          <w:szCs w:val="24"/>
        </w:rPr>
        <w:t xml:space="preserve">Diapositiva 26 · Arquitectura física — Concepción</w:t>
      </w:r>
    </w:p>
    <w:p>
      <w:pPr>
        <w:keepNext/>
        <w:shd w:fill="F2F2F2" w:color="auto" w:val="clear"/>
        <w:spacing w:after="140"/>
      </w:pPr>
      <w:r>
        <w:rPr>
          <w:rFonts w:ascii="Calibri" w:cs="Calibri" w:eastAsia="Calibri" w:hAnsi="Calibri"/>
          <w:b/>
          <w:bCs/>
          <w:color w:val="595959"/>
          <w:sz w:val="18"/>
          <w:szCs w:val="18"/>
        </w:rPr>
        <w:t xml:space="preserve">Duración 0:16   ·   acumulado 13:48   ·   orador: Álvaro Catalán</w:t>
      </w:r>
    </w:p>
    <w:p>
      <w:pPr>
        <w:pBdr>
          <w:left w:val="single" w:color="1F3864" w:sz="12" w:space="8"/>
        </w:pBdr>
        <w:spacing w:after="140" w:line="300"/>
        <w:ind w:left="316"/>
      </w:pPr>
      <w:r>
        <w:rPr>
          <w:rFonts w:ascii="Calibri" w:cs="Calibri" w:eastAsia="Calibri" w:hAnsi="Calibri"/>
          <w:color w:val="000000"/>
          <w:sz w:val="22"/>
          <w:szCs w:val="22"/>
        </w:rPr>
        <w:t xml:space="preserve">Concepción es un gabinete de borde, no una réplica: WMS en modo reducido, base local, caché de identidad, broker y gateway IoT. Opera veinticuatro horas de forma autónoma e independiente de Talca.</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Subrayar «independiente de Talca»: evita la crítica de un único punto de falla.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Si Concepción opera autónomo, ¿cómo evitan que el stock diverja de Talca?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Cada centro de distribución es maestro de su propia bodega; la consolidación multi-nodo es de lectura. Al reconectar, la reconciliación es determinista por regla de negocio y queda en bitácora. No hay dos maestros para el mismo dato.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Concepción no tiene una sala como Talca?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Porque la decisión se toma por criticidad y volumen, no por simetría. Concepción necesita autonomía de veinticuatro horas y capacidad de operar el WMS en modo reducido; no necesita ser sitio de recuperación. El sitio de recuperación es la región secundaria de nube.</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las tres plataformas de cross-docking.»</w:t>
      </w:r>
    </w:p>
    <w:p>
      <w:pPr>
        <w:pStyle w:val="Heading2"/>
        <w:keepNext/>
        <w:spacing w:after="40" w:before="360"/>
      </w:pPr>
      <w:r>
        <w:rPr>
          <w:rFonts w:ascii="Calibri" w:cs="Calibri" w:eastAsia="Calibri" w:hAnsi="Calibri"/>
          <w:b/>
          <w:bCs/>
          <w:color w:val="1F3864"/>
          <w:sz w:val="24"/>
          <w:szCs w:val="24"/>
        </w:rPr>
        <w:t xml:space="preserve">Diapositiva 27 · Arquitectura física — Cross-docking</w:t>
      </w:r>
    </w:p>
    <w:p>
      <w:pPr>
        <w:keepNext/>
        <w:shd w:fill="F2F2F2" w:color="auto" w:val="clear"/>
        <w:spacing w:after="140"/>
      </w:pPr>
      <w:r>
        <w:rPr>
          <w:rFonts w:ascii="Calibri" w:cs="Calibri" w:eastAsia="Calibri" w:hAnsi="Calibri"/>
          <w:b/>
          <w:bCs/>
          <w:color w:val="595959"/>
          <w:sz w:val="18"/>
          <w:szCs w:val="18"/>
        </w:rPr>
        <w:t xml:space="preserve">Duración 0:17   ·   acumulado 14:05   ·   orador: Álvaro Catalán</w:t>
      </w:r>
    </w:p>
    <w:p>
      <w:pPr>
        <w:pBdr>
          <w:left w:val="single" w:color="1F3864" w:sz="12" w:space="8"/>
        </w:pBdr>
        <w:spacing w:after="140" w:line="300"/>
        <w:ind w:left="316"/>
      </w:pPr>
      <w:r>
        <w:rPr>
          <w:rFonts w:ascii="Calibri" w:cs="Calibri" w:eastAsia="Calibri" w:hAnsi="Calibri"/>
          <w:color w:val="000000"/>
          <w:sz w:val="22"/>
          <w:szCs w:val="22"/>
        </w:rPr>
        <w:t xml:space="preserve">Los tres cross-docking llevan un nodo industrial con mini-WMS y broker local, enlace principal Starlink y respaldo LTE de dos proveedores. Tres tecnologías de enlace por centro, con conmutación automática bajo treinta segundos.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Hoy los tres cross-docking no tienen ningún control de inventario sistematizado: esto es capacidad nueva, no una migración.</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¿Starlink como enlace principal es confiable para una operación logística?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 principal solo en los sitios sin fibra, y siempre con respaldo LTE de dos proveedores distintos y conmutación automática bajo treinta segundos. Y aunque caigan los tres, el nodo local sigue operando: la continuidad no depende del enlace.</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Hoy los cross-docking no tienen control de inventario. ¿Eso está en alcance?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Sí: mini-WMS local en cada uno de los tres. El supuesto de que las plataformas no almacenan mercadería no siempre se verifica, y esa es precisamente una de las razones por las que el inventario no cuadra.</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«En resumen tecnológico:»</w:t>
      </w:r>
    </w:p>
    <w:p>
      <w:pPr>
        <w:pStyle w:val="Heading2"/>
        <w:keepNext/>
        <w:spacing w:after="40" w:before="360"/>
      </w:pPr>
      <w:r>
        <w:rPr>
          <w:rFonts w:ascii="Calibri" w:cs="Calibri" w:eastAsia="Calibri" w:hAnsi="Calibri"/>
          <w:b/>
          <w:bCs/>
          <w:color w:val="1F3864"/>
          <w:sz w:val="24"/>
          <w:szCs w:val="24"/>
        </w:rPr>
        <w:t xml:space="preserve">Diapositiva 28 · Tecnologías clave</w:t>
      </w:r>
    </w:p>
    <w:p>
      <w:pPr>
        <w:keepNext/>
        <w:shd w:fill="F2F2F2" w:color="auto" w:val="clear"/>
        <w:spacing w:after="140"/>
      </w:pPr>
      <w:r>
        <w:rPr>
          <w:rFonts w:ascii="Calibri" w:cs="Calibri" w:eastAsia="Calibri" w:hAnsi="Calibri"/>
          <w:b/>
          <w:bCs/>
          <w:color w:val="595959"/>
          <w:sz w:val="18"/>
          <w:szCs w:val="18"/>
        </w:rPr>
        <w:t xml:space="preserve">Duración 0:20   ·   acumulado 14:25   ·   orador: Álvaro Catalán</w:t>
      </w:r>
    </w:p>
    <w:p>
      <w:pPr>
        <w:pBdr>
          <w:left w:val="single" w:color="1F3864" w:sz="12" w:space="8"/>
        </w:pBdr>
        <w:spacing w:after="140" w:line="300"/>
        <w:ind w:left="316"/>
      </w:pPr>
      <w:r>
        <w:rPr>
          <w:rFonts w:ascii="Calibri" w:cs="Calibri" w:eastAsia="Calibri" w:hAnsi="Calibri"/>
          <w:color w:val="000000"/>
          <w:sz w:val="22"/>
          <w:szCs w:val="22"/>
        </w:rPr>
        <w:t xml:space="preserve">En síntesis: AWS, Docker sobre Proxmox on-premise, PostgreSQL con PostGIS, Keycloak como identidad única, Zebra DNA para los doscientos setenta dispositivos de terreno, y Starlink donde no llega la fibra. Núcleo abierto y portable: sin lock-in y mantenible por cuatro personas durante cincuenta y seis meses.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Cerrar siempre con «sin lock-in» y «mantenible por 4 personas»: son criterios del caso, no adornos.</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pasa si mañana Puelche quiere salir de AWS?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El núcleo es abierto y portable —Django, Angular, PostgreSQL, Redis, RabbitMQ, Keycloak— con infraestructura como código en Terraform. Y el Art. 85 obliga a entregar copia íntegra de los datos en formato interoperable con su diccionario. La reversibilidad está declarada, no supuesta.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¿Cuántos dispositivos hay que administrar y quién lo hace?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Cerca de doscientos setenta, bajo gestión centralizada de dispositivos entregada como servicio. El equipo de cuatro personas del CLIENTE no administra dispositivos: esa es una de las funciones que la innovación 4 convierte en servicio costeado por uso.</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qué gana Puelche con todo esto?»</w:t>
      </w:r>
    </w:p>
    <w:p>
      <w:pPr>
        <w:pStyle w:val="Heading2"/>
        <w:keepNext/>
        <w:spacing w:after="40" w:before="360"/>
      </w:pPr>
      <w:r>
        <w:rPr>
          <w:rFonts w:ascii="Calibri" w:cs="Calibri" w:eastAsia="Calibri" w:hAnsi="Calibri"/>
          <w:b/>
          <w:bCs/>
          <w:color w:val="1F3864"/>
          <w:sz w:val="24"/>
          <w:szCs w:val="24"/>
        </w:rPr>
        <w:t xml:space="preserve">Diapositiva 29 · Beneficios</w:t>
      </w:r>
    </w:p>
    <w:p>
      <w:pPr>
        <w:keepNext/>
        <w:shd w:fill="F2F2F2" w:color="auto" w:val="clear"/>
        <w:spacing w:after="140"/>
      </w:pPr>
      <w:r>
        <w:rPr>
          <w:rFonts w:ascii="Calibri" w:cs="Calibri" w:eastAsia="Calibri" w:hAnsi="Calibri"/>
          <w:b/>
          <w:bCs/>
          <w:color w:val="595959"/>
          <w:sz w:val="18"/>
          <w:szCs w:val="18"/>
        </w:rPr>
        <w:t xml:space="preserve">Duración 0:25   ·   acumulado 14:50   ·   orador: Alex Aravena</w:t>
      </w:r>
    </w:p>
    <w:p>
      <w:pPr>
        <w:pBdr>
          <w:left w:val="single" w:color="1F3864" w:sz="12" w:space="8"/>
        </w:pBdr>
        <w:spacing w:after="140" w:line="300"/>
        <w:ind w:left="316"/>
      </w:pPr>
      <w:r>
        <w:rPr>
          <w:rFonts w:ascii="Calibri" w:cs="Calibri" w:eastAsia="Calibri" w:hAnsi="Calibri"/>
          <w:color w:val="000000"/>
          <w:sz w:val="22"/>
          <w:szCs w:val="22"/>
        </w:rPr>
        <w:t xml:space="preserve">Qué gana cada uno. El cliente recibe lo que pidió, a la hora prometida, con prueba digital y sin cambiar su forma de comprar. Quien opera trabaja con stock, crédito e historial reales. Y quien decide ve el servicio real el mismo día, trazabilidad con evidencia en menos de dos horas y costo de servir por cliente.</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Tres audiencias, tres frases. No agregar una cuarta.</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¿Cuándo ve Puelche el primer beneficio?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En la marcha blanca de la Etapa 1, entre los meses trece y quince. En producción desde el mes dieciséis: trazabilidad con evidencia, preventa informada, prueba de entrega digital, faltante con causa y rendición cuadrada. El costo de servir y el canal moderno llegan con el mes veintiuno.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¿Y si no se alcanzan las metas comprometidas?</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Las dieciséis metas del Capítulo 18 son criterio de aceptación del alcance, cada una con meta, momento del cronograma y mecanismo de medición definidos. Durante la Operación hay informe mensual y multas por incumplimiento. No es una promesa: es condición de aceptación.</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«Y con eso cerramos.»</w:t>
      </w:r>
    </w:p>
    <w:p>
      <w:pPr>
        <w:pStyle w:val="Heading2"/>
        <w:keepNext/>
        <w:spacing w:after="40" w:before="360"/>
      </w:pPr>
      <w:r>
        <w:rPr>
          <w:rFonts w:ascii="Calibri" w:cs="Calibri" w:eastAsia="Calibri" w:hAnsi="Calibri"/>
          <w:b/>
          <w:bCs/>
          <w:color w:val="1F3864"/>
          <w:sz w:val="24"/>
          <w:szCs w:val="24"/>
        </w:rPr>
        <w:t xml:space="preserve">Diapositiva 30 · Cierre</w:t>
      </w:r>
    </w:p>
    <w:p>
      <w:pPr>
        <w:keepNext/>
        <w:shd w:fill="F2F2F2" w:color="auto" w:val="clear"/>
        <w:spacing w:after="140"/>
      </w:pPr>
      <w:r>
        <w:rPr>
          <w:rFonts w:ascii="Calibri" w:cs="Calibri" w:eastAsia="Calibri" w:hAnsi="Calibri"/>
          <w:b/>
          <w:bCs/>
          <w:color w:val="595959"/>
          <w:sz w:val="18"/>
          <w:szCs w:val="18"/>
        </w:rPr>
        <w:t xml:space="preserve">Duración 0:10   ·   acumulado 15:00   ·   orador: Alex Aravena</w:t>
      </w:r>
    </w:p>
    <w:p>
      <w:pPr>
        <w:pBdr>
          <w:left w:val="single" w:color="1F3864" w:sz="12" w:space="8"/>
        </w:pBdr>
        <w:spacing w:after="140" w:line="300"/>
        <w:ind w:left="316"/>
      </w:pPr>
      <w:r>
        <w:rPr>
          <w:rFonts w:ascii="Calibri" w:cs="Calibri" w:eastAsia="Calibri" w:hAnsi="Calibri"/>
          <w:color w:val="000000"/>
          <w:sz w:val="22"/>
          <w:szCs w:val="22"/>
        </w:rPr>
        <w:t xml:space="preserve">Es la operación de siempre, con la información que siempre le faltó. Muchas gracias; quedamos atentos a sus consultas.</w:t>
      </w:r>
    </w:p>
    <w:p>
      <w:pPr>
        <w:spacing w:after="60" w:before="120"/>
      </w:pPr>
      <w:r>
        <w:rPr>
          <w:rFonts w:ascii="Calibri" w:cs="Calibri" w:eastAsia="Calibri" w:hAnsi="Calibri"/>
          <w:b/>
          <w:bCs/>
          <w:caps/>
          <w:color w:val="1F3864"/>
          <w:sz w:val="18"/>
          <w:szCs w:val="18"/>
        </w:rPr>
        <w:t xml:space="preserve">Apoyo y control</w:t>
      </w:r>
    </w:p>
    <w:p>
      <w:pPr>
        <w:pStyle w:val="ListParagraph"/>
        <w:numPr>
          <w:ilvl w:val="0"/>
          <w:numId w:val="2"/>
        </w:numPr>
        <w:spacing w:after="60" w:line="264"/>
      </w:pPr>
      <w:r>
        <w:rPr>
          <w:rFonts w:ascii="Calibri" w:cs="Calibri" w:eastAsia="Calibri" w:hAnsi="Calibri"/>
          <w:color w:val="595959"/>
          <w:sz w:val="19"/>
          <w:szCs w:val="19"/>
        </w:rPr>
        <w:t xml:space="preserve">No leer la URL. Dejar la lámina en pantalla durante las preguntas.</w:t>
      </w:r>
    </w:p>
    <w:p>
      <w:pPr>
        <w:pStyle w:val="ListParagraph"/>
        <w:numPr>
          <w:ilvl w:val="0"/>
          <w:numId w:val="2"/>
        </w:numPr>
        <w:spacing w:after="60" w:line="264"/>
      </w:pPr>
      <w:r>
        <w:rPr>
          <w:rFonts w:ascii="Calibri" w:cs="Calibri" w:eastAsia="Calibri" w:hAnsi="Calibri"/>
          <w:color w:val="595959"/>
          <w:sz w:val="19"/>
          <w:szCs w:val="19"/>
        </w:rPr>
        <w:t xml:space="preserve">Designar a una persona para tomar acta de las observaciones de la Contraparte Técnica y de la CTRO, con su autor: alimentan la tabla observación → respuesta → sección del Informe 2 (Art. 45).</w:t>
      </w:r>
    </w:p>
    <w:p>
      <w:pPr>
        <w:spacing w:after="60" w:before="120"/>
      </w:pPr>
      <w:r>
        <w:rPr>
          <w:rFonts w:ascii="Calibri" w:cs="Calibri" w:eastAsia="Calibri" w:hAnsi="Calibri"/>
          <w:b/>
          <w:bCs/>
          <w:caps/>
          <w:color w:val="1F3864"/>
          <w:sz w:val="18"/>
          <w:szCs w:val="18"/>
        </w:rPr>
        <w:t xml:space="preserve">Preguntas probables de la CTRO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van a incorporar lo que observemos hoy?</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Queda en acta y se traslada a la tabla observación, respuesta y sección modificada que exige el Informe 2 conforme al Art. 45. Ninguna observación queda sin su fila: un cambio sin registro se lee como observación no atendida.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¿Hay algo que todavía no sepan?</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Sí, y está declarado: doce vacíos registrados, del V-01 al V-12, cada uno con su tratamiento y estado —resuelto por precedencia, resuelto por decisión fundada o elevado a consulta al mandante—. Más la investigación adicional declarada en las cinco innovaciones.</w:t>
      </w:r>
    </w:p>
    <w:p>
      <w:pPr>
        <w:spacing w:after="40" w:before="100"/>
      </w:pPr>
      <w:r>
        <w:rPr>
          <w:rFonts w:ascii="Calibri" w:cs="Calibri" w:eastAsia="Calibri" w:hAnsi="Calibri"/>
          <w:b/>
          <w:bCs/>
          <w:color w:val="C00000"/>
          <w:sz w:val="18"/>
          <w:szCs w:val="18"/>
        </w:rPr>
        <w:t xml:space="preserve">Transición: </w:t>
      </w:r>
      <w:r>
        <w:rPr>
          <w:rFonts w:ascii="Calibri" w:cs="Calibri" w:eastAsia="Calibri" w:hAnsi="Calibri"/>
          <w:i/>
          <w:iCs/>
          <w:color w:val="595959"/>
          <w:sz w:val="18"/>
          <w:szCs w:val="18"/>
        </w:rPr>
        <w:t xml:space="preserve">— Fin de la exposición · Ronda de preguntas —</w:t>
      </w:r>
    </w:p>
    <w:p>
      <w:r>
        <w:br w:type="page"/>
      </w:r>
    </w:p>
    <w:p>
      <w:pPr>
        <w:pStyle w:val="Heading1"/>
        <w:spacing w:after="160"/>
      </w:pPr>
      <w:r>
        <w:rPr>
          <w:rFonts w:ascii="Calibri" w:cs="Calibri" w:eastAsia="Calibri" w:hAnsi="Calibri"/>
          <w:b/>
          <w:bCs/>
          <w:color w:val="1F3864"/>
          <w:sz w:val="28"/>
          <w:szCs w:val="28"/>
        </w:rPr>
        <w:t xml:space="preserve">Anexo A · Si vas atrasado dentro de los 15 minutos</w:t>
      </w:r>
    </w:p>
    <w:p>
      <w:pPr>
        <w:spacing w:after="120" w:before="0" w:line="276"/>
      </w:pPr>
      <w:r>
        <w:rPr>
          <w:rFonts w:ascii="Calibri" w:cs="Calibri" w:eastAsia="Calibri" w:hAnsi="Calibri"/>
          <w:sz w:val="20"/>
          <w:szCs w:val="20"/>
        </w:rPr>
        <w:t xml:space="preserve">El guion ya está comprimido a quince minutos: no hay grasa que sacar sin perder contenido evaluable. Estos son los cortes de emergencia, en orden, y solo si en el minuto 8 no has llegado a la diapositiva 17. Nunca sacrificar arquitectura ni innovaciones: son el 49 % de la ponderación del informe y dos de los cinco temas obligatorios del T-22.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500"/>
        <w:gridCol w:w="1400"/>
      </w:tblGrid>
      <w:tr>
        <w:trPr>
          <w:tblHeader/>
        </w:trPr>
        <w:tc>
          <w:tcPr>
            <w:tcW w:type="dxa" w:w="6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Orden</w:t>
            </w:r>
          </w:p>
        </w:tc>
        <w:tc>
          <w:tcPr>
            <w:tcW w:type="dxa" w:w="33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Qué se recorta</w:t>
            </w:r>
          </w:p>
        </w:tc>
        <w:tc>
          <w:tcPr>
            <w:tcW w:type="dxa" w:w="3500"/>
            <w:shd w:fill="1F3864"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Cómo</w:t>
            </w:r>
          </w:p>
        </w:tc>
        <w:tc>
          <w:tcPr>
            <w:tcW w:type="dxa" w:w="1400"/>
            <w:shd w:fill="1F3864"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Gana</w:t>
            </w:r>
          </w:p>
        </w:tc>
      </w:tr>
      <w:tr>
        <w:tc>
          <w:tcPr>
            <w:tcW w:type="dxa" w:w="6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1</w:t>
            </w:r>
          </w:p>
        </w:tc>
        <w:tc>
          <w:tcPr>
            <w:tcW w:type="dxa" w:w="33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Diapositivas 10 y 11 (recepción y regreso de la flota)</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Fundir en una frase: «y lo mismo pasa en el andén de recepción y con los envases»</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−0:35</w:t>
            </w:r>
          </w:p>
        </w:tc>
      </w:tr>
      <w:tr>
        <w:tc>
          <w:tcPr>
            <w:tcW w:type="dxa" w:w="6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2</w:t>
            </w:r>
          </w:p>
        </w:tc>
        <w:tc>
          <w:tcPr>
            <w:tcW w:type="dxa" w:w="33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Diapositiva 3 (misión)</w:t>
            </w:r>
          </w:p>
        </w:tc>
        <w:tc>
          <w:tcPr>
            <w:tcW w:type="dxa" w:w="35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Saltarla: la misión ya se insinuó en la lámina anterior</w:t>
            </w:r>
          </w:p>
        </w:tc>
        <w:tc>
          <w:tcPr>
            <w:tcW w:type="dxa" w:w="14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−0:17</w:t>
            </w:r>
          </w:p>
        </w:tc>
      </w:tr>
      <w:tr>
        <w:tc>
          <w:tcPr>
            <w:tcW w:type="dxa" w:w="6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3</w:t>
            </w:r>
          </w:p>
        </w:tc>
        <w:tc>
          <w:tcPr>
            <w:tcW w:type="dxa" w:w="33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Diapositiva 12 (ciclo completo)</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Saltarla: el encadenamiento ya se entendió en el recorrido</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−0:18</w:t>
            </w:r>
          </w:p>
        </w:tc>
      </w:tr>
      <w:tr>
        <w:tc>
          <w:tcPr>
            <w:tcW w:type="dxa" w:w="6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4</w:t>
            </w:r>
          </w:p>
        </w:tc>
        <w:tc>
          <w:tcPr>
            <w:tcW w:type="dxa" w:w="33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Diapositivas 26 y 27 (Concepción y cross-docking)</w:t>
            </w:r>
          </w:p>
        </w:tc>
        <w:tc>
          <w:tcPr>
            <w:tcW w:type="dxa" w:w="35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Unir: «los otros cuatro sitios siguen este patrón, dimensionados por criticidad»</w:t>
            </w:r>
          </w:p>
        </w:tc>
        <w:tc>
          <w:tcPr>
            <w:tcW w:type="dxa" w:w="1400"/>
            <w:shd w:fill="F2F2F2"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−0:20</w:t>
            </w:r>
          </w:p>
        </w:tc>
      </w:tr>
      <w:tr>
        <w:tc>
          <w:tcPr>
            <w:tcW w:type="dxa" w:w="6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5</w:t>
            </w:r>
          </w:p>
        </w:tc>
        <w:tc>
          <w:tcPr>
            <w:tcW w:type="dxa" w:w="33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Diapositiva 29 (beneficios)</w:t>
            </w:r>
          </w:p>
        </w:tc>
        <w:tc>
          <w:tcPr>
            <w:tcW w:type="dxa" w:w="3500"/>
            <w:tcMar>
              <w:top w:type="dxa" w:w="60"/>
              <w:left w:type="dxa" w:w="90"/>
              <w:bottom w:type="dxa" w:w="60"/>
              <w:right w:type="dxa" w:w="90"/>
            </w:tcMar>
            <w:vAlign w:val="center"/>
          </w:tcPr>
          <w:p>
            <w:pPr>
              <w:spacing w:after="0" w:line="240"/>
            </w:pPr>
            <w:r>
              <w:rPr>
                <w:rFonts w:ascii="Calibri" w:cs="Calibri" w:eastAsia="Calibri" w:hAnsi="Calibri"/>
                <w:color w:val="000000"/>
                <w:sz w:val="18"/>
                <w:szCs w:val="18"/>
              </w:rPr>
              <w:t xml:space="preserve">Dejar solo la tercera audiencia: quien decide el negocio</w:t>
            </w:r>
          </w:p>
        </w:tc>
        <w:tc>
          <w:tcPr>
            <w:tcW w:type="dxa" w:w="1400"/>
            <w:tcMar>
              <w:top w:type="dxa" w:w="60"/>
              <w:left w:type="dxa" w:w="90"/>
              <w:bottom w:type="dxa" w:w="60"/>
              <w:right w:type="dxa" w:w="90"/>
            </w:tcMar>
            <w:vAlign w:val="center"/>
          </w:tcPr>
          <w:p>
            <w:pPr>
              <w:spacing w:after="0" w:line="240"/>
              <w:jc w:val="center"/>
            </w:pPr>
            <w:r>
              <w:rPr>
                <w:rFonts w:ascii="Calibri" w:cs="Calibri" w:eastAsia="Calibri" w:hAnsi="Calibri"/>
                <w:color w:val="000000"/>
                <w:sz w:val="18"/>
                <w:szCs w:val="18"/>
              </w:rPr>
              <w:t xml:space="preserve">−0:15</w:t>
            </w:r>
          </w:p>
        </w:tc>
      </w:tr>
    </w:tbl>
    <w:p>
      <w:pPr>
        <w:spacing w:after="120" w:before="200" w:line="276"/>
      </w:pPr>
      <w:r>
        <w:rPr>
          <w:rFonts w:ascii="Calibri" w:cs="Calibri" w:eastAsia="Calibri" w:hAnsi="Calibri"/>
          <w:sz w:val="19"/>
          <w:szCs w:val="19"/>
        </w:rPr>
        <w:t xml:space="preserve">Marcas de control: en el minuto 1:42 debes estar entrando a la diapositiva 5 · 5:29 a la 13 · 7:56 a la 17 · 10:53 a la 21 · 14:25 a la 29. Si vas bien, no adelantes: el tiempo sobrante no se acumula para las preguntas.</w:t>
      </w:r>
    </w:p>
    <w:p>
      <w:pPr>
        <w:pStyle w:val="Heading1"/>
        <w:spacing w:after="160" w:before="400"/>
      </w:pPr>
      <w:r>
        <w:rPr>
          <w:rFonts w:ascii="Calibri" w:cs="Calibri" w:eastAsia="Calibri" w:hAnsi="Calibri"/>
          <w:b/>
          <w:bCs/>
          <w:color w:val="1F3864"/>
          <w:sz w:val="28"/>
          <w:szCs w:val="28"/>
        </w:rPr>
        <w:t xml:space="preserve">Anexo B · Cifras que no se pueden equivocar</w:t>
      </w:r>
    </w:p>
    <w:p>
      <w:pPr>
        <w:spacing w:after="120" w:before="0" w:line="276"/>
      </w:pPr>
      <w:r>
        <w:rPr>
          <w:rFonts w:ascii="Calibri" w:cs="Calibri" w:eastAsia="Calibri" w:hAnsi="Calibri"/>
          <w:sz w:val="20"/>
          <w:szCs w:val="20"/>
        </w:rPr>
        <w:t xml:space="preserve">Una cifra distinta de la del informe es bloqueante G1 en la rúbrica. Repasar esta tabla antes de entrar.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Clientes / puntos de entrega</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14.200 (11.600 canal tradicional · 2.100 food service · ~500 supermercados)</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Pedidos · líneas · unidades al mes</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31.000 · 260.000 · 2,4 millones</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Entregas día normal / peak septiembre</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 1.400 / ≈ 2.600</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Camiones / conductores / preventistas</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96 camiones (42 propios + 54 externos) · ≈200 conductores · 62 preventistas</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OTIF y fill rate actuales (y metas)</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82,4 % (meta &gt; 95 %) · 91,3 % (meta &gt; 97 %)</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Retiro sanitario de marzo 2026</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Lote 24-0217 · 9 días · $31.000.000 · 4.800 kg · suspensión 6 meses ≈ 6 % de ventas</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Recepciones sin registro de lote</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41 %</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Quiebre de stock en líneas de pedido</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7,8 %</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Diferencia de conteo cíclico / merma</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2,3 % del valor contado / 1,7 % del inventario anual</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Reentregas / guías perdidas</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4,2 % / 1,1 % mensual (12 días para hallar una guía)</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Envases retornables</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68.000 canastillos + 9.400 pallets · 14 % de pérdida anual</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Descuadre de rendición</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$4,2 millones mensuales</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Ventana crítica de despacho</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05:30–07:00, de lunes a sábado, con indisponibilidad cero</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Instalaciones</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6 en 4 regiones (5 con cómputo + casa matriz) — el caso §8 dice 5: va como consulta</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Cronograma</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Etapa 1: meses 1–15, producción mes 16 · Etapa 2: meses 13–20, producción mes 21 · Operación: 21–56</w:t>
            </w:r>
          </w:p>
        </w:tc>
      </w:tr>
      <w:tr>
        <w:tc>
          <w:tcPr>
            <w:tcW w:type="dxa" w:w="3000"/>
            <w:shd w:fill="F2F2F2" w:color="auto" w:val="clear"/>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Autonomía sin conexión</w:t>
            </w:r>
          </w:p>
        </w:tc>
        <w:tc>
          <w:tcPr>
            <w:tcW w:type="dxa" w:w="5800"/>
            <w:shd w:fill="F2F2F2" w:color="auto" w:val="clear"/>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14 h en terreno · 24 h en centro de distribución</w:t>
            </w:r>
          </w:p>
        </w:tc>
      </w:tr>
      <w:tr>
        <w:tc>
          <w:tcPr>
            <w:tcW w:type="dxa" w:w="3000"/>
            <w:tcMar>
              <w:top w:type="dxa" w:w="60"/>
              <w:left w:type="dxa" w:w="90"/>
              <w:bottom w:type="dxa" w:w="60"/>
              <w:right w:type="dxa" w:w="90"/>
            </w:tcMar>
            <w:vAlign w:val="center"/>
          </w:tcPr>
          <w:p>
            <w:pPr>
              <w:spacing w:after="0" w:line="240"/>
            </w:pPr>
            <w:r>
              <w:rPr>
                <w:rFonts w:ascii="Calibri" w:cs="Calibri" w:eastAsia="Calibri" w:hAnsi="Calibri"/>
                <w:b/>
                <w:bCs/>
                <w:color w:val="000000"/>
                <w:sz w:val="17"/>
                <w:szCs w:val="17"/>
              </w:rPr>
              <w:t xml:space="preserve">Disponibilidad comprometida</w:t>
            </w:r>
          </w:p>
        </w:tc>
        <w:tc>
          <w:tcPr>
            <w:tcW w:type="dxa" w:w="5800"/>
            <w:tcMar>
              <w:top w:type="dxa" w:w="60"/>
              <w:left w:type="dxa" w:w="90"/>
              <w:bottom w:type="dxa" w:w="60"/>
              <w:right w:type="dxa" w:w="90"/>
            </w:tcMar>
            <w:vAlign w:val="center"/>
          </w:tcPr>
          <w:p>
            <w:pPr>
              <w:spacing w:after="0" w:line="240"/>
            </w:pPr>
            <w:r>
              <w:rPr>
                <w:rFonts w:ascii="Calibri" w:cs="Calibri" w:eastAsia="Calibri" w:hAnsi="Calibri"/>
                <w:color w:val="000000"/>
                <w:sz w:val="17"/>
                <w:szCs w:val="17"/>
              </w:rPr>
              <w:t xml:space="preserve">99,9 % sobre la transacción de negocio de extremo a extremo · RTO ≤ 4 h · RPO ≤ 15 min</w:t>
            </w:r>
          </w:p>
        </w:tc>
      </w:tr>
    </w:tbl>
    <w:p>
      <w:pPr>
        <w:pStyle w:val="Heading1"/>
        <w:spacing w:after="160" w:before="400"/>
      </w:pPr>
      <w:r>
        <w:rPr>
          <w:rFonts w:ascii="Calibri" w:cs="Calibri" w:eastAsia="Calibri" w:hAnsi="Calibri"/>
          <w:b/>
          <w:bCs/>
          <w:color w:val="1F3864"/>
          <w:sz w:val="28"/>
          <w:szCs w:val="28"/>
        </w:rPr>
        <w:t xml:space="preserve">Anexo C · Preguntas transversales</w:t>
      </w:r>
    </w:p>
    <w:p>
      <w:pPr>
        <w:spacing w:after="120" w:before="0" w:line="276"/>
      </w:pPr>
      <w:r>
        <w:rPr>
          <w:rFonts w:ascii="Calibri" w:cs="Calibri" w:eastAsia="Calibri" w:hAnsi="Calibri"/>
          <w:sz w:val="20"/>
          <w:szCs w:val="20"/>
        </w:rPr>
        <w:t xml:space="preserve">Estas no pertenecen a ninguna lámina y son de las que más aparecen al final de la ronda, cuando la Comisión ya recorrió el contenido. Las reglas de turno y el reparto por dominio están en «La ronda de preguntas», al comienzo de este documento.</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¿Por qué ustedes y no otro oferente?</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Por tres cosas verificables en el informe: operación desconectada de primera clase probada en laboratorio propio, trazabilidad GS1 EPCIS con respuesta contratable en menos de dos horas, y un modelo de servicio gestionado dimensionado para un equipo interno de cuatro personas. Las tres responden a restricciones declaradas del caso, no a preferencias nuestras.</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¿Cómo trazan cada innovación hasta la EDT y el flujo de caja?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El Art. 28 lo exige y se cierra en el Informe 2, con la EDT y el flujo. En el Informe 1 cada innovación ya está trazada a la arquitectura que la sostiene y al resultado del Capítulo 18 que la verifica.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¿Cuántos requerimientos tienen y cómo los verifican?</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Noventa y un requerimientos funcionales y cuarenta y un no funcionales en el catálogo del Subdoc 3, cada uno con su origen en las Bases o el caso, y una matriz de trazabilidad requisito → diseño → verificación.</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¿Dónde está el registro de reglas de negocio? No lo vemos como capítulo.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Está dentro del registro de requerimientos del Cap. 17.1, en el Subdoc 3, que es donde el caso lo exige. El Formulario T-22 no lo pide como sección independiente, y por eso no creamos un capítulo extra. Si el CLIENTE lo quiere como ítem propio, lo confirmamos por consulta.</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pasa si se atrasan respecto del mes 16?</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Los hitos H1 a H12 se aceptan con acta de la Contraparte Técnica bajo el protocolo del Formulario T-17, la marcha blanca se cierra bajo el Art. 17.3 y la Operación tiene multas por incumplimiento. El cronograma de cincuenta y seis meses no se negocia: se absorbe dentro de las etapas.</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¿Cuál es el mayor riesgo de esta propuesta?</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Dos: capturar el conocimiento del planificador antes de su jubilación, y la adopción en terreno de personas que hoy trabajan con papel y cuaderno. Por eso el ruteo va en Etapa 1 y la gestión del cambio arranca en el mes 1. El plan de riesgos formal es parte del Informe 2.</w:t>
      </w:r>
    </w:p>
    <w:p>
      <w:pPr>
        <w:keepNext/>
        <w:spacing w:after="20" w:before="60" w:line="264"/>
        <w:ind w:left="431" w:hanging="230"/>
      </w:pPr>
      <w:r>
        <w:rPr>
          <w:rFonts w:ascii="Calibri" w:cs="Calibri" w:eastAsia="Calibri" w:hAnsi="Calibri"/>
          <w:b/>
          <w:bCs/>
          <w:color w:val="C00000"/>
          <w:sz w:val="18"/>
          <w:szCs w:val="18"/>
        </w:rPr>
        <w:t xml:space="preserve">P  </w:t>
      </w:r>
      <w:r>
        <w:rPr>
          <w:rFonts w:ascii="Calibri" w:cs="Calibri" w:eastAsia="Calibri" w:hAnsi="Calibri"/>
          <w:i/>
          <w:iCs/>
          <w:color w:val="000000"/>
          <w:sz w:val="18"/>
          <w:szCs w:val="18"/>
        </w:rPr>
        <w:t xml:space="preserve">¿Qué pasa si el CLIENTE no entrega los datos o las definiciones a tiempo?</w:t>
      </w:r>
    </w:p>
    <w:p>
      <w:pPr>
        <w:spacing w:after="90" w:line="264"/>
        <w:ind w:left="662" w:hanging="230"/>
      </w:pPr>
      <w:r>
        <w:rPr>
          <w:rFonts w:ascii="Calibri" w:cs="Calibri" w:eastAsia="Calibri" w:hAnsi="Calibri"/>
          <w:b/>
          <w:bCs/>
          <w:color w:val="1F3864"/>
          <w:sz w:val="18"/>
          <w:szCs w:val="18"/>
        </w:rPr>
        <w:t xml:space="preserve">R  </w:t>
      </w:r>
      <w:r>
        <w:rPr>
          <w:rFonts w:ascii="Calibri" w:cs="Calibri" w:eastAsia="Calibri" w:hAnsi="Calibri"/>
          <w:color w:val="595959"/>
          <w:sz w:val="18"/>
          <w:szCs w:val="18"/>
        </w:rPr>
        <w:t xml:space="preserve">Está tratado como supuesto y como riesgo: las definiciones que faltan —entrega cumplida, excursión térmica, protocolo de local cerrado— son decisiones del CLIENTE que registramos como vacío con su fecha comprometida, porque condicionan la marcha blanca.</w:t>
      </w:r>
    </w:p>
    <w:p>
      <w:pPr>
        <w:spacing w:before="300"/>
      </w:pPr>
      <w:r>
        <w:rPr>
          <w:rFonts w:ascii="Calibri" w:cs="Calibri" w:eastAsia="Calibri" w:hAnsi="Calibri"/>
          <w:i/>
          <w:iCs/>
          <w:color w:val="C00000"/>
          <w:sz w:val="18"/>
          <w:szCs w:val="18"/>
        </w:rPr>
        <w:t xml:space="preserve">Después de la presentación: registrar por escrito cada observación de la Contraparte Técnica y de la CTRO. Alimentan la tabla observación → respuesta → sección modificada que exige el Informe 2 (AA Art. 45 · Formulario T-22).</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LafroX · Guion Presentación Preparatoria 1 · TFEP-01/2026 · pág.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la Presentación Preparatoria 1 — TFEP-01/2026</dc:title>
  <dc:creator>LafroX</dc:creator>
  <dc:description>Guion de 20 minutos para la Presentación Preparatoria 1 del Caso 02 — Logística (Distribuidora Puelche S.A.)</dc:description>
  <cp:lastModifiedBy>Un-named</cp:lastModifiedBy>
  <cp:revision>1</cp:revision>
  <dcterms:created xsi:type="dcterms:W3CDTF">2026-09-13T00:27:18.579Z</dcterms:created>
  <dcterms:modified xsi:type="dcterms:W3CDTF">2026-09-13T00:27:18.583Z</dcterms:modified>
</cp:coreProperties>
</file>

<file path=docProps/custom.xml><?xml version="1.0" encoding="utf-8"?>
<Properties xmlns="http://schemas.openxmlformats.org/officeDocument/2006/custom-properties" xmlns:vt="http://schemas.openxmlformats.org/officeDocument/2006/docPropsVTypes"/>
</file>