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FDC5" w14:textId="77777777" w:rsidR="0088320E" w:rsidRDefault="00000000" w:rsidP="008F2A2C">
      <w:pPr>
        <w:pStyle w:val="Title"/>
      </w:pPr>
      <w:r>
        <w:rPr>
          <w:color w:val="000000"/>
          <w:b w:val="1"/>
          <w:sz w:val="32"/>
          <w:szCs w:val="32"/>
        </w:rPr>
        <w:t>Guía de exposición SD9 y SD13</w:t>
      </w:r>
    </w:p>
    <w:p w14:paraId="403BFDC5" w14:textId="77777777" w:rsidR="0088320E" w:rsidRDefault="00000000" w:rsidP="008F2A2C">
      <w:pPr>
        <w:pStyle w:val="Ttulo1"/>
      </w:pPr>
      <w:r>
        <w:rPr>
          <w:color w:val="000000"/>
          <w:b w:val="1"/>
        </w:rPr>
        <w:t>Diapositiva 34</w:t>
      </w:r>
    </w:p>
    <w:p w14:paraId="58834B1A" w14:textId="77777777" w:rsidR="0088320E" w:rsidRDefault="00000000">
      <w:pPr>
        <w:spacing w:after="140"/>
      </w:pPr>
      <w:r>
        <w:rPr>
          <w:sz w:val="26"/>
          <w:color w:val="000000"/>
          <w:b w:val="1"/>
        </w:rPr>
        <w:t>Normas y marco aplicable</w:t>
      </w:r>
    </w:p>
    <w:p w14:paraId="3FE50ACC" w14:textId="77777777" w:rsidR="0088320E" w:rsidRDefault="00000000">
      <w:pPr>
        <w:spacing w:after="140"/>
      </w:pPr>
      <w:r>
        <w:rPr>
          <w:color w:val="000000"/>
          <w:b w:val="0"/>
          <w:sz w:val="20"/>
          <w:szCs w:val="20"/>
        </w:rPr>
        <w:t>Guía actualizada para las posiciones reales 34–38 y 50. La tabla es para consultas; el guion es para exponer. Las cifras detalladas siguen en las notas del PPT.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63"/>
        <w:gridCol w:w="7805"/>
      </w:tblGrid>
      <w:tr w:rsidR="0088320E" w14:paraId="25428CE4" w14:textId="77777777">
        <w:trPr>
          <w:cantSplit/>
          <w:tblHeader/>
          <w:jc w:val="center"/>
          <w:tblHeader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DC1298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Concepto de la diapositiva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5C22CEF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Qué es y cómo explicarlo al cliente</w:t>
            </w:r>
          </w:p>
        </w:tc>
      </w:tr>
      <w:tr w:rsidR="0088320E" w14:paraId="0A41872C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23C5EC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ISO/IEC 25010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6C9FF6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Organiza la calidad del producto: funcionamiento, respuesta, seguridad y otras características. Cada criterio se comprueba mediante pruebas.</w:t>
            </w:r>
          </w:p>
        </w:tc>
      </w:tr>
      <w:tr w:rsidR="0088320E" w14:paraId="0A41872C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23C5EC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ISO/IEC 25012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6C9FF6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Permite revisar que los datos estén completos, sean correctos y no se contradigan. La conciliación ayuda a detectar diferencias.</w:t>
            </w:r>
          </w:p>
        </w:tc>
      </w:tr>
      <w:tr w:rsidR="0088320E" w14:paraId="0A41872C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23C5EC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ISO/IEC/IEEE 29119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6C9FF6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Ordena cómo planificamos, ejecutamos y documentamos las pruebas. La evidencia permite revisar qué se comprobó y con qué resultado.</w:t>
            </w:r>
          </w:p>
        </w:tc>
      </w:tr>
      <w:tr w:rsidR="0088320E" w14:paraId="0A41872C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23C5EC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PMBOK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6C9FF6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Guía la planificación, la gestión y el control de la calidad del proyecto; no certifica por sí solo el software.</w:t>
            </w:r>
          </w:p>
        </w:tc>
      </w:tr>
      <w:tr w:rsidR="0088320E" w14:paraId="0A41872C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23C5EC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WCAG 2.2 AA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6C9FF6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Son criterios de accesibilidad. Combinamos herramientas automáticas y revisión manual para comprobar que las personas puedan utilizar la aplicación.</w:t>
            </w:r>
          </w:p>
        </w:tc>
      </w:tr>
      <w:tr w:rsidR="0088320E" w14:paraId="0A41872C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23C5EC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OWASP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6C9FF6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Aporta referencias de seguridad para revisar el código y probar la aplicación funcionando. El análisis estático y el dinámico se complementan.</w:t>
            </w:r>
          </w:p>
        </w:tc>
      </w:tr>
      <w:tr w:rsidR="0088320E" w14:paraId="0A41872C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23C5EC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ISO 9001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6C9FF6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Aporta el marco de gestión de calidad y auditoría de los registros. No equivale a garantizar que el programa nunca falle.</w:t>
            </w:r>
          </w:p>
        </w:tc>
      </w:tr>
      <w:tr w:rsidR="0088320E" w14:paraId="0A41872C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23C5EC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CMMI-DEV N3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6C9FF6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Es una evaluación de madurez de procesos definidos y repetibles. No debe presentarse como una certificación ISO.</w:t>
            </w:r>
          </w:p>
        </w:tc>
      </w:tr>
      <w:tr w:rsidR="0088320E" w14:paraId="0A41872C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23C5EC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Sanidad y documentos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6C9FF6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Los controles de alimentos y la documentación tributaria se traducen en registros, validaciones y pruebas de los procesos correspondientes.</w:t>
            </w:r>
          </w:p>
        </w:tc>
      </w:tr>
      <w:tr w:rsidR="0088320E" w14:paraId="0A41872C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23C5EC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Jornada y datos personales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6C9FF6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Las rutas consideran restricciones de jornada; el acceso y el tratamiento de información personal requieren controles de protección.</w:t>
            </w:r>
          </w:p>
        </w:tc>
      </w:tr>
      <w:tr w:rsidR="0088320E" w14:paraId="0A41872C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23C5EC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GS1 y EDI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6C9FF6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GS1 permite identificar productos, lugares y unidades logísticas con códigos comunes. EDI permite intercambiar documentos entre empresas. No son leyes.</w:t>
            </w:r>
          </w:p>
        </w:tc>
      </w:tr>
      <w:tr w:rsidR="0088320E" w14:paraId="0A41872C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23C5EC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Evidencia de cumplimiento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6C9FF6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La referencia se acompaña con informes, conciliaciones, registros de ejecución o auditorías. Mencionar una norma no acredita su cumplimiento.</w:t>
            </w:r>
          </w:p>
        </w:tc>
      </w:tr>
    </w:tbl>
    <w:p w14:paraId="75EADBDF" w14:textId="77777777" w:rsidR="0088320E" w:rsidRDefault="00000000">
      <w:pPr>
        <w:pStyle w:val="Ttulo2"/>
      </w:pPr>
      <w:r>
        <w:rPr>
          <w:color w:val="000000"/>
          <w:b w:val="1"/>
        </w:rPr>
        <w:t>Guion para exponer</w:t>
      </w:r>
    </w:p>
    <w:p w14:paraId="4E01E336" w14:textId="77777777" w:rsidR="0088320E" w:rsidRDefault="00000000">
      <w:r>
        <w:rPr>
          <w:color w:val="000000"/>
          <w:b w:val="0"/>
        </w:rPr>
        <w:t>El plan de calidad convierte las referencias técnicas en controles que podamos demostrar. ISO 25010 organiza lo que evaluamos del producto e ISO 25012 nos ayuda a comprobar la calidad de los datos, por ejemplo su completitud y consistencia. ISO 29119 ordena cómo se preparan, ejecutan y documentan las pruebas. Para cada criterio vinculamos una medición y la evidencia de su resultado; no nos quedamos en una lista de normas.</w:t>
      </w:r>
    </w:p>
    <w:p w14:paraId="4E01E336" w14:textId="77777777" w:rsidR="0088320E" w:rsidRDefault="00000000">
      <w:r>
        <w:rPr>
          <w:color w:val="000000"/>
          <w:b w:val="0"/>
        </w:rPr>
        <w:t>Complementamos ese trabajo con seguridad basada en OWASP y accesibilidad WCAG, revisada tanto con herramientas como manualmente. ISO 9001 aporta el marco de gestión y auditoría, mientras CMMI se refiere a la madurez del proceso. Separamos estos referentes de las obligaciones sanitarias, tributarias, de jornada y de protección de datos. GS1 y EDI cumplen otra función: identificar e intercambiar información. Para Puelche, la evidencia serán informes y registros que permitan comprobar el cumplimiento antes de aceptar cada entrega.</w:t>
      </w:r>
    </w:p>
    <w:p w14:paraId="75EADBDF" w14:textId="77777777" w:rsidR="0088320E" w:rsidRDefault="00000000">
      <w:pPr>
        <w:pStyle w:val="Ttulo2"/>
      </w:pPr>
      <w:r>
        <w:rPr>
          <w:color w:val="000000"/>
          <w:b w:val="1"/>
        </w:rPr>
        <w:t>Si el cliente pregunta</w:t>
      </w:r>
    </w:p>
    <w:p w14:paraId="4E01E336" w14:textId="77777777" w:rsidR="0088320E" w:rsidRDefault="00000000">
      <w:r>
        <w:rPr>
          <w:color w:val="000000"/>
          <w:b w:val="0"/>
          <w:sz w:val="20"/>
          <w:szCs w:val="20"/>
        </w:rPr>
        <w:t>Si preguntan por una exigencia legal concreta, hay que consultar la disposición aplicable y su trazabilidad en la oferta. No atribuir al SD9 todo el detalle legal de la lámina anterior.</w:t>
      </w:r>
    </w:p>
    <w:p w14:paraId="0EB4A0A1" w14:textId="77777777" w:rsidR="0088320E" w:rsidRDefault="00000000">
      <w:pPr>
        <w:spacing w:before="80"/>
      </w:pPr>
      <w:r>
        <w:rPr>
          <w:sz w:val="16"/>
          <w:color w:val="000000"/>
          <w:b w:val="0"/>
        </w:rPr>
        <w:t>Base documental: SD9, tabla 9.2, p. 8, y §9.1.4. Las obligaciones se presentan por ámbito; GS1 y EDI se separan del marco legal.</w:t>
      </w:r>
    </w:p>
    <w:p w14:paraId="403BFDC5" w14:textId="77777777" w:rsidR="0088320E" w:rsidRDefault="00000000" w:rsidP="008F2A2C">
      <w:pPr>
        <w:pStyle w:val="Ttulo1"/>
        <w:pageBreakBefore/>
      </w:pPr>
      <w:r>
        <w:rPr>
          <w:color w:val="000000"/>
          <w:b w:val="1"/>
        </w:rPr>
        <w:t>Diapositiva 35</w:t>
      </w:r>
    </w:p>
    <w:p w14:paraId="58834B1A" w14:textId="77777777" w:rsidR="0088320E" w:rsidRDefault="00000000">
      <w:pPr>
        <w:spacing w:after="140"/>
      </w:pPr>
      <w:r>
        <w:rPr>
          <w:sz w:val="26"/>
          <w:color w:val="000000"/>
          <w:b w:val="1"/>
        </w:rPr>
        <w:t>Calidad del producto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63"/>
        <w:gridCol w:w="7805"/>
      </w:tblGrid>
      <w:tr w:rsidR="0088320E" w14:paraId="43044D86" w14:textId="77777777">
        <w:trPr>
          <w:cantSplit/>
          <w:tblHeader/>
          <w:jc w:val="center"/>
          <w:tblHeader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EB0C1A5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Concepto de la diapositiva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01B833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Qué es y cómo explicarlo al cliente</w:t>
            </w:r>
          </w:p>
        </w:tc>
      </w:tr>
      <w:tr w:rsidR="0088320E" w14:paraId="1B09638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1EF515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Criterios de aceptación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ACF395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Son las condiciones con las que se evaluará la entrega. No son resultados que estemos declarando alcanzados.</w:t>
            </w:r>
          </w:p>
        </w:tc>
      </w:tr>
      <w:tr w:rsidR="0088320E" w14:paraId="1B09638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1EF515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Funcionalidad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ACF395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Cada requisito ofertado debe tener una prueba aprobada antes de su hito. Desarrollarlo no basta para declararlo cumplido.</w:t>
            </w:r>
          </w:p>
        </w:tc>
      </w:tr>
      <w:tr w:rsidR="0088320E" w14:paraId="1B09638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1EF515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Desempeño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ACF395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Se mide la respuesta de las transacciones críticas bajo la carga definida. Un promedio favorable no basta para acreditar el criterio.</w:t>
            </w:r>
          </w:p>
        </w:tc>
      </w:tr>
      <w:tr w:rsidR="0088320E" w14:paraId="1B09638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1EF515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Compatibilidad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ACF395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Se verifica que las integraciones intercambien información correctamente y que los procesos completos funcionen entre componentes.</w:t>
            </w:r>
          </w:p>
        </w:tc>
      </w:tr>
      <w:tr w:rsidR="0088320E" w14:paraId="1B09638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1EF515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Usabilidad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ACF395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Se comprueba el uso por perfil y en condiciones de trabajo reales, junto con la accesibilidad WCAG 2.2 AA.</w:t>
            </w:r>
          </w:p>
        </w:tc>
      </w:tr>
      <w:tr w:rsidR="0088320E" w14:paraId="1B09638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1EF515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Fiabilidad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ACF395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Incluye continuidad y recuperación. La disponibilidad mensual y la protección de la ventana de despacho son criterios distintos.</w:t>
            </w:r>
          </w:p>
        </w:tc>
      </w:tr>
      <w:tr w:rsidR="0088320E" w14:paraId="1B09638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1EF515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Seguridad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ACF395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No se acepta avanzar con hallazgos críticos o altos abiertos. Esto no equivale a afirmar que el riesgo será siempre nulo.</w:t>
            </w:r>
          </w:p>
        </w:tc>
      </w:tr>
      <w:tr w:rsidR="0088320E" w14:paraId="1B09638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1EF515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Mantenibilidad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ACF395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La revisión del código y la cobertura de pruebas ayudan a controlar los cambios. La cobertura no garantiza que no existan errores.</w:t>
            </w:r>
          </w:p>
        </w:tc>
      </w:tr>
      <w:tr w:rsidR="0088320E" w14:paraId="1B09638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1EF515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Portabilidad y artefacto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ACF395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Se promueve la misma versión de software validada entre ambientes. Así no se prueba una versión y se entrega otra.</w:t>
            </w:r>
          </w:p>
        </w:tc>
      </w:tr>
      <w:tr w:rsidR="0088320E" w14:paraId="1B09638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1EF515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Resultados del negocio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ACF395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Se comprueban con medición en operación, en el momento previsto para cada resultado; una prueba técnica no los acredita todos.</w:t>
            </w:r>
          </w:p>
        </w:tc>
      </w:tr>
    </w:tbl>
    <w:p w14:paraId="75EADBDF" w14:textId="77777777" w:rsidR="0088320E" w:rsidRDefault="00000000">
      <w:pPr>
        <w:pStyle w:val="Ttulo2"/>
      </w:pPr>
      <w:r>
        <w:rPr>
          <w:color w:val="000000"/>
          <w:b w:val="1"/>
        </w:rPr>
        <w:t>Guion para exponer</w:t>
      </w:r>
    </w:p>
    <w:p w14:paraId="4E01E336" w14:textId="77777777" w:rsidR="0088320E" w:rsidRDefault="00000000">
      <w:r>
        <w:rPr>
          <w:color w:val="000000"/>
          <w:b w:val="0"/>
        </w:rPr>
        <w:t>La calidad del producto no se limita a que una función esté construida. Comprobamos que cada requisito tenga su prueba aprobada, que las transacciones críticas respondan bajo carga y que las integraciones permitan completar el proceso de negocio. En usabilidad revisamos la tarea de cada perfil y sus condiciones de trabajo, además de la accesibilidad. Estos son criterios de aceptación de la solución, no resultados que demos por obtenidos.</w:t>
      </w:r>
    </w:p>
    <w:p w14:paraId="4E01E336" w14:textId="77777777" w:rsidR="0088320E" w:rsidRDefault="00000000">
      <w:r>
        <w:rPr>
          <w:color w:val="000000"/>
          <w:b w:val="0"/>
        </w:rPr>
        <w:t>En fiabilidad distinguimos la disponibilidad mensual de la continuidad del despacho: un buen indicador mensual no compensa una interrupción en la ventana protegida. También ensayamos la recuperación. La seguridad se revisa para no avanzar con hallazgos graves abiertos; la mantenibilidad se apoya en revisión de código y cobertura de pruebas. A Producción se lleva el mismo artefacto validado. Finalmente, los resultados del negocio se verifican con operación real y en su momento de aceptación, no solo con una demostración técnica.</w:t>
      </w:r>
    </w:p>
    <w:p w14:paraId="75EADBDF" w14:textId="77777777" w:rsidR="0088320E" w:rsidRDefault="00000000">
      <w:pPr>
        <w:pStyle w:val="Ttulo2"/>
      </w:pPr>
      <w:r>
        <w:rPr>
          <w:color w:val="000000"/>
          <w:b w:val="1"/>
        </w:rPr>
        <w:t>Si el cliente pregunta</w:t>
      </w:r>
    </w:p>
    <w:p w14:paraId="4E01E336" w14:textId="77777777" w:rsidR="0088320E" w:rsidRDefault="00000000">
      <w:r>
        <w:rPr>
          <w:color w:val="000000"/>
          <w:b w:val="0"/>
          <w:sz w:val="20"/>
          <w:szCs w:val="20"/>
        </w:rPr>
        <w:t>Si piden un umbral, consultar las notas de esta diapositiva y el protocolo. Las cifras siguen en la oferta: aquí se explica qué se controla, no se sustituyen las condiciones acordadas.</w:t>
      </w:r>
    </w:p>
    <w:p w14:paraId="0EB4A0A1" w14:textId="77777777" w:rsidR="0088320E" w:rsidRDefault="00000000">
      <w:pPr>
        <w:spacing w:before="80"/>
      </w:pPr>
      <w:r>
        <w:rPr>
          <w:sz w:val="16"/>
          <w:color w:val="000000"/>
          <w:b w:val="0"/>
        </w:rPr>
        <w:t>Base documental: SD9, tablas 9.1, p. 6; 9.3, p. 10; 9.8, p. 18. T17, §5, para la aceptación de resultados del caso.</w:t>
      </w:r>
    </w:p>
    <w:p w14:paraId="403BFDC5" w14:textId="77777777" w:rsidR="0088320E" w:rsidRDefault="00000000" w:rsidP="008F2A2C">
      <w:pPr>
        <w:pStyle w:val="Ttulo1"/>
        <w:pageBreakBefore/>
      </w:pPr>
      <w:r>
        <w:rPr>
          <w:color w:val="000000"/>
          <w:b w:val="1"/>
        </w:rPr>
        <w:t>Diapositiva 36</w:t>
      </w:r>
    </w:p>
    <w:p w14:paraId="58834B1A" w14:textId="77777777" w:rsidR="0088320E" w:rsidRDefault="00000000">
      <w:pPr>
        <w:spacing w:after="140"/>
      </w:pPr>
      <w:r>
        <w:rPr>
          <w:sz w:val="26"/>
          <w:color w:val="000000"/>
          <w:b w:val="1"/>
        </w:rPr>
        <w:t>Controles y aceptación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63"/>
        <w:gridCol w:w="7805"/>
      </w:tblGrid>
      <w:tr w:rsidR="0088320E" w14:paraId="27611716" w14:textId="77777777">
        <w:trPr>
          <w:cantSplit/>
          <w:tblHeader/>
          <w:jc w:val="center"/>
          <w:tblHeader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EA92BE8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Concepto de la diapositiva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B062FB6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Qué es y cómo explicarlo al cliente</w:t>
            </w:r>
          </w:p>
        </w:tc>
      </w:tr>
      <w:tr w:rsidR="0088320E" w14:paraId="3BED16F5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BF62C9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Puertas y aceptación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D90EA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Las puertas controlan el avance de un cambio. La aceptación contractual corresponde a Puelche y exige evidencia adicional de operación.</w:t>
            </w:r>
          </w:p>
        </w:tc>
      </w:tr>
      <w:tr w:rsidR="0088320E" w14:paraId="3BED16F5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BF62C9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G0 y G1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D90EA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El cambio pasa por comprobaciones locales y revisión de otra persona antes de incorporarse al código compartido.</w:t>
            </w:r>
          </w:p>
        </w:tc>
      </w:tr>
      <w:tr w:rsidR="0088320E" w14:paraId="3BED16F5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BF62C9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G2 y G3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D90EA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La integración continua revisa pruebas y calidad de código; antes de QA se controlan vulnerabilidades graves y regresiones de desempeño.</w:t>
            </w:r>
          </w:p>
        </w:tc>
      </w:tr>
      <w:tr w:rsidR="0088320E" w14:paraId="3BED16F5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BF62C9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G4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D90EA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Antes de promover a preproducción se revisan regresión, seguridad de la aplicación y accesibilidad.</w:t>
            </w:r>
          </w:p>
        </w:tc>
      </w:tr>
      <w:tr w:rsidR="0088320E" w14:paraId="3BED16F5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BF62C9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G5 y G6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D90EA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G5 habilita la entrada a Producción con pruebas, certificación y reversión. G6 supervisa el despliegue y revierte ante desviaciones.</w:t>
            </w:r>
          </w:p>
        </w:tc>
      </w:tr>
      <w:tr w:rsidR="0088320E" w14:paraId="3BED16F5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BF62C9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Incidentes atribuibles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D90EA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No deben quedar incidentes críticos o altos abiertos atribuibles a la solución al cierre de la marcha blanca.</w:t>
            </w:r>
          </w:p>
        </w:tc>
      </w:tr>
      <w:tr w:rsidR="0088320E" w14:paraId="3BED16F5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BF62C9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Volumen real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D90EA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Debe registrarse la totalidad del volumen real comprometido de la ola durante las últimas cuatro semanas, no solo una muestra.</w:t>
            </w:r>
          </w:p>
        </w:tc>
      </w:tr>
      <w:tr w:rsidR="0088320E" w14:paraId="3BED16F5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BF62C9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Continuidad y respuesta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D90EA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Entre 05:30 y 07:00 no debe haber caída. También deben cumplirse la disponibilidad y los tiempos de respuesta del protocolo.</w:t>
            </w:r>
          </w:p>
        </w:tc>
      </w:tr>
      <w:tr w:rsidR="0088320E" w14:paraId="3BED16F5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BF62C9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Conciliación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D90EA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No deben quedar diferencias pendientes de explicación. Una diferencia registrada sin resolver no equivale a conciliar.</w:t>
            </w:r>
          </w:p>
        </w:tc>
      </w:tr>
      <w:tr w:rsidR="0088320E" w14:paraId="3BED16F5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BF62C9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Usuarios de la ola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D90EA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Quienes usarán la solución en esa ola deben estar capacitados y certificados. No se refiere indistintamente a toda la organización.</w:t>
            </w:r>
          </w:p>
        </w:tc>
      </w:tr>
      <w:tr w:rsidR="0088320E" w14:paraId="3BED16F5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BF62C9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Acta de la Contraparte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D90EA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La aceptación requiere la firma de la Contraparte Técnica. Un acta no reemplaza una prueba fallida ni levanta un bloqueo.</w:t>
            </w:r>
          </w:p>
        </w:tc>
      </w:tr>
      <w:tr w:rsidR="0088320E" w14:paraId="3BED16F5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BF62C9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Condiciones conjuntas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D90EA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Todas deben cumplirse; una no compensa a otra. Iniciar la marcha blanca en Producción no significa que ya esté aceptada.</w:t>
            </w:r>
          </w:p>
        </w:tc>
      </w:tr>
    </w:tbl>
    <w:p w14:paraId="75EADBDF" w14:textId="77777777" w:rsidR="0088320E" w:rsidRDefault="00000000">
      <w:pPr>
        <w:pStyle w:val="Ttulo2"/>
      </w:pPr>
      <w:r>
        <w:rPr>
          <w:color w:val="000000"/>
          <w:b w:val="1"/>
        </w:rPr>
        <w:t>Guion para exponer</w:t>
      </w:r>
    </w:p>
    <w:p w14:paraId="4E01E336" w14:textId="77777777" w:rsidR="0088320E" w:rsidRDefault="00000000">
      <w:r>
        <w:rPr>
          <w:color w:val="000000"/>
          <w:b w:val="0"/>
        </w:rPr>
        <w:t>Aquí distinguimos dos decisiones: permitir que un cambio avance y aceptar contractualmente una etapa. Las puertas revisan progresivamente el cambio. Primero se comprueban formato, pruebas y revisión por pares; después, la integración continua revisa el código y las pruebas. Antes de promover se controlan vulnerabilidades, regresión, seguridad y accesibilidad. Si falla un criterio bloqueante, corresponde corregir y volver a presentar evidencia, no reemplazar la prueba con una autorización.</w:t>
      </w:r>
    </w:p>
    <w:p w14:paraId="4E01E336" w14:textId="77777777" w:rsidR="0088320E" w:rsidRDefault="00000000">
      <w:r>
        <w:rPr>
          <w:color w:val="000000"/>
          <w:b w:val="0"/>
        </w:rPr>
        <w:t>La entrada a Producción permite iniciar la marcha blanca con la certificación y las pruebas habilitantes aprobadas, además de la reversión ensayada. La supervisión posterior permite detectar degradaciones y revertir el despliegue. Cerrar la marcha blanca exige además cumplir conjuntamente las condiciones del protocolo: incidentes atribuibles resueltos, volumen real comprometido, continuidad y respuesta, conciliación, usuarios de la ola certificados y acta firmada. Por eso nuestros controles internos no nos permiten declarar aceptada la etapa por cuenta propia.</w:t>
      </w:r>
    </w:p>
    <w:p w14:paraId="75EADBDF" w14:textId="77777777" w:rsidR="0088320E" w:rsidRDefault="00000000">
      <w:pPr>
        <w:pStyle w:val="Ttulo2"/>
      </w:pPr>
      <w:r>
        <w:rPr>
          <w:color w:val="000000"/>
          <w:b w:val="1"/>
        </w:rPr>
        <w:t>Si el cliente pregunta</w:t>
      </w:r>
    </w:p>
    <w:p w14:paraId="4E01E336" w14:textId="77777777" w:rsidR="0088320E" w:rsidRDefault="00000000">
      <w:r>
        <w:rPr>
          <w:color w:val="000000"/>
          <w:b w:val="0"/>
          <w:sz w:val="20"/>
          <w:szCs w:val="20"/>
        </w:rPr>
        <w:t>Si preguntan si una condición puede compensar a otra: no. El T17 exige su cumplimiento conjunto. El detalle numérico de disponibilidad y respuesta está en sus notas y en el protocolo.</w:t>
      </w:r>
    </w:p>
    <w:p w14:paraId="0EB4A0A1" w14:textId="77777777" w:rsidR="0088320E" w:rsidRDefault="00000000">
      <w:pPr>
        <w:spacing w:before="80"/>
      </w:pPr>
      <w:r>
        <w:rPr>
          <w:sz w:val="16"/>
          <w:color w:val="000000"/>
          <w:b w:val="0"/>
        </w:rPr>
        <w:t>Base documental: SD9, §9.2.1 y tabla 9.7, p. 16. T17, §4.3 y p. 12, condiciones del Art. 17.3.</w:t>
      </w:r>
    </w:p>
    <w:p w14:paraId="403BFDC5" w14:textId="77777777" w:rsidR="0088320E" w:rsidRDefault="00000000" w:rsidP="008F2A2C">
      <w:pPr>
        <w:pStyle w:val="Ttulo1"/>
        <w:pageBreakBefore/>
      </w:pPr>
      <w:r>
        <w:rPr>
          <w:color w:val="000000"/>
          <w:b w:val="1"/>
        </w:rPr>
        <w:t>Diapositiva 37</w:t>
      </w:r>
    </w:p>
    <w:p w14:paraId="58834B1A" w14:textId="77777777" w:rsidR="0088320E" w:rsidRDefault="00000000">
      <w:pPr>
        <w:spacing w:after="140"/>
      </w:pPr>
      <w:r>
        <w:rPr>
          <w:sz w:val="26"/>
          <w:color w:val="000000"/>
          <w:b w:val="1"/>
        </w:rPr>
        <w:t>Pruebas del código al terreno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63"/>
        <w:gridCol w:w="7805"/>
      </w:tblGrid>
      <w:tr w:rsidR="0088320E" w14:paraId="0D9EC281" w14:textId="77777777">
        <w:trPr>
          <w:cantSplit/>
          <w:tblHeader/>
          <w:jc w:val="center"/>
          <w:tblHeader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6D05D5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Concepto de la diapositiva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B858DD4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Qué es y cómo explicarlo al cliente</w:t>
            </w:r>
          </w:p>
        </w:tc>
      </w:tr>
      <w:tr w:rsidR="0088320E" w14:paraId="3476411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988317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b/>
                <w:color w:val="000000"/>
              </w:rPr>
              <w:t>Desarrollo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E9D3FC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color w:val="000000"/>
              </w:rPr>
              <w:t>Las pruebas unitarias y de componente comprueban reglas y partes del programa antes de conectarlas con el conjunto.</w:t>
            </w:r>
          </w:p>
        </w:tc>
      </w:tr>
      <w:tr w:rsidR="0088320E" w14:paraId="3476411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988317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b/>
                <w:color w:val="000000"/>
              </w:rPr>
              <w:t>Contratos de API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E9D3FC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color w:val="000000"/>
              </w:rPr>
              <w:t>Revisan los acuerdos entre componentes: información enviada, formato y respuesta esperada. Ayudan a detectar cambios incompatibles.</w:t>
            </w:r>
          </w:p>
        </w:tc>
      </w:tr>
      <w:tr w:rsidR="0088320E" w14:paraId="3476411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988317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b/>
                <w:color w:val="000000"/>
              </w:rPr>
              <w:t>QA y regresión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E9D3FC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color w:val="000000"/>
              </w:rPr>
              <w:t>QA es el ambiente de pruebas. La integración comprueba conexiones; la regresión revisa que un cambio no rompa funciones existentes.</w:t>
            </w:r>
          </w:p>
        </w:tc>
      </w:tr>
      <w:tr w:rsidR="0088320E" w14:paraId="3476411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988317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b/>
                <w:color w:val="000000"/>
              </w:rPr>
              <w:t>Seguridad y accesibilidad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E9D3FC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color w:val="000000"/>
              </w:rPr>
              <w:t>Se revisan vulnerabilidades y posibilidades de uso. DAST prueba seguridad con la aplicación funcionando, no solo leyendo su código.</w:t>
            </w:r>
          </w:p>
        </w:tc>
      </w:tr>
      <w:tr w:rsidR="0088320E" w14:paraId="3476411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988317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b/>
                <w:color w:val="000000"/>
              </w:rPr>
              <w:t>Aceptación de usuario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E9D3FC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color w:val="000000"/>
              </w:rPr>
              <w:t>Las personas que realizarán el trabajo prueban tareas representativas. La validación se documenta con la Contraparte Técnica.</w:t>
            </w:r>
          </w:p>
        </w:tc>
      </w:tr>
      <w:tr w:rsidR="0088320E" w14:paraId="3476411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988317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b/>
                <w:color w:val="000000"/>
              </w:rPr>
              <w:t>Carga y estrés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E9D3FC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color w:val="000000"/>
              </w:rPr>
              <w:t>Carga comprueba la demanda definida; estrés aumenta la exigencia para observar saturación y degradación controlada, sin perder transacciones.</w:t>
            </w:r>
          </w:p>
        </w:tc>
      </w:tr>
      <w:tr w:rsidR="0088320E" w14:paraId="3476411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988317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b/>
                <w:color w:val="000000"/>
              </w:rPr>
              <w:t>Fallas y conectividad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E9D3FC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color w:val="000000"/>
              </w:rPr>
              <w:t>Se provocan fallas y cortes para comprobar continuidad y sincronización. El escenario de un sitio y el de un terminal no son iguales.</w:t>
            </w:r>
          </w:p>
        </w:tc>
      </w:tr>
      <w:tr w:rsidR="0088320E" w14:paraId="3476411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988317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b/>
                <w:color w:val="000000"/>
              </w:rPr>
              <w:t>Migración y reversión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E9D3FC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color w:val="000000"/>
              </w:rPr>
              <w:t>Se comprueban el traslado y la conciliación de datos, además de la instalación y el retorno a una versión anterior si hace falta.</w:t>
            </w:r>
          </w:p>
        </w:tc>
      </w:tr>
      <w:tr w:rsidR="0088320E" w14:paraId="3476411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988317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b/>
                <w:color w:val="000000"/>
              </w:rPr>
              <w:t>Intrusión independiente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E9D3FC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color w:val="000000"/>
              </w:rPr>
              <w:t>Un tercero autorizado evalúa la seguridad antes de la entrada a Producción prevista. No sustituye los controles diarios del desarrollo.</w:t>
            </w:r>
          </w:p>
        </w:tc>
      </w:tr>
      <w:tr w:rsidR="0088320E" w14:paraId="3476411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988317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b/>
                <w:color w:val="000000"/>
              </w:rPr>
              <w:t>Terreno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E9D3FC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color w:val="000000"/>
              </w:rPr>
              <w:t>Se revisa el uso sin señal, con frío y guantes, lluvia, calor o una mano. Estas condiciones requieren pruebas físicas y operacionales.</w:t>
            </w:r>
          </w:p>
        </w:tc>
      </w:tr>
      <w:tr w:rsidR="0088320E" w14:paraId="3476411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988317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b/>
                <w:color w:val="000000"/>
              </w:rPr>
              <w:t>Operación y recuperación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E9D3FC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color w:val="000000"/>
              </w:rPr>
              <w:t>La marcha blanca mide indicadores con operación real. Los ejercicios de recuperación comprueban el restablecimiento del servicio y de sus datos.</w:t>
            </w:r>
          </w:p>
        </w:tc>
      </w:tr>
      <w:tr w:rsidR="0088320E" w14:paraId="3476411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988317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b/>
                <w:color w:val="000000"/>
              </w:rPr>
              <w:t>Automatización y datos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E9D3FC" w14:textId="77777777" w:rsidR="0088320E" w:rsidRPr="008F2A2C" w:rsidRDefault="00000000">
            <w:pPr>
              <w:spacing w:after="0" w:line="240" w:lineRule="auto"/>
              <w:rPr/>
            </w:pPr>
            <w:r>
              <w:rPr>
                <w:color w:val="000000"/>
              </w:rPr>
              <w:t>Se automatizan comprobaciones repetibles y se conserva evidencia por caso y ambiente. Los datos reales usados en pruebas requieren anonimización verificada.</w:t>
            </w:r>
          </w:p>
        </w:tc>
      </w:tr>
    </w:tbl>
    <w:p w14:paraId="75EADBDF" w14:textId="77777777" w:rsidR="0088320E" w:rsidRDefault="00000000">
      <w:pPr>
        <w:pStyle w:val="Ttulo2"/>
      </w:pPr>
      <w:r>
        <w:rPr>
          <w:color w:val="000000"/>
          <w:b w:val="1"/>
        </w:rPr>
        <w:t>Guion para exponer</w:t>
      </w:r>
    </w:p>
    <w:p w14:paraId="4E01E336" w14:textId="77777777" w:rsidR="0088320E" w:rsidRDefault="00000000">
      <w:r>
        <w:rPr>
          <w:color w:val="000000"/>
          <w:b w:val="0"/>
        </w:rPr>
        <w:t>Las pruebas avanzan desde el código hacia escenarios cercanos a la operación real. En desarrollo comprobamos reglas y componentes, además de los contratos que permiten a las aplicaciones intercambiar información. En QA verificamos integraciones y ejecutamos regresión: después de un cambio, volvemos a comprobar que lo que funcionaba siga funcionando. La revisión de seguridad y accesibilidad combina herramientas con intervención humana.</w:t>
      </w:r>
    </w:p>
    <w:p w14:paraId="4E01E336" w14:textId="77777777" w:rsidR="0088320E" w:rsidRDefault="00000000">
      <w:r>
        <w:rPr>
          <w:color w:val="000000"/>
          <w:b w:val="0"/>
        </w:rPr>
        <w:t>En preproducción participan los usuarios y se ensayan carga, estrés, fallas de conectividad, migración y reversión. La carga no se escoge arbitrariamente: se deriva del dimensionamiento documentado. El trabajo sin señal, el frío con guantes y las demás condiciones de uso se prueban en terreno. Automatizamos lo repetible; las pruebas físicas o que requieren juicio humano se programan aparte. Cada caso deja evidencia de su ambiente y resultado. Los datos de prueba deben estar protegidos, y durante la marcha blanca los indicadores se miden con operación real.</w:t>
      </w:r>
    </w:p>
    <w:p w14:paraId="75EADBDF" w14:textId="77777777" w:rsidR="0088320E" w:rsidRDefault="00000000">
      <w:pPr>
        <w:pStyle w:val="Ttulo2"/>
      </w:pPr>
      <w:r>
        <w:rPr>
          <w:color w:val="000000"/>
          <w:b w:val="1"/>
        </w:rPr>
        <w:t>Si el cliente pregunta</w:t>
      </w:r>
    </w:p>
    <w:p w14:paraId="4E01E336" w14:textId="77777777" w:rsidR="0088320E" w:rsidRDefault="00000000">
      <w:r>
        <w:rPr>
          <w:color w:val="000000"/>
          <w:b w:val="0"/>
          <w:sz w:val="20"/>
          <w:szCs w:val="20"/>
        </w:rPr>
        <w:t>Si preguntan por la duración de la regresión: la estimación nocturna de las notas corresponde al bloque automatizado bajo supuestos de planificación. No incluye toda la campaña manual ni de terreno.</w:t>
      </w:r>
    </w:p>
    <w:p w14:paraId="0EB4A0A1" w14:textId="77777777" w:rsidR="0088320E" w:rsidRDefault="00000000">
      <w:pPr>
        <w:spacing w:before="80"/>
      </w:pPr>
      <w:r>
        <w:rPr>
          <w:sz w:val="16"/>
          <w:color w:val="000000"/>
          <w:b w:val="0"/>
        </w:rPr>
        <w:t>Base documental: SD9, tabla 9.8, p. 18; tabla 9.9 y §9.2.4, p. 20. T13, §§8.2–8.3, pp. 19–20.</w:t>
      </w:r>
    </w:p>
    <w:p w14:paraId="403BFDC5" w14:textId="77777777" w:rsidR="0088320E" w:rsidRDefault="00000000" w:rsidP="008F2A2C">
      <w:pPr>
        <w:pStyle w:val="Ttulo1"/>
        <w:pageBreakBefore/>
      </w:pPr>
      <w:r>
        <w:rPr>
          <w:color w:val="000000"/>
          <w:b w:val="1"/>
        </w:rPr>
        <w:t>Diapositiva 38</w:t>
      </w:r>
    </w:p>
    <w:p w14:paraId="58834B1A" w14:textId="77777777" w:rsidR="0088320E" w:rsidRDefault="00000000">
      <w:pPr>
        <w:spacing w:after="140"/>
      </w:pPr>
      <w:r>
        <w:rPr>
          <w:sz w:val="26"/>
          <w:color w:val="000000"/>
          <w:b w:val="1"/>
        </w:rPr>
        <w:t>Trazabilidad y mejora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63"/>
        <w:gridCol w:w="7805"/>
      </w:tblGrid>
      <w:tr w:rsidR="0088320E" w14:paraId="62E8DAD9" w14:textId="77777777">
        <w:trPr>
          <w:cantSplit/>
          <w:tblHeader/>
          <w:jc w:val="center"/>
          <w:tblHeader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9263E2F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Concepto de la diapositiva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B2C709C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Qué es y cómo explicarlo al cliente</w:t>
            </w:r>
          </w:p>
        </w:tc>
      </w:tr>
      <w:tr w:rsidR="0088320E" w14:paraId="789BADC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A20B04B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Trazabilidad completa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17F194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Permite seguir una necesidad desde lo pedido por Puelche hasta el requisito, el trabajo, la prueba y la aceptación.</w:t>
            </w:r>
          </w:p>
        </w:tc>
      </w:tr>
      <w:tr w:rsidR="0088320E" w14:paraId="789BADC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A20B04B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Clientes afectados en menos de dos horas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17F194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El ejemplo exige identificar a los clientes afectados por un lote. No significa retirar físicamente toda la mercadería en ese tiempo.</w:t>
            </w:r>
          </w:p>
        </w:tc>
      </w:tr>
      <w:tr w:rsidR="0088320E" w14:paraId="789BADC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A20B04B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RF-09.01 y M9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17F194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RF-09.01 identifica el requisito de trazabilidad; M9 es el módulo de calidad y trazabilidad que participa en su cumplimiento.</w:t>
            </w:r>
          </w:p>
        </w:tc>
      </w:tr>
      <w:tr w:rsidR="0088320E" w14:paraId="789BADC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A20B04B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EDT y paquete 3.4.4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17F194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La EDT divide el proyecto en trabajos controlables. El paquete 3.4.4 ubica el trabajo de cadena de frío y retiro.</w:t>
            </w:r>
          </w:p>
        </w:tc>
      </w:tr>
      <w:tr w:rsidR="0088320E" w14:paraId="789BADC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A20B04B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Simulacro de retiro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17F194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Ensaya la identificación de afectados con un lote y deja evidencia del resultado y del tiempo medido.</w:t>
            </w:r>
          </w:p>
        </w:tc>
      </w:tr>
      <w:tr w:rsidR="0088320E" w14:paraId="789BADC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A20B04B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Código e identificador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17F194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La solicitud de fusión registra qué requisito atiende el cambio. Así se puede relacionar lo construido con la necesidad original.</w:t>
            </w:r>
          </w:p>
        </w:tc>
      </w:tr>
      <w:tr w:rsidR="0088320E" w14:paraId="789BADC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A20B04B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Digest e imagen firmada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17F194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El digest es la huella de la versión exacta del software; la firma permite comprobar su origen e integridad.</w:t>
            </w:r>
          </w:p>
        </w:tc>
      </w:tr>
      <w:tr w:rsidR="0088320E" w14:paraId="789BADC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A20B04B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Acta H7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17F194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Registra la aceptación del cierre de marcha blanca de la Etapa 1. No acepta anticipadamente resultados que se medirán después.</w:t>
            </w:r>
          </w:p>
        </w:tc>
      </w:tr>
      <w:tr w:rsidR="0088320E" w14:paraId="789BADC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A20B04B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PDCA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17F194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Planificar identifica causa y responsable; hacer aplica la corrección; verificar repite el criterio; actuar cierra o ajusta con evidencia.</w:t>
            </w:r>
          </w:p>
        </w:tc>
      </w:tr>
      <w:tr w:rsidR="0088320E" w14:paraId="789BADC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A20B04B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Control y causa raíz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17F194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Los diagramas de control muestran variaciones en el tiempo. Pareto ayuda a priorizar problemas; causa raíz busca por qué ocurren.</w:t>
            </w:r>
          </w:p>
        </w:tc>
      </w:tr>
      <w:tr w:rsidR="0088320E" w14:paraId="789BADC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A20B04B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Prevención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17F194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Es preparar procesos y controles para reducir la aparición de errores. Su programación no es una promesa de ausencia de fallas.</w:t>
            </w:r>
          </w:p>
        </w:tc>
      </w:tr>
      <w:tr w:rsidR="0088320E" w14:paraId="789BADC7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A20B04B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Evaluación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17F194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Es revisar, probar y documentar el cumplimiento. El esfuerzo de prevención y evaluación no representa por sí solo el costo integral de calidad.</w:t>
            </w:r>
          </w:p>
        </w:tc>
      </w:tr>
    </w:tbl>
    <w:p w14:paraId="75EADBDF" w14:textId="77777777" w:rsidR="0088320E" w:rsidRDefault="00000000">
      <w:pPr>
        <w:pStyle w:val="Ttulo2"/>
      </w:pPr>
      <w:r>
        <w:rPr>
          <w:color w:val="000000"/>
          <w:b w:val="1"/>
        </w:rPr>
        <w:t>Guion para exponer</w:t>
      </w:r>
    </w:p>
    <w:p w14:paraId="4E01E336" w14:textId="77777777" w:rsidR="0088320E" w:rsidRDefault="00000000">
      <w:r>
        <w:rPr>
          <w:color w:val="000000"/>
          <w:b w:val="0"/>
        </w:rPr>
        <w:t>La trazabilidad permite demostrar que lo entregado responde a una necesidad de Puelche. En el ejemplo, identificar clientes afectados por un lote se vincula con el requisito RF-09.01, el módulo de calidad y trazabilidad, el paquete de trabajo y el simulacro que lo comprueba. Al incorporar el cambio de código registramos el identificador del requisito, y el digest de la imagen permite reconocer la versión exacta que se desplegó. Así relacionamos la prueba con lo que recibió el cliente.</w:t>
      </w:r>
    </w:p>
    <w:p w14:paraId="4E01E336" w14:textId="77777777" w:rsidR="0088320E" w:rsidRDefault="00000000">
      <w:r>
        <w:rPr>
          <w:color w:val="000000"/>
          <w:b w:val="0"/>
        </w:rPr>
        <w:t>Cuando una medición se desvía, aplicamos el ciclo de mejora: analizamos la causa y asignamos responsable, corregimos, repetimos la verificación con el mismo criterio y cerramos o ajustamos según la evidencia. Pareto ayuda a priorizar y los diagramas de control permiten observar variaciones del proceso. El esfuerzo de calidad incluye preparar controles para prevenir y ejecutar revisiones para evaluar. No se limita a probar al final, ni equivale a presupuestar como monto cerrado todas las fallas futuras.</w:t>
      </w:r>
    </w:p>
    <w:p w14:paraId="75EADBDF" w14:textId="77777777" w:rsidR="0088320E" w:rsidRDefault="00000000">
      <w:pPr>
        <w:pStyle w:val="Ttulo2"/>
      </w:pPr>
      <w:r>
        <w:rPr>
          <w:color w:val="000000"/>
          <w:b w:val="1"/>
        </w:rPr>
        <w:t>Si el cliente pregunta</w:t>
      </w:r>
    </w:p>
    <w:p w14:paraId="4E01E336" w14:textId="77777777" w:rsidR="0088320E" w:rsidRDefault="00000000">
      <w:r>
        <w:rPr>
          <w:color w:val="000000"/>
          <w:b w:val="0"/>
          <w:sz w:val="20"/>
          <w:szCs w:val="20"/>
        </w:rPr>
        <w:t>Si preguntan por las horas retiradas de la lámina: corresponden a conformidad programada, obtenida de paquetes y roles de prevención y evaluación. No son el costo integral de calidad. Consultar notas y tabla 9.6.</w:t>
      </w:r>
    </w:p>
    <w:p w14:paraId="0EB4A0A1" w14:textId="77777777" w:rsidR="0088320E" w:rsidRDefault="00000000">
      <w:pPr>
        <w:spacing w:before="80"/>
      </w:pPr>
      <w:r>
        <w:rPr>
          <w:sz w:val="16"/>
          <w:color w:val="000000"/>
          <w:b w:val="0"/>
        </w:rPr>
        <w:t>Base documental: SD9, tabla 9.6, p. 14, y §§9.2.5–9.2.6, figuras 9.6–9.8. T17, §5, p. 12, para el alcance del ejemplo.</w:t>
      </w:r>
    </w:p>
    <w:p w14:paraId="403BFDC5" w14:textId="77777777" w:rsidR="0088320E" w:rsidRDefault="00000000" w:rsidP="008F2A2C">
      <w:pPr>
        <w:pStyle w:val="Ttulo1"/>
        <w:pageBreakBefore/>
      </w:pPr>
      <w:r>
        <w:rPr>
          <w:color w:val="000000"/>
          <w:b w:val="1"/>
        </w:rPr>
        <w:t>Diapositiva 50</w:t>
      </w:r>
    </w:p>
    <w:p w14:paraId="58834B1A" w14:textId="77777777" w:rsidR="0088320E" w:rsidRDefault="00000000">
      <w:pPr>
        <w:spacing w:after="140"/>
      </w:pPr>
      <w:r>
        <w:rPr>
          <w:sz w:val="26"/>
          <w:color w:val="000000"/>
          <w:b w:val="1"/>
        </w:rPr>
        <w:t>Innovaciones con evaluación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63"/>
        <w:gridCol w:w="7805"/>
      </w:tblGrid>
      <w:tr w:rsidR="0088320E" w14:paraId="7E49DA93" w14:textId="77777777">
        <w:trPr>
          <w:cantSplit/>
          <w:tblHeader/>
          <w:jc w:val="center"/>
          <w:tblHeader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84D9672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Concepto de la diapositiva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3917533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Qué es y cómo explicarlo al cliente</w:t>
            </w:r>
          </w:p>
        </w:tc>
      </w:tr>
      <w:tr w:rsidR="0088320E" w14:paraId="2C3FB4D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532A51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Seguimiento posentrega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8B5B6F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Agrega seguimiento al vencimiento en el local. El preventista recibe avisos, confirma el riesgo y aplica acciones autorizadas; se evalúan acierto y vencimiento frente a la base.</w:t>
            </w:r>
          </w:p>
        </w:tc>
      </w:tr>
      <w:tr w:rsidR="0088320E" w14:paraId="2C3FB4D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532A51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Reproducción de incidentes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8B5B6F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Reúne evidencia protegida para reconstruir una falla de terreno en pruebas. Se compara el tiempo hasta reproducir la causa en casos equivalentes.</w:t>
            </w:r>
          </w:p>
        </w:tc>
      </w:tr>
      <w:tr w:rsidR="0088320E" w14:paraId="2C3FB4D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532A51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Vida útil por historia térmica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8B5B6F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Usa temperatura y tiempo para apoyar a Calidad. La estimación se valida por familia y no amplía la fecha impresa ni elimina bloqueos térmicos.</w:t>
            </w:r>
          </w:p>
        </w:tc>
      </w:tr>
      <w:tr w:rsidR="0088320E" w14:paraId="2C3FB4D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532A51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Pago ligado al costo de servir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8B5B6F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Propone un tramo variable condicionado a la mejora del costo comparable y al servicio. Finanzas debe poder reproducir el cálculo.</w:t>
            </w:r>
          </w:p>
        </w:tc>
      </w:tr>
      <w:tr w:rsidR="0088320E" w14:paraId="2C3FB4D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532A51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OTIF y comparación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8B5B6F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OTIF mide entregas completas y a tiempo. Una reducción aparente del costo no cuenta si se degrada el servicio o cambia indebidamente la referencia.</w:t>
            </w:r>
          </w:p>
        </w:tc>
      </w:tr>
      <w:tr w:rsidR="0088320E" w14:paraId="2C3FB4D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532A51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Hoja del almacenero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8B5B6F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Devuelve información de sus compras en el terminal del preventista, sin exigir dispositivo ni internet al local. La copia solicitada se entrega por Reparto posteriormente.</w:t>
            </w:r>
          </w:p>
        </w:tc>
      </w:tr>
      <w:tr w:rsidR="0088320E" w14:paraId="2C3FB4D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532A51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Cómo se evalúan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8B5B6F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Se revisan acierto, diagnóstico, concordancia con Calidad, costo comparable y servicio, y comprensión y cobertura de la hoja. Cada indicador tiene condiciones y momento.</w:t>
            </w:r>
          </w:p>
        </w:tc>
      </w:tr>
      <w:tr w:rsidR="0088320E" w14:paraId="2C3FB4D3" w14:textId="77777777">
        <w:trPr>
          <w:cantSplit/>
          <w:jc w:val="center"/>
          <w:cantSplit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532A51" w14:textId="77777777" w:rsidR="0088320E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Metas y resultados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8B5B6F" w14:textId="77777777" w:rsidR="0088320E" w:rsidRDefault="00000000">
            <w:pPr>
              <w:spacing w:after="0" w:line="240" w:lineRule="auto"/>
            </w:pPr>
            <w:r>
              <w:rPr>
                <w:color w:val="000000"/>
              </w:rPr>
              <w:t>Las metas se mantienen en la oferta, pero no son beneficios ya demostrados. La medición debe distinguir la habilitación de una innovación del ahorro posterior.</w:t>
            </w:r>
          </w:p>
        </w:tc>
      </w:tr>
    </w:tbl>
    <w:p w14:paraId="75EADBDF" w14:textId="77777777" w:rsidR="0088320E" w:rsidRDefault="00000000">
      <w:pPr>
        <w:pStyle w:val="Ttulo2"/>
      </w:pPr>
      <w:r>
        <w:rPr>
          <w:color w:val="000000"/>
          <w:b w:val="1"/>
        </w:rPr>
        <w:t>Guion para exponer</w:t>
      </w:r>
    </w:p>
    <w:p w14:paraId="4E01E336" w14:textId="77777777" w:rsidR="0088320E" w:rsidRDefault="00000000">
      <w:r>
        <w:rPr>
          <w:color w:val="000000"/>
          <w:b w:val="0"/>
        </w:rPr>
        <w:t>Las innovaciones agregan capacidades al alcance obligatorio y cada una tiene una forma de evaluación. El seguimiento posentrega avisa al preventista de productos que podrían vencer en el local, para confirmar el riesgo y aplicar una acción autorizada. La reproducción de incidentes reúne evidencia protegida para reconstruir la causa en pruebas y comparar el tiempo de diagnóstico en casos equivalentes. La historia térmica utiliza temperatura y tiempo para apoyar decisiones de Calidad; sus parámetros se validan por familia y no extienden la fecha impresa ni modifican los bloqueos.</w:t>
      </w:r>
    </w:p>
    <w:p w14:paraId="4E01E336" w14:textId="77777777" w:rsidR="0088320E" w:rsidRDefault="00000000">
      <w:r>
        <w:rPr>
          <w:color w:val="000000"/>
          <w:b w:val="0"/>
        </w:rPr>
        <w:t>En el modelo de negocio proponemos que un tramo variable del pago dependa del costo comparable por entrega, condicionado al nivel de servicio. El cálculo debe poder reproducirse con Finanzas: ahorrar empeorando las entregas no cuenta. La hoja del almacenero devuelve información útil en el terminal del preventista o mediante una copia solicitada, sin exigir conexión al local. Evaluamos comprensión, cobertura y uso. Las metas permanecen en la oferta con sus condiciones de medición; no las presentamos como ahorros ya observados.</w:t>
      </w:r>
    </w:p>
    <w:p w14:paraId="75EADBDF" w14:textId="77777777" w:rsidR="0088320E" w:rsidRDefault="00000000">
      <w:pPr>
        <w:pStyle w:val="Ttulo2"/>
      </w:pPr>
      <w:r>
        <w:rPr>
          <w:color w:val="000000"/>
          <w:b w:val="1"/>
        </w:rPr>
        <w:t>Si el cliente pregunta</w:t>
      </w:r>
    </w:p>
    <w:p w14:paraId="4E01E336" w14:textId="77777777" w:rsidR="0088320E" w:rsidRDefault="00000000">
      <w:r>
        <w:rPr>
          <w:color w:val="000000"/>
          <w:b w:val="0"/>
          <w:sz w:val="20"/>
          <w:szCs w:val="20"/>
        </w:rPr>
        <w:t>Si preguntan de dónde sale un porcentaje: es la meta de diseño ofertada, no una medición previa. Consultar el indicador, su línea base y su momento de verificación en las notas; no inventar un cálculo que la justifique.</w:t>
      </w:r>
    </w:p>
    <w:p w14:paraId="0EB4A0A1" w14:textId="77777777" w:rsidR="0088320E" w:rsidRDefault="00000000">
      <w:pPr>
        <w:spacing w:before="80"/>
      </w:pPr>
      <w:r>
        <w:rPr>
          <w:sz w:val="16"/>
          <w:color w:val="000000"/>
          <w:b w:val="0"/>
        </w:rPr>
        <w:t>Base documental: SD13, tablas 13.5, p. 15; 13.10, p. 23; 13.15, p. 32; 13.21, p. 40; 13.26, p. 47. T19, fichas 1–5.</w:t>
      </w:r>
    </w:p>
    <w:sectPr w:rsidR="0088320E" w:rsidSect="00034616">
      <w:footerReference w:type="default" r:id="rId8"/>
      <w:pgSz w:w="12240" w:h="15840"/>
      <w:pgMar w:top="720" w:right="936" w:bottom="720" w:left="936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4169" w14:textId="77777777" w:rsidR="00EC5DFF" w:rsidRDefault="00EC5DFF">
      <w:pPr>
        <w:spacing w:after="0" w:line="240" w:lineRule="auto"/>
      </w:pPr>
      <w:r>
        <w:separator/>
      </w:r>
    </w:p>
  </w:endnote>
  <w:endnote w:type="continuationSeparator" w:id="0">
    <w:p w14:paraId="11EA507B" w14:textId="77777777" w:rsidR="00EC5DFF" w:rsidRDefault="00EC5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8627C" w14:textId="77777777" w:rsidR="0088320E" w:rsidRDefault="00000000">
    <w:pPr>
      <w:pStyle w:val="Piedepgina"/>
      <w:jc w:val="right"/>
    </w:pPr>
    <w:proofErr w:type="spellStart"/>
    <w:r>
      <w:rPr>
        <w:sz w:val="16"/>
      </w:rPr>
      <w:t>LafroX</w:t>
    </w:r>
    <w:proofErr w:type="spellEnd"/>
    <w:r>
      <w:rPr>
        <w:sz w:val="16"/>
      </w:rPr>
      <w:t xml:space="preserve">   |   </w:t>
    </w:r>
    <w:r>
      <w:fldChar w:fldCharType="begin"/>
    </w:r>
    <w:r>
      <w:instrText>PAGE</w:instrText>
    </w:r>
    <w:r>
      <w:fldChar w:fldCharType="separate"/>
    </w:r>
    <w:r w:rsidR="008F2A2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B1614" w14:textId="77777777" w:rsidR="00EC5DFF" w:rsidRDefault="00EC5DFF">
      <w:pPr>
        <w:spacing w:after="0" w:line="240" w:lineRule="auto"/>
      </w:pPr>
      <w:r>
        <w:separator/>
      </w:r>
    </w:p>
  </w:footnote>
  <w:footnote w:type="continuationSeparator" w:id="0">
    <w:p w14:paraId="60545089" w14:textId="77777777" w:rsidR="00EC5DFF" w:rsidRDefault="00EC5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551649">
    <w:abstractNumId w:val="8"/>
  </w:num>
  <w:num w:numId="2" w16cid:durableId="1519538685">
    <w:abstractNumId w:val="6"/>
  </w:num>
  <w:num w:numId="3" w16cid:durableId="1694650108">
    <w:abstractNumId w:val="5"/>
  </w:num>
  <w:num w:numId="4" w16cid:durableId="652414598">
    <w:abstractNumId w:val="4"/>
  </w:num>
  <w:num w:numId="5" w16cid:durableId="102000628">
    <w:abstractNumId w:val="7"/>
  </w:num>
  <w:num w:numId="6" w16cid:durableId="1505782567">
    <w:abstractNumId w:val="3"/>
  </w:num>
  <w:num w:numId="7" w16cid:durableId="845826154">
    <w:abstractNumId w:val="2"/>
  </w:num>
  <w:num w:numId="8" w16cid:durableId="127482814">
    <w:abstractNumId w:val="1"/>
  </w:num>
  <w:num w:numId="9" w16cid:durableId="33634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64E"/>
    <w:rsid w:val="00326F90"/>
    <w:rsid w:val="0088320E"/>
    <w:rsid w:val="008F2A2C"/>
    <w:rsid w:val="00AA1D8D"/>
    <w:rsid w:val="00AD0AA4"/>
    <w:rsid w:val="00B47730"/>
    <w:rsid w:val="00CB0664"/>
    <w:rsid w:val="00EC5D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F3A5E5"/>
  <w14:defaultImageDpi w14:val="300"/>
  <w15:docId w15:val="{77C1D056-3C79-4C8F-A3AA-01C82DD8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Calibri" w:hAnsi="Calibri"/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2796</Words>
  <Characters>15378</Characters>
  <Application>Microsoft Office Word</Application>
  <DocSecurity>0</DocSecurity>
  <Lines>128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Guía para el cliente con guion técnico de calidad e innovaciones</vt:lpstr>
      <vt:lpstr/>
    </vt:vector>
  </TitlesOfParts>
  <Manager/>
  <Company/>
  <LinksUpToDate>false</LinksUpToDate>
  <CharactersWithSpaces>18138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el cliente con guion técnico de calidad e innovaciones</dc:title>
  <dc:subject/>
  <dc:creator>LafroX</dc:creator>
  <cp:keywords/>
  <dc:description>generated by python-docx</dc:description>
  <cp:lastModifiedBy>Patricio Henríquez Tapia</cp:lastModifiedBy>
  <cp:revision>3</cp:revision>
  <dcterms:created xsi:type="dcterms:W3CDTF">2013-12-23T23:15:00Z</dcterms:created>
  <dcterms:modified xsi:type="dcterms:W3CDTF">2026-10-21T01:09:00Z</dcterms:modified>
  <cp:category/>
</cp:coreProperties>
</file>