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x42a6wy3hbe" w:id="0"/>
      <w:bookmarkEnd w:id="0"/>
      <w:r w:rsidDel="00000000" w:rsidR="00000000" w:rsidRPr="00000000">
        <w:rPr>
          <w:rtl w:val="0"/>
        </w:rPr>
        <w:t xml:space="preserve">Auditoría de riesgos de LafroX: aplicación de las cuatro reglas</w:t>
      </w:r>
    </w:p>
    <w:p w:rsidR="00000000" w:rsidDel="00000000" w:rsidP="00000000" w:rsidRDefault="00000000" w:rsidRPr="00000000" w14:paraId="00000002">
      <w:pPr>
        <w:rPr/>
      </w:pPr>
      <w:r w:rsidDel="00000000" w:rsidR="00000000" w:rsidRPr="00000000">
        <w:rPr>
          <w:b w:val="1"/>
          <w:bCs w:val="1"/>
          <w:rtl w:val="0"/>
        </w:rPr>
        <w:t xml:space="preserve">Fecha:</w:t>
      </w:r>
      <w:r w:rsidDel="00000000" w:rsidR="00000000" w:rsidRPr="00000000">
        <w:rPr>
          <w:rtl w:val="0"/>
        </w:rPr>
        <w:t xml:space="preserve"> 24 de octubre de 2026.</w:t>
        <w:br w:type="textWrapping"/>
      </w:r>
      <w:r w:rsidDel="00000000" w:rsidR="00000000" w:rsidRPr="00000000">
        <w:rPr>
          <w:b w:val="1"/>
          <w:bCs w:val="1"/>
          <w:rtl w:val="0"/>
        </w:rPr>
        <w:t xml:space="preserve">Universo:</w:t>
      </w:r>
      <w:r w:rsidDel="00000000" w:rsidR="00000000" w:rsidRPr="00000000">
        <w:rPr>
          <w:rtl w:val="0"/>
        </w:rPr>
        <w:t xml:space="preserve"> 66 enunciados originales REC-001 a REC-066.</w:t>
        <w:br w:type="textWrapping"/>
      </w:r>
      <w:r w:rsidDel="00000000" w:rsidR="00000000" w:rsidRPr="00000000">
        <w:rPr>
          <w:b w:val="1"/>
          <w:bCs w:val="1"/>
          <w:rtl w:val="0"/>
        </w:rPr>
        <w:t xml:space="preserve">Resultado:</w:t>
      </w:r>
      <w:r w:rsidDel="00000000" w:rsidR="00000000" w:rsidRPr="00000000">
        <w:rPr>
          <w:rtl w:val="0"/>
        </w:rPr>
        <w:t xml:space="preserve"> De los 66 enunciados originales, 33 se conservan y 33 se excluyen. Con cuatro incorporaciones posteriores, esta lista contiene 37 riesgos.</w:t>
      </w:r>
    </w:p>
    <w:p w:rsidR="00000000" w:rsidDel="00000000" w:rsidP="00000000" w:rsidRDefault="00000000" w:rsidRPr="00000000" w14:paraId="00000003">
      <w:pPr>
        <w:pStyle w:val="Heading2"/>
        <w:rPr/>
      </w:pPr>
      <w:bookmarkStart w:colFirst="0" w:colLast="0" w:name="_6ehbblurixrh" w:id="1"/>
      <w:bookmarkEnd w:id="1"/>
      <w:r w:rsidDel="00000000" w:rsidR="00000000" w:rsidRPr="00000000">
        <w:rPr>
          <w:rtl w:val="0"/>
        </w:rPr>
        <w:t xml:space="preserve">Resultado y alcance de la auditoría</w:t>
      </w:r>
    </w:p>
    <w:p w:rsidR="00000000" w:rsidDel="00000000" w:rsidP="00000000" w:rsidRDefault="00000000" w:rsidRPr="00000000" w14:paraId="00000004">
      <w:pPr>
        <w:rPr/>
      </w:pPr>
      <w:r w:rsidDel="00000000" w:rsidR="00000000" w:rsidRPr="00000000">
        <w:rPr>
          <w:rtl w:val="0"/>
        </w:rPr>
        <w:t xml:space="preserve">Esta revisión responde a las cuatro reglas solicitadas: proteger la integridad empresarial ante la contraparte técnica; conservar únicamente eventos con afectación concreta a LafroX; retirar dudas sobre decisiones o condiciones de oferta ya fijadas; y aclarar la situación, el evento y la consecuencia de los enunciados ambiguos.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 recuperaron los 66 enunciados de la </w:t>
      </w:r>
      <w:r w:rsidDel="00000000" w:rsidR="00000000" w:rsidRPr="00000000">
        <w:rPr>
          <w:rtl w:val="0"/>
        </w:rPr>
        <w:t xml:space="preserve">copia del inventario original</w:t>
      </w:r>
      <w:r w:rsidDel="00000000" w:rsidR="00000000" w:rsidRPr="00000000">
        <w:rPr>
          <w:rtl w:val="0"/>
        </w:rPr>
        <w:t xml:space="preserve">. El archivo homónimo de esta carpeta ya contiene una depuración posterior por </w:t>
      </w:r>
      <w:r w:rsidDel="00000000" w:rsidR="00000000" w:rsidRPr="00000000">
        <w:rPr>
          <w:b w:val="1"/>
          <w:bCs w:val="1"/>
          <w:rtl w:val="0"/>
        </w:rPr>
        <w:t xml:space="preserve">novedad</w:t>
      </w:r>
      <w:r w:rsidDel="00000000" w:rsidR="00000000" w:rsidRPr="00000000">
        <w:rPr>
          <w:rtl w:val="0"/>
        </w:rPr>
        <w:t xml:space="preserve"> con resultado de cero entradas. Esta auditoría se guarda separadamente y no reemplaza ese trabajo ni los otros informes existentes. Aquí se evalúa la admisibilidad bajo las cuatro reglas actuales, no si un evento ya figuraba en el T-16.</w:t>
      </w:r>
    </w:p>
    <w:p w:rsidR="00000000" w:rsidDel="00000000" w:rsidP="00000000" w:rsidRDefault="00000000" w:rsidRPr="00000000" w14:paraId="0000000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Resultado por motivo principal, sin doble conteo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right"/>
              <w:rPr>
                <w:b w:val="1"/>
                <w:bCs w:val="1"/>
              </w:rPr>
            </w:pPr>
            <w:r w:rsidDel="00000000" w:rsidR="00000000" w:rsidRPr="00000000">
              <w:rPr>
                <w:b w:val="1"/>
                <w:bCs w:val="1"/>
                <w:rtl w:val="0"/>
              </w:rPr>
              <w:t xml:space="preserve">Cantidad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Conservados con redacción precisada y afectación explícita a LafroX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right"/>
              <w:rPr/>
            </w:pPr>
            <w:r w:rsidDel="00000000" w:rsidR="00000000" w:rsidRPr="00000000">
              <w:rPr>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Excluidos por afectación limitada al cliente en el enunciado evaluado — regla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righ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Excluidos por decisión, alcance, supuesto o procedimiento ya declarado, sin evento adverso adicional suficientemente delimitado — regla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right"/>
              <w:rPr/>
            </w:pPr>
            <w:r w:rsidDel="00000000" w:rsidR="00000000" w:rsidRPr="00000000">
              <w:rPr>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Excluidos exclusivamente por admisión de incapacidad empresarial — regla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Total de originales evaluados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right"/>
              <w:rPr/>
            </w:pPr>
            <w:r w:rsidDel="00000000" w:rsidR="00000000" w:rsidRPr="00000000">
              <w:rPr>
                <w:b w:val="1"/>
                <w:bCs w:val="1"/>
                <w:rtl w:val="0"/>
              </w:rPr>
              <w:t xml:space="preserve">66</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La regla de integridad se comprobó también en los conservados: sus descripciones no afirman insuficiencia de dotación, insolvencia, defectos comprobados ni facultad de relajar compromisos. Reconocer una amenaza externa o una acción hostil no se tomó, por sí solo, como admisión de incapacidad empresarial. No se fuerza un descarte por cada regla para completar una cuota.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Las exclusiones se aplican a esta lista de riesgos: no borran obligaciones, hechos, consultas ni dependencias del proyecto. Las entradas descartadas no se enumeran ni se describen. Ninguna consulta pendiente se declara respondida por excluir una formulación de este inventario.</w:t>
      </w:r>
    </w:p>
    <w:p w:rsidR="00000000" w:rsidDel="00000000" w:rsidP="00000000" w:rsidRDefault="00000000" w:rsidRPr="00000000" w14:paraId="00000018">
      <w:pPr>
        <w:pStyle w:val="Heading2"/>
        <w:rPr/>
      </w:pPr>
      <w:bookmarkStart w:colFirst="0" w:colLast="0" w:name="_22kqlng51iqz" w:id="2"/>
      <w:bookmarkEnd w:id="2"/>
      <w:r w:rsidDel="00000000" w:rsidR="00000000" w:rsidRPr="00000000">
        <w:rPr>
          <w:rtl w:val="0"/>
        </w:rPr>
        <w:t xml:space="preserve">Cómo se aplicaron las reglas</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Regla 1 — integridad empresarial:</w:t>
      </w:r>
      <w:r w:rsidDel="00000000" w:rsidR="00000000" w:rsidRPr="00000000">
        <w:rPr>
          <w:rtl w:val="0"/>
        </w:rPr>
        <w:t xml:space="preserve"> retirar formulaciones que admitan incapacidad para sostener la oferta o presenten como opcional un compromiso obligatorio. En los conservados se mantiene el alcance exigido, sin trasladar automáticamente a terceros la responsabilidad de LafroX.</w:t>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Regla 2 — competencia de LafroX:</w:t>
      </w:r>
      <w:r w:rsidDel="00000000" w:rsidR="00000000" w:rsidRPr="00000000">
        <w:rPr>
          <w:rtl w:val="0"/>
        </w:rPr>
        <w:t xml:space="preserve"> exigir una cadena identificable entre evento y trabajo de integración, migración, implantación, certificación, aceptación, soporte o seguridad de LafroX. No basta mencionar una pérdida comercial, física o financiera del cliente.</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Regla 3 — decisiones ya definidas:</w:t>
      </w:r>
      <w:r w:rsidDel="00000000" w:rsidR="00000000" w:rsidRPr="00000000">
        <w:rPr>
          <w:rtl w:val="0"/>
        </w:rPr>
        <w:t xml:space="preserve"> no volver a presentar como abiertas las decisiones adoptadas en SD2/SD3, ni convertir el levantamiento normal o una condición ya declarada en una amenaza adicional sin precisar un evento adverso. Una aprobación o un dato de entrada cuya disponibilidad sigue pendiente no se considera obtenido solo porque exista un supuesto o una respuesta prevista.</w:t>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Regla 4 — claridad:</w:t>
      </w:r>
      <w:r w:rsidDel="00000000" w:rsidR="00000000" w:rsidRPr="00000000">
        <w:rPr>
          <w:rtl w:val="0"/>
        </w:rPr>
        <w:t xml:space="preserve"> precisar en cada entrada conservada el momento o proceso, el evento observable y la afectación a LafroX. No se agregan incidentes ocurridos, probabilidades, pérdidas monetarias ni exenciones contractuales.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Se contrastaron las decisiones, supuestos, exclusiones, restricciones, reglas y consultas de SD2/SD3 con los mecanismos concretos de SD4–SD7. El contraste dirigido comprende 91 páginas de evidencia; no constituye una nueva auditoría de todas las obligaciones del expediente. Las formulaciones y clasificaciones son conclusiones de esta revisión, no aceptaciones de la contraparte ni resultados de pruebas ejecutadas.</w:t>
      </w:r>
    </w:p>
    <w:p w:rsidR="00000000" w:rsidDel="00000000" w:rsidP="00000000" w:rsidRDefault="00000000" w:rsidRPr="00000000" w14:paraId="0000001F">
      <w:pPr>
        <w:pStyle w:val="Heading2"/>
        <w:rPr/>
      </w:pPr>
      <w:bookmarkStart w:colFirst="0" w:colLast="0" w:name="_ek9xzcg59u81" w:id="3"/>
      <w:bookmarkEnd w:id="3"/>
      <w:r w:rsidDel="00000000" w:rsidR="00000000" w:rsidRPr="00000000">
        <w:rPr>
          <w:rtl w:val="0"/>
        </w:rPr>
        <w:t xml:space="preserve">Lista de riesgos conservados</w:t>
      </w:r>
    </w:p>
    <w:p w:rsidR="00000000" w:rsidDel="00000000" w:rsidP="00000000" w:rsidRDefault="00000000" w:rsidRPr="00000000" w14:paraId="00000020">
      <w:pPr>
        <w:rPr/>
      </w:pPr>
      <w:r w:rsidDel="00000000" w:rsidR="00000000" w:rsidRPr="00000000">
        <w:rPr>
          <w:rtl w:val="0"/>
        </w:rPr>
        <w:t>Los 33 riesgos conservados del inventario original mantienen su código REC. Las cuatro incorporaciones posteriores reciben códigos REC-067 a REC-070; REC-068, REC-069 y REC-070 proceden respectivamente de R-018, R-027 y R-042, que se conservan como referencias de origen en sus fichas. Los saltos entre REC-001 y REC-066 corresponden a exclusiones; estos códigos no se equiparan automáticamente con el registro de SD8. Cada riesgo tiene una sola rama principal de la RBS existente.</w:t>
      </w:r>
    </w:p>
    <w:p w:rsidR="00000000" w:rsidDel="00000000" w:rsidP="00000000" w:rsidRDefault="00000000" w:rsidRPr="00000000" w14:paraId="0000002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
              <w:t>ID normalizada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b w:val="1"/>
                <w:bCs w:val="1"/>
              </w:rPr>
            </w:pPr>
            <w:r w:rsidDel="00000000" w:rsidR="00000000" w:rsidRPr="00000000">
              <w:rPr>
                <w:b w:val="1"/>
                <w:bCs w:val="1"/>
                <w:rtl w:val="0"/>
              </w:rPr>
              <w:t xml:space="preserve">Nombre auditado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b w:val="1"/>
                <w:bCs w:val="1"/>
              </w:rPr>
            </w:pPr>
            <w:r w:rsidDel="00000000" w:rsidR="00000000" w:rsidRPr="00000000">
              <w:rPr>
                <w:b w:val="1"/>
                <w:bCs w:val="1"/>
                <w:rtl w:val="0"/>
              </w:rPr>
              <w:t xml:space="preserve">Rama RBS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REC-001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Interfaz del ERP no utilizable al construir la 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REC-002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Proveedor de telemetría no habilita el acceso 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REC-003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Cadena comercial no completa oportunamente su certificación EDI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REC-004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Defectos de historia sanitaria de origen impiden cerrar una 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Solución y tecnología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REC-005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Historia de ventas no utilizable para la carga y reposición previstas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REC-006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Diferencias de inventario sin resolver antes del corte de migración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REC-007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Saldo inicial de envases no conciliable al preparar la carga de M8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REC-008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Historia de origen insuficiente para sustentar las líneas base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REC-009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Deuda viva adicional a la cartera incluida en la volumetría provisional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REC-011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ERP legado indisponible cuando se requiere emitir una guía nueva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REC-012</w:t>
            </w:r>
          </w:p>
        </w:tc>
        <w:tc>
          <w:tcPr>
            <w:shd w:fill="auto" w:val="clear"/>
            <w:tcMar>
              <w:top w:w="100.0" w:type="dxa"/>
              <w:left w:w="100.0" w:type="dxa"/>
              <w:bottom w:w="100.0" w:type="dxa"/>
              <w:right w:w="100.0" w:type="dxa"/>
            </w:tcMar>
            <w:vAlign w:val="top"/>
          </w:tcPr>
          <w:p>
            <w:r>
              <w:t>El Servicio de Impuestos Internos no responde y deja pendiente un trámite tributario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REC-013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POS deja un pago sin resultado externo comprobable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REC-014</w:t>
            </w:r>
          </w:p>
        </w:tc>
        <w:tc>
          <w:tcPr>
            <w:shd w:fill="auto" w:val="clear"/>
            <w:tcMar>
              <w:top w:w="100.0" w:type="dxa"/>
              <w:left w:w="100.0" w:type="dxa"/>
              <w:bottom w:w="100.0" w:type="dxa"/>
              <w:right w:w="100.0" w:type="dxa"/>
            </w:tcMar>
            <w:vAlign w:val="top"/>
          </w:tcPr>
          <w:p>
            <w:r>
              <w:t>El proveedor de mensajes falla y un aviso operativo queda 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REC-015</w:t>
            </w:r>
          </w:p>
        </w:tc>
        <w:tc>
          <w:tcPr>
            <w:shd w:fill="auto" w:val="clear"/>
            <w:tcMar>
              <w:top w:w="100.0" w:type="dxa"/>
              <w:left w:w="100.0" w:type="dxa"/>
              <w:bottom w:w="100.0" w:type="dxa"/>
              <w:right w:w="100.0" w:type="dxa"/>
            </w:tcMar>
            <w:vAlign w:val="top"/>
          </w:tcPr>
          <w:p>
            <w:r>
              <w:t>El servicio externo de mapas limita las consultas y deja una planificación incompleta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REC-027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Calidad no entrega la matriz térmica aprobada antes de certificar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REC-034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Equipos que compra el cliente no llegan antes de la ola prevista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REC-035</w:t>
            </w:r>
          </w:p>
        </w:tc>
        <w:tc>
          <w:tcPr>
            <w:shd w:fill="auto" w:val="clear"/>
            <w:tcMar>
              <w:top w:w="100.0" w:type="dxa"/>
              <w:left w:w="100.0" w:type="dxa"/>
              <w:bottom w:w="100.0" w:type="dxa"/>
              <w:right w:w="100.0" w:type="dxa"/>
            </w:tcMar>
            <w:vAlign w:val="top"/>
          </w:tcPr>
          <w:p>
            <w:r>
              <w:t>Un transportista no firma a tiempo el acuerdo necesario para incorporarlo al reparto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Personas y adopción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REC-036</w:t>
            </w:r>
          </w:p>
        </w:tc>
        <w:tc>
          <w:tcPr>
            <w:shd w:fill="auto" w:val="clear"/>
            <w:tcMar>
              <w:top w:w="100.0" w:type="dxa"/>
              <w:left w:w="100.0" w:type="dxa"/>
              <w:bottom w:w="100.0" w:type="dxa"/>
              <w:right w:w="100.0" w:type="dxa"/>
            </w:tcMar>
            <w:vAlign w:val="top"/>
          </w:tcPr>
          <w:p>
            <w:r>
              <w:t>Un transportista no permite instalar el equipo que registra la temperatura de su camión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REC-039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Usuarios mantienen el proceso anterior en lugar de registrar en la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Personas y adopción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REC-041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Planificador deja de estar disponible antes de validar sus excepciones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Personas y adopción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REC-042</w:t>
            </w:r>
          </w:p>
        </w:tc>
        <w:tc>
          <w:tcPr>
            <w:shd w:fill="auto" w:val="clear"/>
            <w:tcMar>
              <w:top w:w="100.0" w:type="dxa"/>
              <w:left w:w="100.0" w:type="dxa"/>
              <w:bottom w:w="100.0" w:type="dxa"/>
              <w:right w:w="100.0" w:type="dxa"/>
            </w:tcMar>
            <w:vAlign w:val="top"/>
          </w:tcPr>
          <w:p>
            <w:r>
              <w:t>Los usuarios no pueden asistir a la capacitación prevista antes de cerrar una 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Personas y adopción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REC-043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Contraparte no entrega una validación necesaria en la fecha prevista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REC-048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Proveedor de conectividad interrumpe el enlace de un sitio operado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REC-049</w:t>
            </w:r>
          </w:p>
        </w:tc>
        <w:tc>
          <w:tcPr>
            <w:shd w:fill="auto" w:val="clear"/>
            <w:tcMar>
              <w:top w:w="100.0" w:type="dxa"/>
              <w:left w:w="100.0" w:type="dxa"/>
              <w:bottom w:w="100.0" w:type="dxa"/>
              <w:right w:w="100.0" w:type="dxa"/>
            </w:tcMar>
            <w:vAlign w:val="top"/>
          </w:tcPr>
          <w:p>
            <w:r>
              <w:t>Un corte de electricidad supera el tiempo de respaldo de equipos mantenidos por LafroX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REC-050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Región primaria de nube queda indisponible durante el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Solución y tecnología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REC-057</w:t>
            </w:r>
          </w:p>
        </w:tc>
        <w:tc>
          <w:tcPr>
            <w:shd w:fill="auto" w:val="clear"/>
            <w:tcMar>
              <w:top w:w="100.0" w:type="dxa"/>
              <w:left w:w="100.0" w:type="dxa"/>
              <w:bottom w:w="100.0" w:type="dxa"/>
              <w:right w:w="100.0" w:type="dxa"/>
            </w:tcMar>
            <w:vAlign w:val="top"/>
          </w:tcPr>
          <w:p>
            <w:r>
              <w:t>Falta la aprobación del cliente para tratar y respaldar datos en las regiones propuestas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Regulatorio y externo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REC-058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Cliente no autoriza la intervención urgente necesaria durante un congelamiento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REC-061</w:t>
            </w:r>
          </w:p>
        </w:tc>
        <w:tc>
          <w:tcPr>
            <w:shd w:fill="auto" w:val="clear"/>
            <w:tcMar>
              <w:top w:w="100.0" w:type="dxa"/>
              <w:left w:w="100.0" w:type="dxa"/>
              <w:bottom w:w="100.0" w:type="dxa"/>
              <w:right w:w="100.0" w:type="dxa"/>
            </w:tcMar>
            <w:vAlign w:val="top"/>
          </w:tcPr>
          <w:p>
            <w:r>
              <w:t>Una persona intenta usar la identidad de otra para hacer pedidos o entrar a un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Solución y tecnología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REC-062</w:t>
            </w:r>
          </w:p>
        </w:tc>
        <w:tc>
          <w:tcPr>
            <w:shd w:fill="auto" w:val="clear"/>
            <w:tcMar>
              <w:top w:w="100.0" w:type="dxa"/>
              <w:left w:w="100.0" w:type="dxa"/>
              <w:bottom w:w="100.0" w:type="dxa"/>
              <w:right w:w="100.0" w:type="dxa"/>
            </w:tcMar>
            <w:vAlign w:val="top"/>
          </w:tcPr>
          <w:p>
            <w:r>
              <w:t>Llega un mensaje electrónico que aparenta venir de una cadena autorizada o fue alterado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REC-063</w:t>
            </w:r>
          </w:p>
        </w:tc>
        <w:tc>
          <w:tcPr>
            <w:shd w:fill="auto" w:val="clear"/>
            <w:tcMar>
              <w:top w:w="100.0" w:type="dxa"/>
              <w:left w:w="100.0" w:type="dxa"/>
              <w:bottom w:w="100.0" w:type="dxa"/>
              <w:right w:w="100.0" w:type="dxa"/>
            </w:tcMar>
            <w:vAlign w:val="top"/>
          </w:tcPr>
          <w:p>
            <w:r>
              <w:t>La integración recibe una posición falsa o antigua como si fuera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REC-064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Terminal enrolado se pierde o queda en poder de otra 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Solución y tecnología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REC-065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Ráfagas abusivas dirigidas a los canales públicos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Solución y tecnología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REC-066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Atacante utiliza una cuenta administrativa comprometida contra la 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Solución y tecnología</w:t>
            </w:r>
          </w:p>
        </w:tc>
      </w:tr>
      <w:tr>
        <w:trPr>
          <w:cantSplit w:val="0"/>
          <w:tblHeader w:val="0"/>
        </w:trPr>
        <w:tc>
          <w:tcPr>
            <w:shd w:fill="auto" w:val="clear"/>
            <w:tcMar>
              <w:top w:w="100.0" w:type="dxa"/>
              <w:left w:w="100.0" w:type="dxa"/>
              <w:bottom w:w="100.0" w:type="dxa"/>
              <w:right w:w="100.0" w:type="dxa"/>
            </w:tcMar>
            <w:vAlign w:val="top"/>
          </w:tcPr>
          <w:p>
            <w:r>
              <w:t>REC-067</w:t>
            </w:r>
          </w:p>
        </w:tc>
        <w:tc>
          <w:tcPr>
            <w:shd w:fill="auto" w:val="clear"/>
            <w:tcMar>
              <w:top w:w="100.0" w:type="dxa"/>
              <w:left w:w="100.0" w:type="dxa"/>
              <w:bottom w:w="100.0" w:type="dxa"/>
              <w:right w:w="100.0" w:type="dxa"/>
            </w:tcMar>
            <w:vAlign w:val="top"/>
          </w:tcPr>
          <w:p>
            <w:r>
              <w:t>Accidente vehicular interrumpe un reparto incluido en pruebas o marcha blanca</w:t>
            </w:r>
          </w:p>
        </w:tc>
        <w:tc>
          <w:tcPr>
            <w:shd w:fill="auto" w:val="clear"/>
            <w:tcMar>
              <w:top w:w="100.0" w:type="dxa"/>
              <w:left w:w="100.0" w:type="dxa"/>
              <w:bottom w:w="100.0" w:type="dxa"/>
              <w:right w:w="100.0" w:type="dxa"/>
            </w:tcMar>
            <w:vAlign w:val="top"/>
          </w:tcPr>
          <w:p>
            <w:r>
              <w:t>Operación del cliente</w:t>
            </w:r>
          </w:p>
        </w:tc>
      </w:tr>
      <w:tr>
        <w:trPr>
          <w:cantSplit w:val="0"/>
          <w:tblHeader w:val="0"/>
        </w:trPr>
        <w:tc>
          <w:tcPr>
            <w:shd w:fill="auto" w:val="clear"/>
            <w:tcMar>
              <w:top w:w="100.0" w:type="dxa"/>
              <w:left w:w="100.0" w:type="dxa"/>
              <w:bottom w:w="100.0" w:type="dxa"/>
              <w:right w:w="100.0" w:type="dxa"/>
            </w:tcMar>
            <w:vAlign w:val="top"/>
          </w:tcPr>
          <w:p>
            <w:r>
              <w:t>REC-068</w:t>
            </w:r>
          </w:p>
        </w:tc>
        <w:tc>
          <w:tcPr>
            <w:shd w:fill="auto" w:val="clear"/>
            <w:tcMar>
              <w:top w:w="100.0" w:type="dxa"/>
              <w:left w:w="100.0" w:type="dxa"/>
              <w:bottom w:w="100.0" w:type="dxa"/>
              <w:right w:w="100.0" w:type="dxa"/>
            </w:tcMar>
            <w:vAlign w:val="top"/>
          </w:tcPr>
          <w:p>
            <w:r>
              <w:t>Reemplazos de conductores externos sin aviso</w:t>
            </w:r>
          </w:p>
        </w:tc>
        <w:tc>
          <w:tcPr>
            <w:shd w:fill="auto" w:val="clear"/>
            <w:tcMar>
              <w:top w:w="100.0" w:type="dxa"/>
              <w:left w:w="100.0" w:type="dxa"/>
              <w:bottom w:w="100.0" w:type="dxa"/>
              <w:right w:w="100.0" w:type="dxa"/>
            </w:tcMar>
            <w:vAlign w:val="top"/>
          </w:tcPr>
          <w:p>
            <w:r>
              <w:t>Personas y adopción</w:t>
            </w:r>
          </w:p>
        </w:tc>
      </w:tr>
      <w:tr>
        <w:trPr>
          <w:cantSplit w:val="0"/>
          <w:tblHeader w:val="0"/>
        </w:trPr>
        <w:tc>
          <w:tcPr>
            <w:shd w:fill="auto" w:val="clear"/>
            <w:tcMar>
              <w:top w:w="100.0" w:type="dxa"/>
              <w:left w:w="100.0" w:type="dxa"/>
              <w:bottom w:w="100.0" w:type="dxa"/>
              <w:right w:w="100.0" w:type="dxa"/>
            </w:tcMar>
            <w:vAlign w:val="top"/>
          </w:tcPr>
          <w:p>
            <w:r>
              <w:t>REC-069</w:t>
            </w:r>
          </w:p>
        </w:tc>
        <w:tc>
          <w:tcPr>
            <w:shd w:fill="auto" w:val="clear"/>
            <w:tcMar>
              <w:top w:w="100.0" w:type="dxa"/>
              <w:left w:w="100.0" w:type="dxa"/>
              <w:bottom w:w="100.0" w:type="dxa"/>
              <w:right w:w="100.0" w:type="dxa"/>
            </w:tcMar>
            <w:vAlign w:val="top"/>
          </w:tcPr>
          <w:p>
            <w:r>
              <w:t>Solicitudes que amplían el alcance</w:t>
            </w:r>
          </w:p>
        </w:tc>
        <w:tc>
          <w:tcPr>
            <w:shd w:fill="auto" w:val="clear"/>
            <w:tcMar>
              <w:top w:w="100.0" w:type="dxa"/>
              <w:left w:w="100.0" w:type="dxa"/>
              <w:bottom w:w="100.0" w:type="dxa"/>
              <w:right w:w="100.0" w:type="dxa"/>
            </w:tcMar>
            <w:vAlign w:val="top"/>
          </w:tcPr>
          <w:p>
            <w:r>
              <w:t>Contrato y licitación</w:t>
            </w:r>
          </w:p>
        </w:tc>
      </w:tr>
      <w:tr>
        <w:trPr>
          <w:cantSplit w:val="0"/>
          <w:tblHeader w:val="0"/>
        </w:trPr>
        <w:tc>
          <w:tcPr>
            <w:shd w:fill="auto" w:val="clear"/>
            <w:tcMar>
              <w:top w:w="100.0" w:type="dxa"/>
              <w:left w:w="100.0" w:type="dxa"/>
              <w:bottom w:w="100.0" w:type="dxa"/>
              <w:right w:w="100.0" w:type="dxa"/>
            </w:tcMar>
            <w:vAlign w:val="top"/>
          </w:tcPr>
          <w:p>
            <w:r>
              <w:t>REC-070</w:t>
            </w:r>
          </w:p>
        </w:tc>
        <w:tc>
          <w:tcPr>
            <w:shd w:fill="auto" w:val="clear"/>
            <w:tcMar>
              <w:top w:w="100.0" w:type="dxa"/>
              <w:left w:w="100.0" w:type="dxa"/>
              <w:bottom w:w="100.0" w:type="dxa"/>
              <w:right w:w="100.0" w:type="dxa"/>
            </w:tcMar>
            <w:vAlign w:val="top"/>
          </w:tcPr>
          <w:p>
            <w:r>
              <w:t>Cambios normativos</w:t>
            </w:r>
          </w:p>
        </w:tc>
        <w:tc>
          <w:tcPr>
            <w:shd w:fill="auto" w:val="clear"/>
            <w:tcMar>
              <w:top w:w="100.0" w:type="dxa"/>
              <w:left w:w="100.0" w:type="dxa"/>
              <w:bottom w:w="100.0" w:type="dxa"/>
              <w:right w:w="100.0" w:type="dxa"/>
            </w:tcMar>
            <w:vAlign w:val="top"/>
          </w:tcPr>
          <w:p>
            <w:r>
              <w:t>Regulatorio y externo</w:t>
            </w:r>
          </w:p>
        </w:tc>
      </w:tr>
    </w:tbl>
    <w:p w:rsidR="00000000" w:rsidDel="00000000" w:rsidP="00000000" w:rsidRDefault="00000000" w:rsidRPr="00000000" w14:paraId="00000088">
      <w:pPr>
        <w:pStyle w:val="Heading2"/>
        <w:rPr/>
      </w:pPr>
      <w:bookmarkStart w:colFirst="0" w:colLast="0" w:name="_2o2okxdkvq6z" w:id="4"/>
      <w:bookmarkEnd w:id="4"/>
      <w:r w:rsidDel="00000000" w:rsidR="00000000" w:rsidRPr="00000000">
        <w:rPr>
          <w:rtl w:val="0"/>
        </w:rPr>
        <w:t xml:space="preserve">Descripciones auditadas y fundamento de conservación</w:t>
      </w:r>
    </w:p>
    <w:p w:rsidR="00000000" w:rsidDel="00000000" w:rsidP="00000000" w:rsidRDefault="00000000" w:rsidRPr="00000000" w14:paraId="00000089">
      <w:pPr>
        <w:pStyle w:val="Heading3"/>
        <w:rPr/>
      </w:pPr>
      <w:bookmarkStart w:colFirst="0" w:colLast="0" w:name="_ri1pjfllq2is" w:id="5"/>
      <w:bookmarkEnd w:id="5"/>
      <w:r w:rsidDel="00000000" w:rsidR="00000000" w:rsidRPr="00000000">
        <w:rPr>
          <w:rtl w:val="0"/>
        </w:rPr>
        <w:t xml:space="preserve">REC-001 — Interfaz del ERP no utilizable al construir la integración</w:t>
      </w:r>
    </w:p>
    <w:p w:rsidR="00000000" w:rsidDel="00000000" w:rsidP="00000000" w:rsidRDefault="00000000" w:rsidRPr="00000000" w14:paraId="0000008A">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[Causa]</w:t>
      </w:r>
      <w:r w:rsidDel="00000000" w:rsidR="00000000" w:rsidRPr="00000000">
        <w:rPr>
          <w:rtl w:val="0"/>
        </w:rPr>
        <w:t xml:space="preserve"> Las interfaces del ERP no están documentadas y la integración debe realizarse sin modificar ese sistema.</w:t>
        <w:br w:type="textWrapping"/>
      </w:r>
      <w:r w:rsidDel="00000000" w:rsidR="00000000" w:rsidRPr="00000000">
        <w:rPr>
          <w:b w:val="1"/>
          <w:bCs w:val="1"/>
          <w:rtl w:val="0"/>
        </w:rPr>
        <w:t xml:space="preserve">[Evento de riesgo / Incertidumbre]</w:t>
      </w:r>
      <w:r w:rsidDel="00000000" w:rsidR="00000000" w:rsidRPr="00000000">
        <w:rPr>
          <w:rtl w:val="0"/>
        </w:rPr>
        <w:t xml:space="preserve"> Durante el levantamiento y la prueba de intercambio con el ERP, la interfaz disponible podría no permitir las operaciones requeridas sin modificar ese sistema.</w:t>
        <w:br w:type="textWrapping"/>
      </w:r>
      <w:r w:rsidDel="00000000" w:rsidR="00000000" w:rsidRPr="00000000">
        <w:rPr>
          <w:b w:val="1"/>
          <w:bCs w:val="1"/>
          <w:rtl w:val="0"/>
        </w:rPr>
        <w:t xml:space="preserve">[Efecto o impacto en el proyecto]</w:t>
      </w:r>
      <w:r w:rsidDel="00000000" w:rsidR="00000000" w:rsidRPr="00000000">
        <w:rPr>
          <w:rtl w:val="0"/>
        </w:rPr>
        <w:t xml:space="preserve"> Esto obligaría a LafroX a rehacer el mecanismo de integración y repetir sus pruebas, comprometiendo el avance de los entregables dependientes.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Por qué compete a LafroX:</w:t>
      </w:r>
      <w:r w:rsidDel="00000000" w:rsidR="00000000" w:rsidRPr="00000000">
        <w:rPr>
          <w:rtl w:val="0"/>
        </w:rPr>
        <w:t xml:space="preserve"> LafroX construye y certifica la integración; asume el retrabajo técnico y la repetición de pruebas.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Contraste con lo ya definido:</w:t>
      </w:r>
      <w:r w:rsidDel="00000000" w:rsidR="00000000" w:rsidRPr="00000000">
        <w:rPr>
          <w:rtl w:val="0"/>
        </w:rPr>
        <w:t xml:space="preserve"> S-18 ya fija integrar sin modificar el ERP. Lo no comprobado es la capacidad real de la interfaz, no la decisión sobre reemplazar o modificar el sistema.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Fuentes:</w:t>
      </w:r>
      <w:r w:rsidDel="00000000" w:rsidR="00000000" w:rsidRPr="00000000">
        <w:rPr>
          <w:rtl w:val="0"/>
        </w:rPr>
        <w:t xml:space="preserve"> </w:t>
      </w:r>
      <w:hyperlink r:id="rId6">
        <w:r w:rsidDel="00000000" w:rsidR="00000000" w:rsidRPr="00000000">
          <w:rPr>
            <w:color w:val="1155cc"/>
            <w:u w:val="single"/>
            <w:rtl w:val="0"/>
          </w:rPr>
          <w:t xml:space="preserve">SD3, anexos, p. 121: S-18</w:t>
        </w:r>
      </w:hyperlink>
      <w:r w:rsidDel="00000000" w:rsidR="00000000" w:rsidRPr="00000000">
        <w:rPr>
          <w:rtl w:val="0"/>
        </w:rPr>
        <w:t xml:space="preserve">; </w:t>
      </w:r>
      <w:hyperlink r:id="rId7">
        <w:r w:rsidDel="00000000" w:rsidR="00000000" w:rsidRPr="00000000">
          <w:rPr>
            <w:color w:val="1155cc"/>
            <w:u w:val="single"/>
            <w:rtl w:val="0"/>
          </w:rPr>
          <w:t xml:space="preserve">SD3, anexos, p. 149: V-16</w:t>
        </w:r>
      </w:hyperlink>
      <w:r w:rsidDel="00000000" w:rsidR="00000000" w:rsidRPr="00000000">
        <w:rPr>
          <w:rtl w:val="0"/>
        </w:rPr>
        <w:t xml:space="preserve">; </w:t>
      </w:r>
      <w:hyperlink r:id="rId8">
        <w:r w:rsidDel="00000000" w:rsidR="00000000" w:rsidRPr="00000000">
          <w:rPr>
            <w:color w:val="1155cc"/>
            <w:u w:val="single"/>
            <w:rtl w:val="0"/>
          </w:rPr>
          <w:t xml:space="preserve">SD4, p. 9: §4.1.2</w:t>
        </w:r>
      </w:hyperlink>
      <w:r w:rsidDel="00000000" w:rsidR="00000000" w:rsidRPr="00000000">
        <w:rPr>
          <w:rtl w:val="0"/>
        </w:rPr>
        <w:t xml:space="preserve">.</w:t>
      </w:r>
    </w:p>
    <w:p w:rsidR="00000000" w:rsidDel="00000000" w:rsidP="00000000" w:rsidRDefault="00000000" w:rsidRPr="00000000" w14:paraId="00000095">
      <w:pPr>
        <w:pStyle w:val="Heading3"/>
        <w:rPr/>
      </w:pPr>
      <w:bookmarkStart w:colFirst="0" w:colLast="0" w:name="_1sp0z3s5crg8" w:id="6"/>
      <w:bookmarkEnd w:id="6"/>
      <w:r w:rsidDel="00000000" w:rsidR="00000000" w:rsidRPr="00000000">
        <w:rPr>
          <w:rtl w:val="0"/>
        </w:rPr>
        <w:t xml:space="preserve">REC-002 — Proveedor de telemetría no habilita el acceso necesario</w:t>
      </w:r>
    </w:p>
    <w:p w:rsidR="00000000" w:rsidDel="00000000" w:rsidP="00000000" w:rsidRDefault="00000000" w:rsidRPr="00000000" w14:paraId="00000096">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[Causa]</w:t>
      </w:r>
      <w:r w:rsidDel="00000000" w:rsidR="00000000" w:rsidRPr="00000000">
        <w:rPr>
          <w:rtl w:val="0"/>
        </w:rPr>
        <w:t xml:space="preserve"> La integración de la flota propia depende de que el proveedor actual habilite el acceso a posición, velocidad y kilometraje en las condiciones requeridas.</w:t>
        <w:br w:type="textWrapping"/>
      </w:r>
      <w:r w:rsidDel="00000000" w:rsidR="00000000" w:rsidRPr="00000000">
        <w:rPr>
          <w:b w:val="1"/>
          <w:bCs w:val="1"/>
          <w:rtl w:val="0"/>
        </w:rPr>
        <w:t xml:space="preserve">[Evento de riesgo / Incertidumbre]</w:t>
      </w:r>
      <w:r w:rsidDel="00000000" w:rsidR="00000000" w:rsidRPr="00000000">
        <w:rPr>
          <w:rtl w:val="0"/>
        </w:rPr>
        <w:t xml:space="preserve"> Al habilitar la integración de la flota propia, el proveedor actual podría negar el acceso a posición, velocidad o kilometraje en las condiciones necesarias para la solución.</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acordar una alternativa autorizada de igual cobertura e integrarla y probarla, afectando el esfuerzo y la secuencia de habilitación de M12.</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Por qué compete a LafroX:</w:t>
      </w:r>
      <w:r w:rsidDel="00000000" w:rsidR="00000000" w:rsidRPr="00000000">
        <w:rPr>
          <w:rtl w:val="0"/>
        </w:rPr>
        <w:t xml:space="preserve"> LafroX debe entregar M12 integrado, con la cobertura comprometida; no se trata solo del derecho del cliente a consultar sus datos.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Contraste con lo ya definido:</w:t>
      </w:r>
      <w:r w:rsidDel="00000000" w:rsidR="00000000" w:rsidRPr="00000000">
        <w:rPr>
          <w:rtl w:val="0"/>
        </w:rPr>
        <w:t xml:space="preserve"> S-19 define la cobertura y contempla una alternativa, pero no acredita que el tercero haya habilitado el acceso. La alternativa no permite reducir RF-14.01.</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122: S-19</w:t>
      </w:r>
      <w:r w:rsidDel="00000000" w:rsidR="00000000" w:rsidRPr="00000000">
        <w:rPr>
          <w:rtl w:val="0"/>
        </w:rPr>
        <w:t xml:space="preserve">; </w:t>
      </w:r>
      <w:r w:rsidDel="00000000" w:rsidR="00000000" w:rsidRPr="00000000">
        <w:rPr>
          <w:rtl w:val="0"/>
        </w:rPr>
        <w:t xml:space="preserve">SD3, anexos, p. 149: V-15</w:t>
      </w:r>
      <w:r w:rsidDel="00000000" w:rsidR="00000000" w:rsidRPr="00000000">
        <w:rPr>
          <w:rtl w:val="0"/>
        </w:rPr>
        <w:t xml:space="preserve">.</w:t>
      </w:r>
    </w:p>
    <w:p w:rsidR="00000000" w:rsidDel="00000000" w:rsidP="00000000" w:rsidRDefault="00000000" w:rsidRPr="00000000" w14:paraId="000000A1">
      <w:pPr>
        <w:pStyle w:val="Heading3"/>
        <w:rPr/>
      </w:pPr>
      <w:bookmarkStart w:colFirst="0" w:colLast="0" w:name="_r2fxim83svo0" w:id="7"/>
      <w:bookmarkEnd w:id="7"/>
      <w:r w:rsidDel="00000000" w:rsidR="00000000" w:rsidRPr="00000000">
        <w:rPr>
          <w:rtl w:val="0"/>
        </w:rPr>
        <w:t xml:space="preserve">REC-003 — Cadena comercial no completa oportunamente su certificación EDI</w:t>
      </w:r>
    </w:p>
    <w:p w:rsidR="00000000" w:rsidDel="00000000" w:rsidP="00000000" w:rsidRDefault="00000000" w:rsidRPr="00000000" w14:paraId="000000A2">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[Causa]</w:t>
      </w:r>
      <w:r w:rsidDel="00000000" w:rsidR="00000000" w:rsidRPr="00000000">
        <w:rPr>
          <w:rtl w:val="0"/>
        </w:rPr>
        <w:t xml:space="preserve"> La habilitación EDI de cada cadena depende de su participación y certificación externa, necesarias antes del período final de evidencia de E2.</w:t>
        <w:br w:type="textWrapping"/>
      </w:r>
      <w:r w:rsidDel="00000000" w:rsidR="00000000" w:rsidRPr="00000000">
        <w:rPr>
          <w:b w:val="1"/>
          <w:bCs w:val="1"/>
          <w:rtl w:val="0"/>
        </w:rPr>
        <w:t xml:space="preserve">[Evento de riesgo / Incertidumbre]</w:t>
      </w:r>
      <w:r w:rsidDel="00000000" w:rsidR="00000000" w:rsidRPr="00000000">
        <w:rPr>
          <w:rtl w:val="0"/>
        </w:rPr>
        <w:t xml:space="preserve"> Durante la integración con una cadena incluida en el alcance, su participación o certificación externa podría no concretarse antes de la activación necesaria para las cuatro semanas finales de marcha blanca de E2.</w:t>
        <w:br w:type="textWrapping"/>
      </w:r>
      <w:r w:rsidDel="00000000" w:rsidR="00000000" w:rsidRPr="00000000">
        <w:rPr>
          <w:b w:val="1"/>
          <w:bCs w:val="1"/>
          <w:rtl w:val="0"/>
        </w:rPr>
        <w:t xml:space="preserve">[Efecto o impacto en el proyecto]</w:t>
      </w:r>
      <w:r w:rsidDel="00000000" w:rsidR="00000000" w:rsidRPr="00000000">
        <w:rPr>
          <w:rtl w:val="0"/>
        </w:rPr>
        <w:t xml:space="preserve"> LafroX no podría acreditar completo el intercambio electrónico exigido para el cierre de esa etapa y tendría que reprogramar pruebas y coordinación.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Por qué compete a LafroX:</w:t>
      </w:r>
      <w:r w:rsidDel="00000000" w:rsidR="00000000" w:rsidRPr="00000000">
        <w:rPr>
          <w:rtl w:val="0"/>
        </w:rPr>
        <w:t xml:space="preserve"> Afecta la certificación y aceptación de la entrega de LafroX, no solamente las ventas de Puelche.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Contraste con lo ya definido:</w:t>
      </w:r>
      <w:r w:rsidDel="00000000" w:rsidR="00000000" w:rsidRPr="00000000">
        <w:rPr>
          <w:rtl w:val="0"/>
        </w:rPr>
        <w:t xml:space="preserve"> El alcance EDI y la certificación por cadena están definidos. La amenaza es la demora efectiva del tercero; la carga manual no satisface el resultado ni permite retirar una cadena del alcance.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Fuentes:</w:t>
      </w:r>
      <w:r w:rsidDel="00000000" w:rsidR="00000000" w:rsidRPr="00000000">
        <w:rPr>
          <w:rtl w:val="0"/>
        </w:rPr>
        <w:t xml:space="preserve"> </w:t>
      </w:r>
      <w:hyperlink r:id="rId9">
        <w:r w:rsidDel="00000000" w:rsidR="00000000" w:rsidRPr="00000000">
          <w:rPr>
            <w:color w:val="1155cc"/>
            <w:u w:val="single"/>
            <w:rtl w:val="0"/>
          </w:rPr>
          <w:t xml:space="preserve">SD3, anexos, p. 154: Canal moderno</w:t>
        </w:r>
      </w:hyperlink>
      <w:r w:rsidDel="00000000" w:rsidR="00000000" w:rsidRPr="00000000">
        <w:rPr>
          <w:rtl w:val="0"/>
        </w:rPr>
        <w:t xml:space="preserve">; </w:t>
      </w:r>
      <w:hyperlink r:id="rId10">
        <w:r w:rsidDel="00000000" w:rsidR="00000000" w:rsidRPr="00000000">
          <w:rPr>
            <w:color w:val="1155cc"/>
            <w:u w:val="single"/>
            <w:rtl w:val="0"/>
          </w:rPr>
          <w:t xml:space="preserve">T-18, p. 14: §7.3.1</w:t>
        </w:r>
      </w:hyperlink>
      <w:r w:rsidDel="00000000" w:rsidR="00000000" w:rsidRPr="00000000">
        <w:rPr>
          <w:rtl w:val="0"/>
        </w:rPr>
        <w:t xml:space="preserve">; </w:t>
      </w:r>
      <w:hyperlink r:id="rId11">
        <w:r w:rsidDel="00000000" w:rsidR="00000000" w:rsidRPr="00000000">
          <w:rPr>
            <w:color w:val="1155cc"/>
            <w:u w:val="single"/>
            <w:rtl w:val="0"/>
          </w:rPr>
          <w:t xml:space="preserve">T-18, p. 15: Tabla 7.7</w:t>
        </w:r>
      </w:hyperlink>
      <w:r w:rsidDel="00000000" w:rsidR="00000000" w:rsidRPr="00000000">
        <w:rPr>
          <w:rtl w:val="0"/>
        </w:rPr>
        <w:t xml:space="preserve">.</w:t>
      </w:r>
    </w:p>
    <w:p w:rsidR="00000000" w:rsidDel="00000000" w:rsidP="00000000" w:rsidRDefault="00000000" w:rsidRPr="00000000" w14:paraId="000000AD">
      <w:pPr>
        <w:pStyle w:val="Heading3"/>
        <w:rPr/>
      </w:pPr>
      <w:bookmarkStart w:colFirst="0" w:colLast="0" w:name="_dky0hlehupjj" w:id="8"/>
      <w:bookmarkEnd w:id="8"/>
      <w:r w:rsidDel="00000000" w:rsidR="00000000" w:rsidRPr="00000000">
        <w:rPr>
          <w:rtl w:val="0"/>
        </w:rPr>
        <w:t xml:space="preserve">REC-004 — Defectos de historia sanitaria de origen impiden cerrar una carga</w:t>
      </w:r>
    </w:p>
    <w:p w:rsidR="00000000" w:rsidDel="00000000" w:rsidP="00000000" w:rsidRDefault="00000000" w:rsidRPr="00000000" w14:paraId="000000AE">
      <w:pPr>
        <w:rPr/>
      </w:pPr>
      <w:r w:rsidDel="00000000" w:rsidR="00000000" w:rsidRPr="00000000">
        <w:rPr>
          <w:b w:val="1"/>
          <w:bCs w:val="1"/>
          <w:rtl w:val="0"/>
        </w:rPr>
        <w:t xml:space="preserve">Rama RBS:</w:t>
      </w:r>
      <w:r w:rsidDel="00000000" w:rsidR="00000000" w:rsidRPr="00000000">
        <w:rPr>
          <w:rtl w:val="0"/>
        </w:rPr>
        <w:t xml:space="preserve"> Solución y tecnología.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[Causa]</w:t>
      </w:r>
      <w:r w:rsidDel="00000000" w:rsidR="00000000" w:rsidRPr="00000000">
        <w:rPr>
          <w:rtl w:val="0"/>
        </w:rPr>
        <w:t xml:space="preserve"> La migración sanitaria utiliza antecedentes del ERP, WMS y planillas cuya completitud y vinculación histórica deben comprobarse con evidencia de origen.</w:t>
        <w:br w:type="textWrapping"/>
      </w:r>
      <w:r w:rsidDel="00000000" w:rsidR="00000000" w:rsidRPr="00000000">
        <w:rPr>
          <w:b w:val="1"/>
          <w:bCs w:val="1"/>
          <w:rtl w:val="0"/>
        </w:rPr>
        <w:t xml:space="preserve">[Evento de riesgo / Incertidumbre]</w:t>
      </w:r>
      <w:r w:rsidDel="00000000" w:rsidR="00000000" w:rsidRPr="00000000">
        <w:rPr>
          <w:rtl w:val="0"/>
        </w:rPr>
        <w:t xml:space="preserve"> Al preparar una carga de historia sanitaria del ERP, WMS o planillas, los datos recibidos podrían contener faltantes de lote o vínculos históricos que no sea posible resolver con evidencia de origen.</w:t>
        <w:br w:type="textWrapping"/>
      </w:r>
      <w:r w:rsidDel="00000000" w:rsidR="00000000" w:rsidRPr="00000000">
        <w:rPr>
          <w:b w:val="1"/>
          <w:bCs w:val="1"/>
          <w:rtl w:val="0"/>
        </w:rPr>
        <w:t xml:space="preserve">[Efecto o impacto en el proyecto]</w:t>
      </w:r>
      <w:r w:rsidDel="00000000" w:rsidR="00000000" w:rsidRPr="00000000">
        <w:rPr>
          <w:rtl w:val="0"/>
        </w:rPr>
        <w:t xml:space="preserve"> Los conjuntos afectados quedarían pendientes de decisión documentada y conciliación, añadiendo trabajo de saneamiento a LafroX y condicionando la aceptación de esa carga.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Por qué compete a LafroX:</w:t>
      </w:r>
      <w:r w:rsidDel="00000000" w:rsidR="00000000" w:rsidRPr="00000000">
        <w:rPr>
          <w:rtl w:val="0"/>
        </w:rPr>
        <w:t xml:space="preserve"> El saneamiento, la trazabilidad de lo migrado y la evidencia de aceptación son entregables del equipo de datos de LafroX.</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Contraste con lo ya definido:</w:t>
      </w:r>
      <w:r w:rsidDel="00000000" w:rsidR="00000000" w:rsidRPr="00000000">
        <w:rPr>
          <w:rtl w:val="0"/>
        </w:rPr>
        <w:t xml:space="preserve"> Están definidos la unidad de trazabilidad, el perfilado y la prohibición de inventar hechos. No está acreditada la disponibilidad efectiva de toda la historia; la ausencia ya conocida se trata como antecedente, no como incidente futuro.</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Fuentes:</w:t>
      </w:r>
      <w:r w:rsidDel="00000000" w:rsidR="00000000" w:rsidRPr="00000000">
        <w:rPr>
          <w:rtl w:val="0"/>
        </w:rPr>
        <w:t xml:space="preserve"> </w:t>
      </w:r>
      <w:hyperlink r:id="rId12">
        <w:r w:rsidDel="00000000" w:rsidR="00000000" w:rsidRPr="00000000">
          <w:rPr>
            <w:color w:val="1155cc"/>
            <w:u w:val="single"/>
            <w:rtl w:val="0"/>
          </w:rPr>
          <w:t xml:space="preserve">SD3, anexos, p. 115: S-02</w:t>
        </w:r>
      </w:hyperlink>
      <w:r w:rsidDel="00000000" w:rsidR="00000000" w:rsidRPr="00000000">
        <w:rPr>
          <w:rtl w:val="0"/>
        </w:rPr>
        <w:t xml:space="preserve">; </w:t>
      </w:r>
      <w:hyperlink r:id="rId13">
        <w:r w:rsidDel="00000000" w:rsidR="00000000" w:rsidRPr="00000000">
          <w:rPr>
            <w:color w:val="1155cc"/>
            <w:u w:val="single"/>
            <w:rtl w:val="0"/>
          </w:rPr>
          <w:t xml:space="preserve">SD5, p. 35: §5.3.2</w:t>
        </w:r>
      </w:hyperlink>
      <w:r w:rsidDel="00000000" w:rsidR="00000000" w:rsidRPr="00000000">
        <w:rPr>
          <w:rtl w:val="0"/>
        </w:rPr>
        <w:t xml:space="preserve">; </w:t>
      </w:r>
      <w:hyperlink r:id="rId14">
        <w:r w:rsidDel="00000000" w:rsidR="00000000" w:rsidRPr="00000000">
          <w:rPr>
            <w:color w:val="1155cc"/>
            <w:u w:val="single"/>
            <w:rtl w:val="0"/>
          </w:rPr>
          <w:t xml:space="preserve">SD5, p. 37: §5.3.5</w:t>
        </w:r>
      </w:hyperlink>
      <w:r w:rsidDel="00000000" w:rsidR="00000000" w:rsidRPr="00000000">
        <w:rPr>
          <w:rtl w:val="0"/>
        </w:rPr>
        <w:t xml:space="preserve">.</w:t>
      </w:r>
    </w:p>
    <w:p w:rsidR="00000000" w:rsidDel="00000000" w:rsidP="00000000" w:rsidRDefault="00000000" w:rsidRPr="00000000" w14:paraId="000000B9">
      <w:pPr>
        <w:pStyle w:val="Heading3"/>
        <w:rPr/>
      </w:pPr>
      <w:bookmarkStart w:colFirst="0" w:colLast="0" w:name="_k871tex4tg6l" w:id="9"/>
      <w:bookmarkEnd w:id="9"/>
      <w:r w:rsidDel="00000000" w:rsidR="00000000" w:rsidRPr="00000000">
        <w:rPr>
          <w:rtl w:val="0"/>
        </w:rPr>
        <w:t xml:space="preserve">REC-005 — Historial de ventas no utilizable para la carga y reposición previstas</w:t>
      </w:r>
    </w:p>
    <w:p w:rsidR="00000000" w:rsidDel="00000000" w:rsidP="00000000" w:rsidRDefault="00000000" w:rsidRPr="00000000" w14:paraId="000000BA">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[Causa]</w:t>
      </w:r>
      <w:r w:rsidDel="00000000" w:rsidR="00000000" w:rsidRPr="00000000">
        <w:rPr>
          <w:rtl w:val="0"/>
        </w:rPr>
        <w:t xml:space="preserve"> La migración y la reposición dependen de la extensión y calidad efectiva del historial de ventas disponible en el ERP.</w:t>
        <w:br w:type="textWrapping"/>
      </w:r>
      <w:r w:rsidDel="00000000" w:rsidR="00000000" w:rsidRPr="00000000">
        <w:rPr>
          <w:b w:val="1"/>
          <w:bCs w:val="1"/>
          <w:rtl w:val="0"/>
        </w:rPr>
        <w:t xml:space="preserve">[Evento de riesgo / Incertidumbre]</w:t>
      </w:r>
      <w:r w:rsidDel="00000000" w:rsidR="00000000" w:rsidRPr="00000000">
        <w:rPr>
          <w:rtl w:val="0"/>
        </w:rPr>
        <w:t xml:space="preserve"> Al extraer del ERP el historial requerido para migración y reposición, podrían recibirse períodos incompletos o datos cuya calidad no permita utilizarlos directamente.</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ampliar la preparación y conciliación de la carga y el tratamiento de las excepciones de reposición antes de demostrar los resultados requeridos.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Por qué compete a LafroX:</w:t>
      </w:r>
      <w:r w:rsidDel="00000000" w:rsidR="00000000" w:rsidRPr="00000000">
        <w:rPr>
          <w:rtl w:val="0"/>
        </w:rPr>
        <w:t xml:space="preserve"> Afecta el trabajo de migración y la verificación funcional de reposición a cargo de LafroX.</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Contraste con lo ya definido:</w:t>
      </w:r>
      <w:r w:rsidDel="00000000" w:rsidR="00000000" w:rsidRPr="00000000">
        <w:rPr>
          <w:rtl w:val="0"/>
        </w:rPr>
        <w:t xml:space="preserve"> V-09 distingue expresamente el requisito de migrar tres años de ventas de la prueba de que esos datos existan y sean utilizables. No se reabre la decisión sobre cuánto se exige migrar.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124: S-25</w:t>
      </w:r>
      <w:r w:rsidDel="00000000" w:rsidR="00000000" w:rsidRPr="00000000">
        <w:rPr>
          <w:rtl w:val="0"/>
        </w:rPr>
        <w:t xml:space="preserve">; </w:t>
      </w:r>
      <w:r w:rsidDel="00000000" w:rsidR="00000000" w:rsidRPr="00000000">
        <w:rPr>
          <w:rtl w:val="0"/>
        </w:rPr>
        <w:t xml:space="preserve">SD3, anexos, p. 147: V-09</w:t>
      </w:r>
      <w:r w:rsidDel="00000000" w:rsidR="00000000" w:rsidRPr="00000000">
        <w:rPr>
          <w:rtl w:val="0"/>
        </w:rPr>
        <w:t xml:space="preserve">; </w:t>
      </w:r>
      <w:r w:rsidDel="00000000" w:rsidR="00000000" w:rsidRPr="00000000">
        <w:rPr>
          <w:rtl w:val="0"/>
        </w:rPr>
        <w:t xml:space="preserve">SD5, p. 35: Perfilado</w:t>
      </w:r>
      <w:r w:rsidDel="00000000" w:rsidR="00000000" w:rsidRPr="00000000">
        <w:rPr>
          <w:rtl w:val="0"/>
        </w:rPr>
        <w:t xml:space="preserve">.</w:t>
      </w:r>
    </w:p>
    <w:p w:rsidR="00000000" w:rsidDel="00000000" w:rsidP="00000000" w:rsidRDefault="00000000" w:rsidRPr="00000000" w14:paraId="000000C5">
      <w:pPr>
        <w:pStyle w:val="Heading3"/>
        <w:rPr/>
      </w:pPr>
      <w:bookmarkStart w:colFirst="0" w:colLast="0" w:name="_atcttsmip7io" w:id="10"/>
      <w:bookmarkEnd w:id="10"/>
      <w:r w:rsidDel="00000000" w:rsidR="00000000" w:rsidRPr="00000000">
        <w:rPr>
          <w:rtl w:val="0"/>
        </w:rPr>
        <w:t xml:space="preserve">REC-006 — Diferencias de inventario sin resolver antes del corte de migración</w:t>
      </w:r>
    </w:p>
    <w:p w:rsidR="00000000" w:rsidDel="00000000" w:rsidP="00000000" w:rsidRDefault="00000000" w:rsidRPr="00000000" w14:paraId="000000C6">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[Causa]</w:t>
      </w:r>
      <w:r w:rsidDel="00000000" w:rsidR="00000000" w:rsidRPr="00000000">
        <w:rPr>
          <w:rtl w:val="0"/>
        </w:rPr>
        <w:t xml:space="preserve"> La aceptación del inventario migrado requiere conciliar los saldos legados con el conteo físico y contar con explicaciones y ajustes aprobados antes del corte.</w:t>
        <w:br w:type="textWrapping"/>
      </w:r>
      <w:r w:rsidDel="00000000" w:rsidR="00000000" w:rsidRPr="00000000">
        <w:rPr>
          <w:b w:val="1"/>
          <w:bCs w:val="1"/>
          <w:rtl w:val="0"/>
        </w:rPr>
        <w:t xml:space="preserve">[Evento de riesgo / Incertidumbre]</w:t>
      </w:r>
      <w:r w:rsidDel="00000000" w:rsidR="00000000" w:rsidRPr="00000000">
        <w:rPr>
          <w:rtl w:val="0"/>
        </w:rPr>
        <w:t xml:space="preserve"> Antes de un corte, la conciliación del saldo legado con el conteo físico podría detectar diferencias que no cuenten con explicación y ajuste aprobados a tiempo.</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repetir saneamiento y validación, y la carga afectada no podría superar su condición de aceptación hasta resolverlas.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Por qué compete a LafroX:</w:t>
      </w:r>
      <w:r w:rsidDel="00000000" w:rsidR="00000000" w:rsidRPr="00000000">
        <w:rPr>
          <w:rtl w:val="0"/>
        </w:rPr>
        <w:t xml:space="preserve"> La conciliación y el acta de corte forman parte de la implantación y migración que entrega LafroX.</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Contraste con lo ya definido:</w:t>
      </w:r>
      <w:r w:rsidDel="00000000" w:rsidR="00000000" w:rsidRPr="00000000">
        <w:rPr>
          <w:rtl w:val="0"/>
        </w:rPr>
        <w:t xml:space="preserve"> S-29 ya establece investigar y justificar diferencias. El evento adverso es no disponer de esa conciliación resuelta antes del corte, no que el porcentaje medido sea simplemente distinto o que deba elegirse una tolerancia.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126: S-29</w:t>
      </w:r>
      <w:r w:rsidDel="00000000" w:rsidR="00000000" w:rsidRPr="00000000">
        <w:rPr>
          <w:rtl w:val="0"/>
        </w:rPr>
        <w:t xml:space="preserve">; </w:t>
      </w:r>
      <w:r w:rsidDel="00000000" w:rsidR="00000000" w:rsidRPr="00000000">
        <w:rPr>
          <w:rtl w:val="0"/>
        </w:rPr>
        <w:t xml:space="preserve">SD5, p. 36: Saneamiento</w:t>
      </w:r>
      <w:r w:rsidDel="00000000" w:rsidR="00000000" w:rsidRPr="00000000">
        <w:rPr>
          <w:rtl w:val="0"/>
        </w:rPr>
        <w:t xml:space="preserve">; </w:t>
      </w:r>
      <w:r w:rsidDel="00000000" w:rsidR="00000000" w:rsidRPr="00000000">
        <w:rPr>
          <w:rtl w:val="0"/>
        </w:rPr>
        <w:t xml:space="preserve">SD5, p. 37: Criterios de corte</w:t>
      </w:r>
      <w:r w:rsidDel="00000000" w:rsidR="00000000" w:rsidRPr="00000000">
        <w:rPr>
          <w:rtl w:val="0"/>
        </w:rPr>
        <w:t xml:space="preserve">.</w:t>
      </w:r>
    </w:p>
    <w:p w:rsidR="00000000" w:rsidDel="00000000" w:rsidP="00000000" w:rsidRDefault="00000000" w:rsidRPr="00000000" w14:paraId="000000D1">
      <w:pPr>
        <w:pStyle w:val="Heading3"/>
        <w:rPr/>
      </w:pPr>
      <w:bookmarkStart w:colFirst="0" w:colLast="0" w:name="_ctku7xp9k2j7" w:id="11"/>
      <w:bookmarkEnd w:id="11"/>
      <w:r w:rsidDel="00000000" w:rsidR="00000000" w:rsidRPr="00000000">
        <w:rPr>
          <w:rtl w:val="0"/>
        </w:rPr>
        <w:t xml:space="preserve">REC-007 — Saldo inicial de envases no conciliable al preparar la carga de M8</w:t>
      </w:r>
    </w:p>
    <w:p w:rsidR="00000000" w:rsidDel="00000000" w:rsidP="00000000" w:rsidRDefault="00000000" w:rsidRPr="00000000" w14:paraId="000000D2">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[Causa]</w:t>
      </w:r>
      <w:r w:rsidDel="00000000" w:rsidR="00000000" w:rsidRPr="00000000">
        <w:rPr>
          <w:rtl w:val="0"/>
        </w:rPr>
        <w:t xml:space="preserve"> La carga inicial de M8 requiere saldos de envases por cliente y transportista sustentados en antecedentes conciliables del cliente.</w:t>
        <w:br w:type="textWrapping"/>
      </w:r>
      <w:r w:rsidDel="00000000" w:rsidR="00000000" w:rsidRPr="00000000">
        <w:rPr>
          <w:b w:val="1"/>
          <w:bCs w:val="1"/>
          <w:rtl w:val="0"/>
        </w:rPr>
        <w:t xml:space="preserve">[Evento de riesgo / Incertidumbre]</w:t>
      </w:r>
      <w:r w:rsidDel="00000000" w:rsidR="00000000" w:rsidRPr="00000000">
        <w:rPr>
          <w:rtl w:val="0"/>
        </w:rPr>
        <w:t xml:space="preserve"> Al preparar la carga inicial de M8, los antecedentes entregados por el cliente podrían no permitir determinar un saldo conciliado de envases por cliente y transportista.</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repetir preparación y validación de la carga con Finanzas y no podría demostrar el funcionamiento con saldos iniciales aceptados mientras ese dato de partida siga pendiente.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Por qué compete a LafroX:</w:t>
      </w:r>
      <w:r w:rsidDel="00000000" w:rsidR="00000000" w:rsidRPr="00000000">
        <w:rPr>
          <w:rtl w:val="0"/>
        </w:rPr>
        <w:t xml:space="preserve"> Compromete la preparación y prueba del dominio de envases que debe habilitar LafroX.</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Contraste con lo ya definido:</w:t>
      </w:r>
      <w:r w:rsidDel="00000000" w:rsidR="00000000" w:rsidRPr="00000000">
        <w:rPr>
          <w:rtl w:val="0"/>
        </w:rPr>
        <w:t xml:space="preserve"> S-10 y RNG-07 fijan el control por saldos. V-08 no confirma la calidad de los saldos iniciales; la consulta abierta no se convierte por sí sola en riesgo: aquí se delimita el resultado adverso de la preparación de la carga.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147: V-08</w:t>
      </w:r>
      <w:r w:rsidDel="00000000" w:rsidR="00000000" w:rsidRPr="00000000">
        <w:rPr>
          <w:rtl w:val="0"/>
        </w:rPr>
        <w:t xml:space="preserve">; </w:t>
      </w:r>
      <w:r w:rsidDel="00000000" w:rsidR="00000000" w:rsidRPr="00000000">
        <w:rPr>
          <w:rtl w:val="0"/>
        </w:rPr>
        <w:t xml:space="preserve">SD3, anexos, p. 141: RNG-07</w:t>
      </w:r>
      <w:r w:rsidDel="00000000" w:rsidR="00000000" w:rsidRPr="00000000">
        <w:rPr>
          <w:rtl w:val="0"/>
        </w:rPr>
        <w:t xml:space="preserve">.</w:t>
      </w:r>
    </w:p>
    <w:p w:rsidR="00000000" w:rsidDel="00000000" w:rsidP="00000000" w:rsidRDefault="00000000" w:rsidRPr="00000000" w14:paraId="000000DD">
      <w:pPr>
        <w:pStyle w:val="Heading3"/>
        <w:rPr/>
      </w:pPr>
      <w:bookmarkStart w:colFirst="0" w:colLast="0" w:name="_rvko5m4go070" w:id="12"/>
      <w:bookmarkEnd w:id="12"/>
      <w:r w:rsidDel="00000000" w:rsidR="00000000" w:rsidRPr="00000000">
        <w:rPr>
          <w:rtl w:val="0"/>
        </w:rPr>
        <w:t xml:space="preserve">REC-008 — Historia de origen insuficiente para sustentar las líneas base de aceptación</w:t>
      </w:r>
    </w:p>
    <w:p w:rsidR="00000000" w:rsidDel="00000000" w:rsidP="00000000" w:rsidRDefault="00000000" w:rsidRPr="00000000" w14:paraId="000000DE">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[Causa]</w:t>
      </w:r>
      <w:r w:rsidDel="00000000" w:rsidR="00000000" w:rsidRPr="00000000">
        <w:rPr>
          <w:rtl w:val="0"/>
        </w:rPr>
        <w:t xml:space="preserve"> Las comparaciones históricas de aceptación dependen de horas verificables de entrega y montos esperados de rendición que la captura futura no reconstruye.</w:t>
        <w:br w:type="textWrapping"/>
      </w:r>
      <w:r w:rsidDel="00000000" w:rsidR="00000000" w:rsidRPr="00000000">
        <w:rPr>
          <w:b w:val="1"/>
          <w:bCs w:val="1"/>
          <w:rtl w:val="0"/>
        </w:rPr>
        <w:t xml:space="preserve">[Evento de riesgo / Incertidumbre]</w:t>
      </w:r>
      <w:r w:rsidDel="00000000" w:rsidR="00000000" w:rsidRPr="00000000">
        <w:rPr>
          <w:rtl w:val="0"/>
        </w:rPr>
        <w:t xml:space="preserve"> Al validar los antecedentes históricos que se usarán en la aceptación, podrían faltar horas verificables de entrega o montos esperados de rendición.</w:t>
        <w:br w:type="textWrapping"/>
      </w:r>
      <w:r w:rsidDel="00000000" w:rsidR="00000000" w:rsidRPr="00000000">
        <w:rPr>
          <w:b w:val="1"/>
          <w:bCs w:val="1"/>
          <w:rtl w:val="0"/>
        </w:rPr>
        <w:t xml:space="preserve">[Efecto o impacto en el proyecto]</w:t>
      </w:r>
      <w:r w:rsidDel="00000000" w:rsidR="00000000" w:rsidRPr="00000000">
        <w:rPr>
          <w:rtl w:val="0"/>
        </w:rPr>
        <w:t xml:space="preserve"> LafroX no podría respaldar con esos registros las comparaciones de OTIF o cuadratura y tendría que repetir la validación del conjunto y período de referencia con las áreas del cliente.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Por qué compete a LafroX:</w:t>
      </w:r>
      <w:r w:rsidDel="00000000" w:rsidR="00000000" w:rsidRPr="00000000">
        <w:rPr>
          <w:rtl w:val="0"/>
        </w:rPr>
        <w:t xml:space="preserve"> Afecta las evidencias y mediciones que LafroX necesita presentar para demostrar los resultados de la solución.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Contraste con lo ya definido:</w:t>
      </w:r>
      <w:r w:rsidDel="00000000" w:rsidR="00000000" w:rsidRPr="00000000">
        <w:rPr>
          <w:rtl w:val="0"/>
        </w:rPr>
        <w:t xml:space="preserve"> La fórmula de OTIF y la captura futura ya están definidas. V-10 mantiene pendiente la confiabilidad de los antecedentes históricos; no se propone cambiar la fórmula ni fabricar registros anteriores.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147: V-10</w:t>
      </w:r>
      <w:r w:rsidDel="00000000" w:rsidR="00000000" w:rsidRPr="00000000">
        <w:rPr>
          <w:rtl w:val="0"/>
        </w:rPr>
        <w:t xml:space="preserve">; </w:t>
      </w:r>
      <w:r w:rsidDel="00000000" w:rsidR="00000000" w:rsidRPr="00000000">
        <w:rPr>
          <w:rtl w:val="0"/>
        </w:rPr>
        <w:t xml:space="preserve">SD3, p. 15: Línea base</w:t>
      </w:r>
      <w:r w:rsidDel="00000000" w:rsidR="00000000" w:rsidRPr="00000000">
        <w:rPr>
          <w:rtl w:val="0"/>
        </w:rPr>
        <w:t xml:space="preserve">; </w:t>
      </w:r>
      <w:r w:rsidDel="00000000" w:rsidR="00000000" w:rsidRPr="00000000">
        <w:rPr>
          <w:rtl w:val="0"/>
        </w:rPr>
        <w:t xml:space="preserve">SD3, anexos, p. 141: RNG-09</w:t>
      </w:r>
      <w:r w:rsidDel="00000000" w:rsidR="00000000" w:rsidRPr="00000000">
        <w:rPr>
          <w:rtl w:val="0"/>
        </w:rPr>
        <w:t xml:space="preserve">.</w:t>
      </w:r>
    </w:p>
    <w:p w:rsidR="00000000" w:rsidDel="00000000" w:rsidP="00000000" w:rsidRDefault="00000000" w:rsidRPr="00000000" w14:paraId="000000E9">
      <w:pPr>
        <w:pStyle w:val="Heading3"/>
        <w:rPr/>
      </w:pPr>
      <w:bookmarkStart w:colFirst="0" w:colLast="0" w:name="_g9thdd4fontf" w:id="13"/>
      <w:bookmarkEnd w:id="13"/>
      <w:r w:rsidDel="00000000" w:rsidR="00000000" w:rsidRPr="00000000">
        <w:rPr>
          <w:rtl w:val="0"/>
        </w:rPr>
        <w:t xml:space="preserve">REC-009 — Deuda viva adicional a la cartera incluida en la volumetría provisional</w:t>
      </w:r>
    </w:p>
    <w:p w:rsidR="00000000" w:rsidDel="00000000" w:rsidP="00000000" w:rsidRDefault="00000000" w:rsidRPr="00000000" w14:paraId="000000EA">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[Causa]</w:t>
      </w:r>
      <w:r w:rsidDel="00000000" w:rsidR="00000000" w:rsidRPr="00000000">
        <w:rPr>
          <w:rtl w:val="0"/>
        </w:rPr>
        <w:t xml:space="preserve"> El volumen histórico utilizado para estimar la carga de cartera no acredita que incluya todos los documentos de deuda todavía vigente.</w:t>
        <w:br w:type="textWrapping"/>
      </w:r>
      <w:r w:rsidDel="00000000" w:rsidR="00000000" w:rsidRPr="00000000">
        <w:rPr>
          <w:b w:val="1"/>
          <w:bCs w:val="1"/>
          <w:rtl w:val="0"/>
        </w:rPr>
        <w:t xml:space="preserve">[Evento de riesgo / Incertidumbre]</w:t>
      </w:r>
      <w:r w:rsidDel="00000000" w:rsidR="00000000" w:rsidRPr="00000000">
        <w:rPr>
          <w:rtl w:val="0"/>
        </w:rPr>
        <w:t xml:space="preserve"> Durante el perfilado de la cartera, podrían identificarse documentos de deuda todavía vigente que no estén comprendidos en el volumen histórico usado para estimar la carga.</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extraer, transformar y conciliar ese conjunto adicional, aumentando el trabajo y el volumen de transferencia antes de cerrar la migración de cartera.</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Por qué compete a LafroX:</w:t>
      </w:r>
      <w:r w:rsidDel="00000000" w:rsidR="00000000" w:rsidRPr="00000000">
        <w:rPr>
          <w:rtl w:val="0"/>
        </w:rPr>
        <w:t xml:space="preserve"> Afecta la carga completa de cartera y las tareas de datos y ensayo de LafroX.</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Contraste con lo ya definido:</w:t>
      </w:r>
      <w:r w:rsidDel="00000000" w:rsidR="00000000" w:rsidRPr="00000000">
        <w:rPr>
          <w:rtl w:val="0"/>
        </w:rPr>
        <w:t xml:space="preserve"> El requisito de migrar toda la deuda viva está decidido. El riesgo se limita a que aparezca volumen de origen adicional al contabilizado; no se plantea como una elección de alcance. Se acota a cartera para evitar repetir la historia sanitaria de REC-004.</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SD5, p. 35: §5.3.1 y tabla 5.2</w:t>
      </w:r>
      <w:r w:rsidDel="00000000" w:rsidR="00000000" w:rsidRPr="00000000">
        <w:rPr>
          <w:rtl w:val="0"/>
        </w:rPr>
        <w:t xml:space="preserve">; </w:t>
      </w:r>
      <w:r w:rsidDel="00000000" w:rsidR="00000000" w:rsidRPr="00000000">
        <w:rPr>
          <w:rtl w:val="0"/>
        </w:rPr>
        <w:t xml:space="preserve">SD5, p. 37: Conciliación de cartera</w:t>
      </w:r>
      <w:r w:rsidDel="00000000" w:rsidR="00000000" w:rsidRPr="00000000">
        <w:rPr>
          <w:rtl w:val="0"/>
        </w:rPr>
        <w:t xml:space="preserve">.</w:t>
      </w:r>
    </w:p>
    <w:p w:rsidR="00000000" w:rsidDel="00000000" w:rsidP="00000000" w:rsidRDefault="00000000" w:rsidRPr="00000000" w14:paraId="000000F5">
      <w:pPr>
        <w:pStyle w:val="Heading3"/>
        <w:rPr/>
      </w:pPr>
      <w:bookmarkStart w:colFirst="0" w:colLast="0" w:name="_wyz0bkuugz0w" w:id="14"/>
      <w:bookmarkEnd w:id="14"/>
      <w:r w:rsidDel="00000000" w:rsidR="00000000" w:rsidRPr="00000000">
        <w:rPr>
          <w:rtl w:val="0"/>
        </w:rPr>
        <w:t xml:space="preserve">REC-011 — ERP legado indisponible cuando se requiere emitir una guía nueva</w:t>
      </w:r>
    </w:p>
    <w:p w:rsidR="00000000" w:rsidDel="00000000" w:rsidP="00000000" w:rsidRDefault="00000000" w:rsidRPr="00000000" w14:paraId="000000F6">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[Causa]</w:t>
      </w:r>
      <w:r w:rsidDel="00000000" w:rsidR="00000000" w:rsidRPr="00000000">
        <w:rPr>
          <w:rtl w:val="0"/>
        </w:rPr>
        <w:t xml:space="preserve"> El ERP del cliente se mantiene como único emisor de guías nuevas y de las reemisiones exigidas por cambios de carga.</w:t>
        <w:br w:type="textWrapping"/>
      </w:r>
      <w:r w:rsidDel="00000000" w:rsidR="00000000" w:rsidRPr="00000000">
        <w:rPr>
          <w:b w:val="1"/>
          <w:bCs w:val="1"/>
          <w:rtl w:val="0"/>
        </w:rPr>
        <w:t xml:space="preserve">[Evento de riesgo / Incertidumbre]</w:t>
      </w:r>
      <w:r w:rsidDel="00000000" w:rsidR="00000000" w:rsidRPr="00000000">
        <w:rPr>
          <w:rtl w:val="0"/>
        </w:rPr>
        <w:t xml:space="preserve"> Durante un ensayo integrado o la operación, el ERP del cliente podría estar indisponible cuando se solicite una guía nueva o la reemisión necesaria por un cambio de carga.</w:t>
        <w:br w:type="textWrapping"/>
      </w:r>
      <w:r w:rsidDel="00000000" w:rsidR="00000000" w:rsidRPr="00000000">
        <w:rPr>
          <w:b w:val="1"/>
          <w:bCs w:val="1"/>
          <w:rtl w:val="0"/>
        </w:rPr>
        <w:t xml:space="preserve">[Efecto o impacto en el proyecto]</w:t>
      </w:r>
      <w:r w:rsidDel="00000000" w:rsidR="00000000" w:rsidRPr="00000000">
        <w:rPr>
          <w:rtl w:val="0"/>
        </w:rPr>
        <w:t xml:space="preserve"> Quedaría pendiente el intercambio documental y LafroX tendría que gestionar la incidencia de integración y su recuperación antes de completar ese flujo.</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Por qué compete a LafroX:</w:t>
      </w:r>
      <w:r w:rsidDel="00000000" w:rsidR="00000000" w:rsidRPr="00000000">
        <w:rPr>
          <w:rtl w:val="0"/>
        </w:rPr>
        <w:t xml:space="preserve"> LafroX integra y soporta el flujo documental; la indisponibilidad del legado afecta sus pruebas o su servicio integrado.</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Contraste con lo ya definido:</w:t>
      </w:r>
      <w:r w:rsidDel="00000000" w:rsidR="00000000" w:rsidRPr="00000000">
        <w:rPr>
          <w:rtl w:val="0"/>
        </w:rPr>
        <w:t xml:space="preserve"> El ERP como único emisor y la obligación de contar con una guía válida están decididos. Se conserva la indisponibilidad externa; no se conserva una duda sobre quién emite ni se permite salir sin documento.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p. 72: Tabla 3: ERP y emisión DTE</w:t>
      </w:r>
      <w:r w:rsidDel="00000000" w:rsidR="00000000" w:rsidRPr="00000000">
        <w:rPr>
          <w:rtl w:val="0"/>
        </w:rPr>
        <w:t xml:space="preserve">; </w:t>
      </w:r>
      <w:r w:rsidDel="00000000" w:rsidR="00000000" w:rsidRPr="00000000">
        <w:rPr>
          <w:rtl w:val="0"/>
        </w:rPr>
        <w:t xml:space="preserve">SD4, p. 73: Continuidad documental</w:t>
      </w:r>
      <w:r w:rsidDel="00000000" w:rsidR="00000000" w:rsidRPr="00000000">
        <w:rPr>
          <w:rtl w:val="0"/>
        </w:rPr>
        <w:t xml:space="preserve">; </w:t>
      </w:r>
      <w:r w:rsidDel="00000000" w:rsidR="00000000" w:rsidRPr="00000000">
        <w:rPr>
          <w:rtl w:val="0"/>
        </w:rPr>
        <w:t xml:space="preserve">T-14, p. 87: 8.1.2</w:t>
      </w:r>
      <w:r w:rsidDel="00000000" w:rsidR="00000000" w:rsidRPr="00000000">
        <w:rPr>
          <w:rtl w:val="0"/>
        </w:rPr>
        <w:t xml:space="preserve">.</w:t>
      </w:r>
    </w:p>
    <w:p w:rsidR="00000000" w:rsidDel="00000000" w:rsidP="00000000" w:rsidRDefault="00000000" w:rsidRPr="00000000" w14:paraId="00000101">
      <w:pPr>
        <w:pStyle w:val="Heading3"/>
        <w:rPr/>
      </w:pPr>
      <w:bookmarkStart w:colFirst="0" w:colLast="0" w:name="_6qvfg05hr6zf" w:id="15"/>
      <w:bookmarkEnd w:id="15"/>
      <w:r w:rsidDel="00000000" w:rsidR="00000000" w:rsidRPr="00000000">
        <w:rPr>
          <w:rtl w:val="0"/>
        </w:rPr>
        <w:t>REC-012 — El Servicio de Impuestos Internos no responde y deja pendiente un trámite tributario</w:t>
      </w:r>
    </w:p>
    <w:p w:rsidR="00000000" w:rsidDel="00000000" w:rsidP="00000000" w:rsidRDefault="00000000" w:rsidRPr="00000000" w14:paraId="00000102">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[Causa]</w:t>
      </w:r>
      <w:r w:rsidDel="00000000" w:rsidR="00000000" w:rsidRPr="00000000">
        <w:rPr>
          <w:rtl w:val="0"/>
        </w:rPr>
        <w:t xml:space="preserve"> La solución envía trámites tributarios por el sistema de gestión actual del cliente y necesita la respuesta del Servicio de Impuestos Internos (SII) para conocer su resultado.</w:t>
        <w:br/>
      </w:r>
      <w:r w:rsidDel="00000000" w:rsidR="00000000" w:rsidRPr="00000000">
        <w:rPr>
          <w:b w:val="1"/>
          <w:bCs w:val="1"/>
          <w:rtl w:val="0"/>
        </w:rPr>
        <w:t xml:space="preserve">[Evento de riesgo / Incertidumbre]</w:t>
      </w:r>
      <w:r w:rsidDel="00000000" w:rsidR="00000000" w:rsidRPr="00000000">
        <w:rPr>
          <w:rtl w:val="0"/>
        </w:rPr>
        <w:t xml:space="preserve"> Mientras se tramita uno de esos documentos, el SII podría no responder.</w:t>
        <w:br/>
      </w:r>
      <w:r w:rsidDel="00000000" w:rsidR="00000000" w:rsidRPr="00000000">
        <w:rPr>
          <w:b w:val="1"/>
          <w:bCs w:val="1"/>
          <w:rtl w:val="0"/>
        </w:rPr>
        <w:t xml:space="preserve">[Efecto o impacto en el proyecto]</w:t>
      </w:r>
      <w:r w:rsidDel="00000000" w:rsidR="00000000" w:rsidRPr="00000000">
        <w:rPr>
          <w:rtl w:val="0"/>
        </w:rPr>
        <w:t xml:space="preserve"> El trámite quedaría sin confirmación. LafroX tendría que mantenerlo identificado como pendiente, seguir la incidencia y comprobar su resultado al reintentar la comunicación. Esto podría retrasar el cierre del proceso, pero la falta de respuesta no equivale a una aprobación.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Por qué compete a LafroX:</w:t>
      </w:r>
      <w:r w:rsidDel="00000000" w:rsidR="00000000" w:rsidRPr="00000000">
        <w:rPr>
          <w:rtl w:val="0"/>
        </w:rPr>
        <w:t xml:space="preserve"> LafroX debe dar seguimiento a los trámites que pasan por la integración y verificar su resultado antes de cerrar el proceso.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Contraste con lo ya definido:</w:t>
      </w:r>
      <w:r w:rsidDel="00000000" w:rsidR="00000000" w:rsidRPr="00000000">
        <w:rPr>
          <w:rtl w:val="0"/>
        </w:rPr>
        <w:t xml:space="preserve"> Ya está decidido que el sistema actual del cliente emite los documentos tributarios. El riesgo no cuestiona esa decisión: se refiere a una falta de respuesta del SII durante el trámite.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p. 72: Tabla 3: SII y pasarela de pago</w:t>
      </w:r>
      <w:r w:rsidDel="00000000" w:rsidR="00000000" w:rsidRPr="00000000">
        <w:rPr>
          <w:rtl w:val="0"/>
        </w:rPr>
        <w:t xml:space="preserve">; </w:t>
      </w:r>
      <w:r w:rsidDel="00000000" w:rsidR="00000000" w:rsidRPr="00000000">
        <w:rPr>
          <w:rtl w:val="0"/>
        </w:rPr>
        <w:t xml:space="preserve">SD4, p. 144: Fallas en integraciones</w:t>
      </w:r>
      <w:r w:rsidDel="00000000" w:rsidR="00000000" w:rsidRPr="00000000">
        <w:rPr>
          <w:rtl w:val="0"/>
        </w:rPr>
        <w:t xml:space="preserve">; </w:t>
      </w:r>
      <w:r w:rsidDel="00000000" w:rsidR="00000000" w:rsidRPr="00000000">
        <w:rPr>
          <w:rtl w:val="0"/>
        </w:rPr>
        <w:t xml:space="preserve">T-14, p. 87: 8.1.2</w:t>
      </w:r>
      <w:r w:rsidDel="00000000" w:rsidR="00000000" w:rsidRPr="00000000">
        <w:rPr>
          <w:rtl w:val="0"/>
        </w:rPr>
        <w:t xml:space="preserve">.</w:t>
      </w:r>
    </w:p>
    <w:p w:rsidR="00000000" w:rsidDel="00000000" w:rsidP="00000000" w:rsidRDefault="00000000" w:rsidRPr="00000000" w14:paraId="0000010D">
      <w:pPr>
        <w:pStyle w:val="Heading3"/>
        <w:rPr/>
      </w:pPr>
      <w:bookmarkStart w:colFirst="0" w:colLast="0" w:name="_dvphh1p7jfbs" w:id="16"/>
      <w:bookmarkEnd w:id="16"/>
      <w:r w:rsidDel="00000000" w:rsidR="00000000" w:rsidRPr="00000000">
        <w:rPr>
          <w:rtl w:val="0"/>
        </w:rPr>
        <w:t xml:space="preserve">REC-013 — POS deja un pago sin resultado externo comprobable</w:t>
      </w:r>
    </w:p>
    <w:p w:rsidR="00000000" w:rsidDel="00000000" w:rsidP="00000000" w:rsidRDefault="00000000" w:rsidRPr="00000000" w14:paraId="0000010E">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[Causa]</w:t>
      </w:r>
      <w:r w:rsidDel="00000000" w:rsidR="00000000" w:rsidRPr="00000000">
        <w:rPr>
          <w:rtl w:val="0"/>
        </w:rPr>
        <w:t xml:space="preserve"> La integración de pagos depende de la respuesta del POS del tercero; un timeout no permite concluir que el cargo fue rechazado.</w:t>
        <w:br w:type="textWrapping"/>
      </w:r>
      <w:r w:rsidDel="00000000" w:rsidR="00000000" w:rsidRPr="00000000">
        <w:rPr>
          <w:b w:val="1"/>
          <w:bCs w:val="1"/>
          <w:rtl w:val="0"/>
        </w:rPr>
        <w:t xml:space="preserve">[Evento de riesgo / Incertidumbre]</w:t>
      </w:r>
      <w:r w:rsidDel="00000000" w:rsidR="00000000" w:rsidRPr="00000000">
        <w:rPr>
          <w:rtl w:val="0"/>
        </w:rPr>
        <w:t xml:space="preserve"> Después de enviar una autorización de pago, el POS del tercero podría agotar el tiempo de respuesta sin permitir comprobar si hubo cargo.</w:t>
        <w:br w:type="textWrapping"/>
      </w:r>
      <w:r w:rsidDel="00000000" w:rsidR="00000000" w:rsidRPr="00000000">
        <w:rPr>
          <w:b w:val="1"/>
          <w:bCs w:val="1"/>
          <w:rtl w:val="0"/>
        </w:rPr>
        <w:t xml:space="preserve">[Efecto o impacto en el proyecto]</w:t>
      </w:r>
      <w:r w:rsidDel="00000000" w:rsidR="00000000" w:rsidRPr="00000000">
        <w:rPr>
          <w:rtl w:val="0"/>
        </w:rPr>
        <w:t xml:space="preserve"> El intercambio quedaría incierto y LafroX tendría que investigar y conciliar el estado de la integración con la contraparte financiera antes de dar por resuelta la incidencia.</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Por qué compete a LafroX:</w:t>
      </w:r>
      <w:r w:rsidDel="00000000" w:rsidR="00000000" w:rsidRPr="00000000">
        <w:rPr>
          <w:rtl w:val="0"/>
        </w:rPr>
        <w:t xml:space="preserve"> Concierne al estado técnico y trazabilidad del flujo POS integrado por LafroX; no se le atribuye la custodia del dinero ni la autorización financiera.</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Contraste con lo ya definido:</w:t>
      </w:r>
      <w:r w:rsidDel="00000000" w:rsidR="00000000" w:rsidRPr="00000000">
        <w:rPr>
          <w:rtl w:val="0"/>
        </w:rPr>
        <w:t xml:space="preserve"> La regla de no equiparar timeout con rechazo y la segregación financiera ya están definidas. Se conserva la ausencia real de respuesta externa; no se plantea como elección libre el volver a cobrar.</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SD5, p. 19: §5.1.8: POS</w:t>
      </w:r>
      <w:r w:rsidDel="00000000" w:rsidR="00000000" w:rsidRPr="00000000">
        <w:rPr>
          <w:rtl w:val="0"/>
        </w:rPr>
        <w:t xml:space="preserve">; </w:t>
      </w:r>
      <w:r w:rsidDel="00000000" w:rsidR="00000000" w:rsidRPr="00000000">
        <w:rPr>
          <w:rtl w:val="0"/>
        </w:rPr>
        <w:t xml:space="preserve">SD4, p. 72: Pasarela de pago</w:t>
      </w:r>
      <w:r w:rsidDel="00000000" w:rsidR="00000000" w:rsidRPr="00000000">
        <w:rPr>
          <w:rtl w:val="0"/>
        </w:rPr>
        <w:t xml:space="preserve">.</w:t>
      </w:r>
    </w:p>
    <w:p w:rsidR="00000000" w:rsidDel="00000000" w:rsidP="00000000" w:rsidRDefault="00000000" w:rsidRPr="00000000" w14:paraId="00000119">
      <w:pPr>
        <w:pStyle w:val="Heading3"/>
        <w:rPr/>
      </w:pPr>
      <w:bookmarkStart w:colFirst="0" w:colLast="0" w:name="_u74zgpqll0uh" w:id="17"/>
      <w:bookmarkEnd w:id="17"/>
      <w:r w:rsidDel="00000000" w:rsidR="00000000" w:rsidRPr="00000000">
        <w:rPr>
          <w:rtl w:val="0"/>
        </w:rPr>
        <w:t>REC-014 — El proveedor de mensajes falla y un aviso operativo queda pendiente</w:t>
      </w:r>
    </w:p>
    <w:p w:rsidR="00000000" w:rsidDel="00000000" w:rsidP="00000000" w:rsidRDefault="00000000" w:rsidRPr="00000000" w14:paraId="0000011A">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[Causa]</w:t>
      </w:r>
      <w:r w:rsidDel="00000000" w:rsidR="00000000" w:rsidRPr="00000000">
        <w:rPr>
          <w:rtl w:val="0"/>
        </w:rPr>
        <w:t xml:space="preserve"> La solución utiliza servicios externos para enviar avisos operativos por los canales habilitados, como correo o mensajería.</w:t>
        <w:br/>
      </w:r>
      <w:r w:rsidDel="00000000" w:rsidR="00000000" w:rsidRPr="00000000">
        <w:rPr>
          <w:b w:val="1"/>
          <w:bCs w:val="1"/>
          <w:rtl w:val="0"/>
        </w:rPr>
        <w:t xml:space="preserve">[Evento de riesgo / Incertidumbre]</w:t>
      </w:r>
      <w:r w:rsidDel="00000000" w:rsidR="00000000" w:rsidRPr="00000000">
        <w:rPr>
          <w:rtl w:val="0"/>
        </w:rPr>
        <w:t xml:space="preserve"> Al enviar un aviso operativo, el proveedor del canal podría no responder o informar que el envío falló.</w:t>
        <w:br/>
      </w:r>
      <w:r w:rsidDel="00000000" w:rsidR="00000000" w:rsidRPr="00000000">
        <w:rPr>
          <w:b w:val="1"/>
          <w:bCs w:val="1"/>
          <w:rtl w:val="0"/>
        </w:rPr>
        <w:t xml:space="preserve">[Efecto o impacto en el proyecto]</w:t>
      </w:r>
      <w:r w:rsidDel="00000000" w:rsidR="00000000" w:rsidRPr="00000000">
        <w:rPr>
          <w:rtl w:val="0"/>
        </w:rPr>
        <w:t xml:space="preserve"> El aviso quedaría pendiente o sin entrega comprobada. LafroX tendría que registrar el fallo, reintentar el envío según la política definida y verificar el resultado; esto podría retrasar la comunicación de la operación.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Por qué compete a LafroX:</w:t>
      </w:r>
      <w:r w:rsidDel="00000000" w:rsidR="00000000" w:rsidRPr="00000000">
        <w:rPr>
          <w:rtl w:val="0"/>
        </w:rPr>
        <w:t xml:space="preserve"> LafroX integra los canales de aviso y debe conservar evidencia del estado de cada envío. No puede garantizar que una persona lea el mensaje.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Contraste con lo ya definido:</w:t>
      </w:r>
      <w:r w:rsidDel="00000000" w:rsidR="00000000" w:rsidRPr="00000000">
        <w:rPr>
          <w:rtl w:val="0"/>
        </w:rPr>
        <w:t xml:space="preserve"> Los canales y la diferencia entre entrega y lectura ya están definidos. El riesgo es un fallo concreto del proveedor al enviar el aviso, no una decisión pendiente sobre qué canal usar.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p. 144: Fallas de notificaciones</w:t>
      </w:r>
      <w:r w:rsidDel="00000000" w:rsidR="00000000" w:rsidRPr="00000000">
        <w:rPr>
          <w:rtl w:val="0"/>
        </w:rPr>
        <w:t xml:space="preserve">; </w:t>
      </w:r>
      <w:r w:rsidDel="00000000" w:rsidR="00000000" w:rsidRPr="00000000">
        <w:rPr>
          <w:rtl w:val="0"/>
        </w:rPr>
        <w:t xml:space="preserve">SD5, p. 19: §5.1.9</w:t>
      </w:r>
      <w:r w:rsidDel="00000000" w:rsidR="00000000" w:rsidRPr="00000000">
        <w:rPr>
          <w:rtl w:val="0"/>
        </w:rPr>
        <w:t xml:space="preserve">; </w:t>
      </w:r>
      <w:r w:rsidDel="00000000" w:rsidR="00000000" w:rsidRPr="00000000">
        <w:rPr>
          <w:rtl w:val="0"/>
        </w:rPr>
        <w:t xml:space="preserve">SD5, p. 20: Evidencia de apertura</w:t>
      </w:r>
      <w:r w:rsidDel="00000000" w:rsidR="00000000" w:rsidRPr="00000000">
        <w:rPr>
          <w:rtl w:val="0"/>
        </w:rPr>
        <w:t xml:space="preserve">.</w:t>
      </w:r>
    </w:p>
    <w:p w:rsidR="00000000" w:rsidDel="00000000" w:rsidP="00000000" w:rsidRDefault="00000000" w:rsidRPr="00000000" w14:paraId="00000125">
      <w:pPr>
        <w:pStyle w:val="Heading3"/>
        <w:rPr/>
      </w:pPr>
      <w:bookmarkStart w:colFirst="0" w:colLast="0" w:name="_uet603j6brk4" w:id="18"/>
      <w:bookmarkEnd w:id="18"/>
      <w:r w:rsidDel="00000000" w:rsidR="00000000" w:rsidRPr="00000000">
        <w:rPr>
          <w:rtl w:val="0"/>
        </w:rPr>
        <w:t>REC-015 — El servicio externo de mapas limita las consultas y deja una planificación incompleta</w:t>
      </w:r>
    </w:p>
    <w:p w:rsidR="00000000" w:rsidDel="00000000" w:rsidP="00000000" w:rsidRDefault="00000000" w:rsidRPr="00000000" w14:paraId="00000126">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[Causa]</w:t>
      </w:r>
      <w:r w:rsidDel="00000000" w:rsidR="00000000" w:rsidRPr="00000000">
        <w:rPr>
          <w:rtl w:val="0"/>
        </w:rPr>
        <w:t xml:space="preserve"> La solución consulta un servicio externo de mapas para mostrar ubicaciones y apoyar la planificación de rutas. Ese servicio aplica límites de uso.</w:t>
        <w:br/>
      </w:r>
      <w:r w:rsidDel="00000000" w:rsidR="00000000" w:rsidRPr="00000000">
        <w:rPr>
          <w:b w:val="1"/>
          <w:bCs w:val="1"/>
          <w:rtl w:val="0"/>
        </w:rPr>
        <w:t xml:space="preserve">[Evento de riesgo / Incertidumbre]</w:t>
      </w:r>
      <w:r w:rsidDel="00000000" w:rsidR="00000000" w:rsidRPr="00000000">
        <w:rPr>
          <w:rtl w:val="0"/>
        </w:rPr>
        <w:t xml:space="preserve"> Durante una consulta, el proveedor podría rechazar nuevas solicitudes porque se alcanzó su límite permitido.</w:t>
        <w:br/>
      </w:r>
      <w:r w:rsidDel="00000000" w:rsidR="00000000" w:rsidRPr="00000000">
        <w:rPr>
          <w:b w:val="1"/>
          <w:bCs w:val="1"/>
          <w:rtl w:val="0"/>
        </w:rPr>
        <w:t xml:space="preserve">[Efecto o impacto en el proyecto]</w:t>
      </w:r>
      <w:r w:rsidDel="00000000" w:rsidR="00000000" w:rsidRPr="00000000">
        <w:rPr>
          <w:rtl w:val="0"/>
        </w:rPr>
        <w:t xml:space="preserve"> Las consultas afectadas no se completarían y la planificación que depende de ellas podría quedar pendiente. LafroX tendría que atender el incidente, comprobar cuándo se recupera el acceso y aplicar la continuidad ya prevista cuando corresponda.</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Por qué compete a LafroX:</w:t>
      </w:r>
      <w:r w:rsidDel="00000000" w:rsidR="00000000" w:rsidRPr="00000000">
        <w:rPr>
          <w:rtl w:val="0"/>
        </w:rPr>
        <w:t xml:space="preserve"> LafroX mantiene la integración con el servicio de mapas y debe atender sus fallos; el efecto no se limita a una decisión de ruta del cliente.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Contraste con lo ya definido:</w:t>
      </w:r>
      <w:r w:rsidDel="00000000" w:rsidR="00000000" w:rsidRPr="00000000">
        <w:rPr>
          <w:rtl w:val="0"/>
        </w:rPr>
        <w:t xml:space="preserve"> La arquitectura ya contempla límites de uso y tiempos máximos de espera. El riesgo es que el proveedor aplique efectivamente una restricción durante el uso, no que LafroX aún deba decidir cómo integrar el servicio.</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anexos, p. 65: Tabla A.24: INT-10/GIS</w:t>
      </w:r>
      <w:r w:rsidDel="00000000" w:rsidR="00000000" w:rsidRPr="00000000">
        <w:rPr>
          <w:rtl w:val="0"/>
        </w:rPr>
        <w:t xml:space="preserve">; </w:t>
      </w:r>
      <w:r w:rsidDel="00000000" w:rsidR="00000000" w:rsidRPr="00000000">
        <w:rPr>
          <w:rtl w:val="0"/>
        </w:rPr>
        <w:t xml:space="preserve">T-14, p. 87: 8.1.2</w:t>
      </w:r>
      <w:r w:rsidDel="00000000" w:rsidR="00000000" w:rsidRPr="00000000">
        <w:rPr>
          <w:rtl w:val="0"/>
        </w:rPr>
        <w:t xml:space="preserve">.</w:t>
      </w:r>
    </w:p>
    <w:p w:rsidR="00000000" w:rsidDel="00000000" w:rsidP="00000000" w:rsidRDefault="00000000" w:rsidRPr="00000000" w14:paraId="00000131">
      <w:pPr>
        <w:pStyle w:val="Heading3"/>
        <w:rPr/>
      </w:pPr>
      <w:bookmarkStart w:colFirst="0" w:colLast="0" w:name="_g8k9zdz8fr11" w:id="19"/>
      <w:bookmarkEnd w:id="19"/>
      <w:r w:rsidDel="00000000" w:rsidR="00000000" w:rsidRPr="00000000">
        <w:rPr>
          <w:rtl w:val="0"/>
        </w:rPr>
        <w:t xml:space="preserve">REC-027 — Calidad no entrega la matriz térmica aprobada antes de certificar</w:t>
      </w:r>
    </w:p>
    <w:p w:rsidR="00000000" w:rsidDel="00000000" w:rsidP="00000000" w:rsidRDefault="00000000" w:rsidRPr="00000000" w14:paraId="00000132">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[Causa]</w:t>
      </w:r>
      <w:r w:rsidDel="00000000" w:rsidR="00000000" w:rsidRPr="00000000">
        <w:rPr>
          <w:rtl w:val="0"/>
        </w:rPr>
        <w:t xml:space="preserve"> La certificación de la parametrización térmica requiere una matriz de umbrales y duraciones por producto aprobada por Calidad del cliente.</w:t>
        <w:br w:type="textWrapping"/>
      </w:r>
      <w:r w:rsidDel="00000000" w:rsidR="00000000" w:rsidRPr="00000000">
        <w:rPr>
          <w:b w:val="1"/>
          <w:bCs w:val="1"/>
          <w:rtl w:val="0"/>
        </w:rPr>
        <w:t xml:space="preserve">[Evento de riesgo / Incertidumbre]</w:t>
      </w:r>
      <w:r w:rsidDel="00000000" w:rsidR="00000000" w:rsidRPr="00000000">
        <w:rPr>
          <w:rtl w:val="0"/>
        </w:rPr>
        <w:t xml:space="preserve"> Antes de cerrar las pruebas y la marcha blanca de los productos afectados, Calidad del cliente podría no haber aprobado la matriz de umbrales y duraciones por producto.</w:t>
        <w:br w:type="textWrapping"/>
      </w:r>
      <w:r w:rsidDel="00000000" w:rsidR="00000000" w:rsidRPr="00000000">
        <w:rPr>
          <w:b w:val="1"/>
          <w:bCs w:val="1"/>
          <w:rtl w:val="0"/>
        </w:rPr>
        <w:t xml:space="preserve">[Efecto o impacto en el proyecto]</w:t>
      </w:r>
      <w:r w:rsidDel="00000000" w:rsidR="00000000" w:rsidRPr="00000000">
        <w:rPr>
          <w:rtl w:val="0"/>
        </w:rPr>
        <w:t xml:space="preserve"> LafroX no podría completar la evidencia de parametrización y aceptación de ese alcance y tendría que reprogramar sus validaciones.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Por qué compete a LafroX:</w:t>
      </w:r>
      <w:r w:rsidDel="00000000" w:rsidR="00000000" w:rsidRPr="00000000">
        <w:rPr>
          <w:rtl w:val="0"/>
        </w:rPr>
        <w:t xml:space="preserve"> La matriz es una entrada necesaria para las pruebas y la aceptación del alcance que entrega LafroX.</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Contraste con lo ya definido:</w:t>
      </w:r>
      <w:r w:rsidDel="00000000" w:rsidR="00000000" w:rsidRPr="00000000">
        <w:rPr>
          <w:rtl w:val="0"/>
        </w:rPr>
        <w:t xml:space="preserve"> RNG-04 ya fija quién decide y el bloqueo preventivo aplicable. No se reabre esa regla: V-11 mantiene expresamente pendientes los valores aprobados y condiciona a ellos el cierre.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140: RNG-04</w:t>
      </w:r>
      <w:r w:rsidDel="00000000" w:rsidR="00000000" w:rsidRPr="00000000">
        <w:rPr>
          <w:rtl w:val="0"/>
        </w:rPr>
        <w:t xml:space="preserve">; </w:t>
      </w:r>
      <w:r w:rsidDel="00000000" w:rsidR="00000000" w:rsidRPr="00000000">
        <w:rPr>
          <w:rtl w:val="0"/>
        </w:rPr>
        <w:t xml:space="preserve">SD3, anexos, p. 148: V-11</w:t>
      </w:r>
      <w:r w:rsidDel="00000000" w:rsidR="00000000" w:rsidRPr="00000000">
        <w:rPr>
          <w:rtl w:val="0"/>
        </w:rPr>
        <w:t xml:space="preserve">.</w:t>
      </w:r>
    </w:p>
    <w:p w:rsidR="00000000" w:rsidDel="00000000" w:rsidP="00000000" w:rsidRDefault="00000000" w:rsidRPr="00000000" w14:paraId="0000013D">
      <w:pPr>
        <w:pStyle w:val="Heading3"/>
        <w:rPr/>
      </w:pPr>
      <w:bookmarkStart w:colFirst="0" w:colLast="0" w:name="_kgshs6d7v9yr" w:id="20"/>
      <w:bookmarkEnd w:id="20"/>
      <w:r w:rsidDel="00000000" w:rsidR="00000000" w:rsidRPr="00000000">
        <w:rPr>
          <w:rtl w:val="0"/>
        </w:rPr>
        <w:t xml:space="preserve">REC-034 — Equipos que compra el cliente no llegan antes de la ola prevista</w:t>
      </w:r>
    </w:p>
    <w:p w:rsidR="00000000" w:rsidDel="00000000" w:rsidP="00000000" w:rsidRDefault="00000000" w:rsidRPr="00000000" w14:paraId="0000013E">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[Causa]</w:t>
      </w:r>
      <w:r w:rsidDel="00000000" w:rsidR="00000000" w:rsidRPr="00000000">
        <w:rPr>
          <w:rtl w:val="0"/>
        </w:rPr>
        <w:t xml:space="preserve"> El cliente compra el equipamiento de terreno conforme a la especificación de LafroX y debe disponer de él antes de cada ola.</w:t>
        <w:br w:type="textWrapping"/>
      </w:r>
      <w:r w:rsidDel="00000000" w:rsidR="00000000" w:rsidRPr="00000000">
        <w:rPr>
          <w:b w:val="1"/>
          <w:bCs w:val="1"/>
          <w:rtl w:val="0"/>
        </w:rPr>
        <w:t xml:space="preserve">[Evento de riesgo / Incertidumbre]</w:t>
      </w:r>
      <w:r w:rsidDel="00000000" w:rsidR="00000000" w:rsidRPr="00000000">
        <w:rPr>
          <w:rtl w:val="0"/>
        </w:rPr>
        <w:t xml:space="preserve"> Pese a contar con la especificación de LafroX, el cliente o su proveedor podrían no entregar el equipamiento de terreno antes de la ola programada.</w:t>
        <w:br w:type="textWrapping"/>
      </w:r>
      <w:r w:rsidDel="00000000" w:rsidR="00000000" w:rsidRPr="00000000">
        <w:rPr>
          <w:b w:val="1"/>
          <w:bCs w:val="1"/>
          <w:rtl w:val="0"/>
        </w:rPr>
        <w:t xml:space="preserve">[Efecto o impacto en el proyecto]</w:t>
      </w:r>
      <w:r w:rsidDel="00000000" w:rsidR="00000000" w:rsidRPr="00000000">
        <w:rPr>
          <w:rtl w:val="0"/>
        </w:rPr>
        <w:t xml:space="preserve"> LafroX no podría ejecutar con esos equipos la instalación y las pruebas previstas, teniendo que reprogramar despliegue y acompañamiento dentro de los hitos vigentes.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Por qué compete a LafroX:</w:t>
      </w:r>
      <w:r w:rsidDel="00000000" w:rsidR="00000000" w:rsidRPr="00000000">
        <w:rPr>
          <w:rtl w:val="0"/>
        </w:rPr>
        <w:t xml:space="preserve"> Afecta directamente instalación, pruebas y planificación de recursos de LafroX, aunque el comprador sea el cliente.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Contraste con lo ya definido:</w:t>
      </w:r>
      <w:r w:rsidDel="00000000" w:rsidR="00000000" w:rsidRPr="00000000">
        <w:rPr>
          <w:rtl w:val="0"/>
        </w:rPr>
        <w:t xml:space="preserve"> S-20 y la exclusión de compra de hardware de terreno ya fijan al comprador. Se elimina esa ambigüedad del enunciado y se conserva solo la entrega tardía externa; no se presupone mover hitos.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122: S-20</w:t>
      </w:r>
      <w:r w:rsidDel="00000000" w:rsidR="00000000" w:rsidRPr="00000000">
        <w:rPr>
          <w:rtl w:val="0"/>
        </w:rPr>
        <w:t xml:space="preserve">; </w:t>
      </w:r>
      <w:r w:rsidDel="00000000" w:rsidR="00000000" w:rsidRPr="00000000">
        <w:rPr>
          <w:rtl w:val="0"/>
        </w:rPr>
        <w:t xml:space="preserve">SD6, anexos, p. 6: Equipamiento de terreno</w:t>
      </w:r>
      <w:r w:rsidDel="00000000" w:rsidR="00000000" w:rsidRPr="00000000">
        <w:rPr>
          <w:rtl w:val="0"/>
        </w:rPr>
        <w:t xml:space="preserve">; </w:t>
      </w:r>
      <w:r w:rsidDel="00000000" w:rsidR="00000000" w:rsidRPr="00000000">
        <w:rPr>
          <w:rtl w:val="0"/>
        </w:rPr>
        <w:t xml:space="preserve">T-18, p. 5: Calendario de olas</w:t>
      </w:r>
      <w:r w:rsidDel="00000000" w:rsidR="00000000" w:rsidRPr="00000000">
        <w:rPr>
          <w:rtl w:val="0"/>
        </w:rPr>
        <w:t xml:space="preserve">.</w:t>
      </w:r>
    </w:p>
    <w:p w:rsidR="00000000" w:rsidDel="00000000" w:rsidP="00000000" w:rsidRDefault="00000000" w:rsidRPr="00000000" w14:paraId="00000149">
      <w:pPr>
        <w:pStyle w:val="Heading3"/>
        <w:rPr/>
      </w:pPr>
      <w:bookmarkStart w:colFirst="0" w:colLast="0" w:name="_wbd59xe5yk57" w:id="21"/>
      <w:bookmarkEnd w:id="21"/>
      <w:r w:rsidDel="00000000" w:rsidR="00000000" w:rsidRPr="00000000">
        <w:rPr>
          <w:rtl w:val="0"/>
        </w:rPr>
        <w:t>REC-035 — Un transportista no firma a tiempo el acuerdo necesario para incorporarlo al reparto</w:t>
      </w:r>
    </w:p>
    <w:p w:rsidR="00000000" w:rsidDel="00000000" w:rsidP="00000000" w:rsidRDefault="00000000" w:rsidRPr="00000000" w14:paraId="0000014A">
      <w:pPr>
        <w:rPr/>
      </w:pPr>
      <w:r w:rsidDel="00000000" w:rsidR="00000000" w:rsidRPr="00000000">
        <w:rPr>
          <w:b w:val="1"/>
          <w:bCs w:val="1"/>
          <w:rtl w:val="0"/>
        </w:rPr>
        <w:t xml:space="preserve">Rama RBS:</w:t>
      </w:r>
      <w:r w:rsidDel="00000000" w:rsidR="00000000" w:rsidRPr="00000000">
        <w:rPr>
          <w:rtl w:val="0"/>
        </w:rPr>
        <w:t xml:space="preserve"> Personas y adopción.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[Causa]</w:t>
      </w:r>
      <w:r w:rsidDel="00000000" w:rsidR="00000000" w:rsidRPr="00000000">
        <w:rPr>
          <w:rtl w:val="0"/>
        </w:rPr>
        <w:t xml:space="preserve"> Antes de incorporar a una empresa transportista al nuevo proceso de reparto, debe estar firmado su acuerdo operativo.</w:t>
        <w:br/>
      </w:r>
      <w:r w:rsidDel="00000000" w:rsidR="00000000" w:rsidRPr="00000000">
        <w:rPr>
          <w:b w:val="1"/>
          <w:bCs w:val="1"/>
          <w:rtl w:val="0"/>
        </w:rPr>
        <w:t xml:space="preserve">[Evento de riesgo / Incertidumbre]</w:t>
      </w:r>
      <w:r w:rsidDel="00000000" w:rsidR="00000000" w:rsidRPr="00000000">
        <w:rPr>
          <w:rtl w:val="0"/>
        </w:rPr>
        <w:t xml:space="preserve"> Una de las empresas transportistas podría no firmar el acuerdo antes de la ola de implantación en la que estaba prevista.</w:t>
        <w:br/>
      </w:r>
      <w:r w:rsidDel="00000000" w:rsidR="00000000" w:rsidRPr="00000000">
        <w:rPr>
          <w:b w:val="1"/>
          <w:bCs w:val="1"/>
          <w:rtl w:val="0"/>
        </w:rPr>
        <w:t xml:space="preserve">[Efecto o impacto en el proyecto]</w:t>
      </w:r>
      <w:r w:rsidDel="00000000" w:rsidR="00000000" w:rsidRPr="00000000">
        <w:rPr>
          <w:rtl w:val="0"/>
        </w:rPr>
        <w:t xml:space="preserve"> Sus conductores no podrían incorporarse ni completar las pruebas en esa ola. LafroX tendría que reorganizar la capacitación y las pruebas, y quedaría pendiente demostrar la cobertura de ese transportista.</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Por qué compete a LafroX:</w:t>
      </w:r>
      <w:r w:rsidDel="00000000" w:rsidR="00000000" w:rsidRPr="00000000">
        <w:rPr>
          <w:rtl w:val="0"/>
        </w:rPr>
        <w:t xml:space="preserve"> El acuerdo firmado permite que LafroX incorpore, capacite y pruebe a los conductores de esa empresa.</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Contraste con lo ya definido:</w:t>
      </w:r>
      <w:r w:rsidDel="00000000" w:rsidR="00000000" w:rsidRPr="00000000">
        <w:rPr>
          <w:rtl w:val="0"/>
        </w:rPr>
        <w:t xml:space="preserve"> La obligación de firmar antes de incorporar al transportista ya está definida. El riesgo es la demora de una empresa concreta; dejarla fuera de una ola no elimina el alcance que debe acreditarse al cierre.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153: Empresas transportistas</w:t>
      </w:r>
      <w:r w:rsidDel="00000000" w:rsidR="00000000" w:rsidRPr="00000000">
        <w:rPr>
          <w:rtl w:val="0"/>
        </w:rPr>
        <w:t xml:space="preserve">; </w:t>
      </w:r>
      <w:r w:rsidDel="00000000" w:rsidR="00000000" w:rsidRPr="00000000">
        <w:rPr>
          <w:rtl w:val="0"/>
        </w:rPr>
        <w:t xml:space="preserve">T-18, p. 13: Incorporación de transportistas</w:t>
      </w:r>
      <w:r w:rsidDel="00000000" w:rsidR="00000000" w:rsidRPr="00000000">
        <w:rPr>
          <w:rtl w:val="0"/>
        </w:rPr>
        <w:t xml:space="preserve">; </w:t>
      </w:r>
      <w:r w:rsidDel="00000000" w:rsidR="00000000" w:rsidRPr="00000000">
        <w:rPr>
          <w:rtl w:val="0"/>
        </w:rPr>
        <w:t xml:space="preserve">SD6, anexos, p. 7: Acuerdos con transportistas</w:t>
      </w:r>
      <w:r w:rsidDel="00000000" w:rsidR="00000000" w:rsidRPr="00000000">
        <w:rPr>
          <w:rtl w:val="0"/>
        </w:rPr>
        <w:t xml:space="preserve">.</w:t>
      </w:r>
    </w:p>
    <w:p w:rsidR="00000000" w:rsidDel="00000000" w:rsidP="00000000" w:rsidRDefault="00000000" w:rsidRPr="00000000" w14:paraId="00000155">
      <w:pPr>
        <w:pStyle w:val="Heading3"/>
        <w:rPr/>
      </w:pPr>
      <w:bookmarkStart w:colFirst="0" w:colLast="0" w:name="_2tpdbflkqcpa" w:id="22"/>
      <w:bookmarkEnd w:id="22"/>
      <w:r w:rsidDel="00000000" w:rsidR="00000000" w:rsidRPr="00000000">
        <w:rPr>
          <w:rtl w:val="0"/>
        </w:rPr>
        <w:t>REC-036 — Un transportista no permite instalar el equipo que registra la temperatura de su camión</w:t>
      </w:r>
    </w:p>
    <w:p w:rsidR="00000000" w:rsidDel="00000000" w:rsidP="00000000" w:rsidRDefault="00000000" w:rsidRPr="00000000" w14:paraId="00000156">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[Causa]</w:t>
      </w:r>
      <w:r w:rsidDel="00000000" w:rsidR="00000000" w:rsidRPr="00000000">
        <w:rPr>
          <w:rtl w:val="0"/>
        </w:rPr>
        <w:t xml:space="preserve"> La solución prevé instalar un termógrafo, equipo que registra la temperatura, en camiones refrigerados de terceros. Para hacerlo se necesita acceso al vehículo y autorización de su propietario.</w:t>
        <w:br/>
      </w:r>
      <w:r w:rsidDel="00000000" w:rsidR="00000000" w:rsidRPr="00000000">
        <w:rPr>
          <w:b w:val="1"/>
          <w:bCs w:val="1"/>
          <w:rtl w:val="0"/>
        </w:rPr>
        <w:t xml:space="preserve">[Evento de riesgo / Incertidumbre]</w:t>
      </w:r>
      <w:r w:rsidDel="00000000" w:rsidR="00000000" w:rsidRPr="00000000">
        <w:rPr>
          <w:rtl w:val="0"/>
        </w:rPr>
        <w:t xml:space="preserve"> Al preparar una ruta refrigerada, la empresa dueña del camión podría negar el acceso o la autorización para instalar ese equipo.</w:t>
        <w:br/>
      </w:r>
      <w:r w:rsidDel="00000000" w:rsidR="00000000" w:rsidRPr="00000000">
        <w:rPr>
          <w:b w:val="1"/>
          <w:bCs w:val="1"/>
          <w:rtl w:val="0"/>
        </w:rPr>
        <w:t xml:space="preserve">[Efecto o impacto en el proyecto]</w:t>
      </w:r>
      <w:r w:rsidDel="00000000" w:rsidR="00000000" w:rsidRPr="00000000">
        <w:rPr>
          <w:rtl w:val="0"/>
        </w:rPr>
        <w:t xml:space="preserve"> LafroX no podría instalarlo ni integrarlo antes de incorporar esa ruta. La evidencia de temperatura que debía obtenerse mediante el equipo quedaría pendiente de una solución acordada y comprobada.</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Por qué compete a LafroX:</w:t>
      </w:r>
      <w:r w:rsidDel="00000000" w:rsidR="00000000" w:rsidRPr="00000000">
        <w:rPr>
          <w:rtl w:val="0"/>
        </w:rPr>
        <w:t xml:space="preserve"> LafroX especifica e integra el equipo, aunque su compra corresponde al cliente. La negativa del transportista impide ejecutar y verificar esa parte de la implantación.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Contraste con lo ya definido:</w:t>
      </w:r>
      <w:r w:rsidDel="00000000" w:rsidR="00000000" w:rsidRPr="00000000">
        <w:rPr>
          <w:rtl w:val="0"/>
        </w:rPr>
        <w:t xml:space="preserve"> La responsabilidad de compra e integración ya está definida. Lo incierto es la autorización del dueño del camión; no se presupone que otro dato de temperatura cumpla automáticamente el requisito.</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126: S-28</w:t>
      </w:r>
      <w:r w:rsidDel="00000000" w:rsidR="00000000" w:rsidRPr="00000000">
        <w:rPr>
          <w:rtl w:val="0"/>
        </w:rPr>
        <w:t xml:space="preserve">; </w:t>
      </w:r>
      <w:r w:rsidDel="00000000" w:rsidR="00000000" w:rsidRPr="00000000">
        <w:rPr>
          <w:rtl w:val="0"/>
        </w:rPr>
        <w:t xml:space="preserve">SD6, anexos, p. 6: Equipos y registro de frío</w:t>
      </w:r>
      <w:r w:rsidDel="00000000" w:rsidR="00000000" w:rsidRPr="00000000">
        <w:rPr>
          <w:rtl w:val="0"/>
        </w:rPr>
        <w:t xml:space="preserve">.</w:t>
      </w:r>
    </w:p>
    <w:p w:rsidR="00000000" w:rsidDel="00000000" w:rsidP="00000000" w:rsidRDefault="00000000" w:rsidRPr="00000000" w14:paraId="00000161">
      <w:pPr>
        <w:pStyle w:val="Heading3"/>
        <w:rPr/>
      </w:pPr>
      <w:bookmarkStart w:colFirst="0" w:colLast="0" w:name="_ovb4vvll7xgq" w:id="23"/>
      <w:bookmarkEnd w:id="23"/>
      <w:r w:rsidDel="00000000" w:rsidR="00000000" w:rsidRPr="00000000">
        <w:rPr>
          <w:rtl w:val="0"/>
        </w:rPr>
        <w:t xml:space="preserve">REC-039 — Usuarios mantienen el proceso anterior en lugar de registrar en la solución</w:t>
      </w:r>
    </w:p>
    <w:p w:rsidR="00000000" w:rsidDel="00000000" w:rsidP="00000000" w:rsidRDefault="00000000" w:rsidRPr="00000000" w14:paraId="00000162">
      <w:pPr>
        <w:rPr/>
      </w:pPr>
      <w:r w:rsidDel="00000000" w:rsidR="00000000" w:rsidRPr="00000000">
        <w:rPr>
          <w:b w:val="1"/>
          <w:bCs w:val="1"/>
          <w:rtl w:val="0"/>
        </w:rPr>
        <w:t xml:space="preserve">Rama RBS:</w:t>
      </w:r>
      <w:r w:rsidDel="00000000" w:rsidR="00000000" w:rsidRPr="00000000">
        <w:rPr>
          <w:rtl w:val="0"/>
        </w:rPr>
        <w:t xml:space="preserve"> Personas y adopción.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[Causa]</w:t>
      </w:r>
      <w:r w:rsidDel="00000000" w:rsidR="00000000" w:rsidRPr="00000000">
        <w:rPr>
          <w:rtl w:val="0"/>
        </w:rPr>
        <w:t xml:space="preserve"> La implantación cambia hábitos de trabajo y exige que los usuarios incorporen sus transacciones al registro oficial de la solución.</w:t>
        <w:br w:type="textWrapping"/>
      </w:r>
      <w:r w:rsidDel="00000000" w:rsidR="00000000" w:rsidRPr="00000000">
        <w:rPr>
          <w:b w:val="1"/>
          <w:bCs w:val="1"/>
          <w:rtl w:val="0"/>
        </w:rPr>
        <w:t xml:space="preserve">[Evento de riesgo / Incertidumbre]</w:t>
      </w:r>
      <w:r w:rsidDel="00000000" w:rsidR="00000000" w:rsidRPr="00000000">
        <w:rPr>
          <w:rtl w:val="0"/>
        </w:rPr>
        <w:t xml:space="preserve"> Durante una ola, parte de los usuarios podría resistirse al cambio y continuar registrando exclusivamente en el procedimiento anterior, sin incorporar sus transacciones al registro oficial de la solución.</w:t>
        <w:br w:type="textWrapping"/>
      </w:r>
      <w:r w:rsidDel="00000000" w:rsidR="00000000" w:rsidRPr="00000000">
        <w:rPr>
          <w:b w:val="1"/>
          <w:bCs w:val="1"/>
          <w:rtl w:val="0"/>
        </w:rPr>
        <w:t xml:space="preserve">[Efecto o impacto en el proyecto]</w:t>
      </w:r>
      <w:r w:rsidDel="00000000" w:rsidR="00000000" w:rsidRPr="00000000">
        <w:rPr>
          <w:rtl w:val="0"/>
        </w:rPr>
        <w:t xml:space="preserve"> LafroX no podría acreditar la cobertura de adopción requerida para cerrar esa ola y tendría que extender la intervención de implantación.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Por qué compete a LafroX:</w:t>
      </w:r>
      <w:r w:rsidDel="00000000" w:rsidR="00000000" w:rsidRPr="00000000">
        <w:rPr>
          <w:rtl w:val="0"/>
        </w:rPr>
        <w:t xml:space="preserve"> La cobertura de usuarios y transacciones es condición de aceptación del trabajo de LafroX, además de afectar la operación del cliente.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Contraste con lo ya definido:</w:t>
      </w:r>
      <w:r w:rsidDel="00000000" w:rsidR="00000000" w:rsidRPr="00000000">
        <w:rPr>
          <w:rtl w:val="0"/>
        </w:rPr>
        <w:t xml:space="preserve"> La obligación de registrar la operación y certificar usuarios ya está definida. Se identifica un comportamiento de resistencia, no una duda sobre cuál es la meta ni una admisión de incapacidad de capacitación.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T-14, p. 84: Gestión del cambio</w:t>
      </w:r>
      <w:r w:rsidDel="00000000" w:rsidR="00000000" w:rsidRPr="00000000">
        <w:rPr>
          <w:rtl w:val="0"/>
        </w:rPr>
        <w:t xml:space="preserve">; </w:t>
      </w:r>
      <w:r w:rsidDel="00000000" w:rsidR="00000000" w:rsidRPr="00000000">
        <w:rPr>
          <w:rtl w:val="0"/>
        </w:rPr>
        <w:t xml:space="preserve">T-18, p. 13: §7.2.8</w:t>
      </w:r>
      <w:r w:rsidDel="00000000" w:rsidR="00000000" w:rsidRPr="00000000">
        <w:rPr>
          <w:rtl w:val="0"/>
        </w:rPr>
        <w:t xml:space="preserve">.</w:t>
      </w:r>
    </w:p>
    <w:p w:rsidR="00000000" w:rsidDel="00000000" w:rsidP="00000000" w:rsidRDefault="00000000" w:rsidRPr="00000000" w14:paraId="0000016D">
      <w:pPr>
        <w:pStyle w:val="Heading3"/>
        <w:rPr/>
      </w:pPr>
      <w:bookmarkStart w:colFirst="0" w:colLast="0" w:name="_eyv6tyspzuqm" w:id="24"/>
      <w:bookmarkEnd w:id="24"/>
      <w:r w:rsidDel="00000000" w:rsidR="00000000" w:rsidRPr="00000000">
        <w:rPr>
          <w:rtl w:val="0"/>
        </w:rPr>
        <w:t xml:space="preserve">REC-041 — Planificador deja de estar disponible antes de validar sus excepciones</w:t>
      </w:r>
    </w:p>
    <w:p w:rsidR="00000000" w:rsidDel="00000000" w:rsidP="00000000" w:rsidRDefault="00000000" w:rsidRPr="00000000" w14:paraId="0000016E">
      <w:pPr>
        <w:rPr/>
      </w:pPr>
      <w:r w:rsidDel="00000000" w:rsidR="00000000" w:rsidRPr="00000000">
        <w:rPr>
          <w:b w:val="1"/>
          <w:bCs w:val="1"/>
          <w:rtl w:val="0"/>
        </w:rPr>
        <w:t xml:space="preserve">Rama RBS:</w:t>
      </w:r>
      <w:r w:rsidDel="00000000" w:rsidR="00000000" w:rsidRPr="00000000">
        <w:rPr>
          <w:rtl w:val="0"/>
        </w:rPr>
        <w:t xml:space="preserve"> Personas y adopción.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[Causa]</w:t>
      </w:r>
      <w:r w:rsidDel="00000000" w:rsidR="00000000" w:rsidRPr="00000000">
        <w:rPr>
          <w:rtl w:val="0"/>
        </w:rPr>
        <w:t xml:space="preserve"> Parte de las reglas y excepciones de rutas reside en el planificador del cliente y debe transferirse y validarse mientras esté disponible.</w:t>
        <w:br w:type="textWrapping"/>
      </w:r>
      <w:r w:rsidDel="00000000" w:rsidR="00000000" w:rsidRPr="00000000">
        <w:rPr>
          <w:b w:val="1"/>
          <w:bCs w:val="1"/>
          <w:rtl w:val="0"/>
        </w:rPr>
        <w:t xml:space="preserve">[Evento de riesgo / Incertidumbre]</w:t>
      </w:r>
      <w:r w:rsidDel="00000000" w:rsidR="00000000" w:rsidRPr="00000000">
        <w:rPr>
          <w:rtl w:val="0"/>
        </w:rPr>
        <w:t xml:space="preserve"> Durante la captura y validación temprana de reglas de rutas, el planificador del cliente podría retirarse o dejar de estar disponible antes de transferir las excepciones que aún no estén documentadas.</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reconstruir y validar ese conocimiento con el ayudante y antecedentes históricos, afectando sus talleres y pruebas de rutas.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Por qué compete a LafroX:</w:t>
      </w:r>
      <w:r w:rsidDel="00000000" w:rsidR="00000000" w:rsidRPr="00000000">
        <w:rPr>
          <w:rtl w:val="0"/>
        </w:rPr>
        <w:t xml:space="preserve"> Los talleres, la parametrización y la validación del módulo de rutas son actividades de LafroX.</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Contraste con lo ya definido:</w:t>
      </w:r>
      <w:r w:rsidDel="00000000" w:rsidR="00000000" w:rsidRPr="00000000">
        <w:rPr>
          <w:rtl w:val="0"/>
        </w:rPr>
        <w:t xml:space="preserve"> S-16 ya fija transferencia temprana y una fuente alternativa. V-14 no confirma la disponibilidad efectiva del experto; una respuesta prevista no garantiza que el conocimiento esté disponible cuando se necesita.</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120: S-16</w:t>
      </w:r>
      <w:r w:rsidDel="00000000" w:rsidR="00000000" w:rsidRPr="00000000">
        <w:rPr>
          <w:rtl w:val="0"/>
        </w:rPr>
        <w:t xml:space="preserve">; </w:t>
      </w:r>
      <w:r w:rsidDel="00000000" w:rsidR="00000000" w:rsidRPr="00000000">
        <w:rPr>
          <w:rtl w:val="0"/>
        </w:rPr>
        <w:t xml:space="preserve">SD3, anexos, p. 149: V-14</w:t>
      </w:r>
      <w:r w:rsidDel="00000000" w:rsidR="00000000" w:rsidRPr="00000000">
        <w:rPr>
          <w:rtl w:val="0"/>
        </w:rPr>
        <w:t xml:space="preserve">; </w:t>
      </w:r>
      <w:r w:rsidDel="00000000" w:rsidR="00000000" w:rsidRPr="00000000">
        <w:rPr>
          <w:rtl w:val="0"/>
        </w:rPr>
        <w:t xml:space="preserve">SD4, p. 72: Planificador experto</w:t>
      </w:r>
      <w:r w:rsidDel="00000000" w:rsidR="00000000" w:rsidRPr="00000000">
        <w:rPr>
          <w:rtl w:val="0"/>
        </w:rPr>
        <w:t xml:space="preserve">.</w:t>
      </w:r>
    </w:p>
    <w:p w:rsidR="00000000" w:rsidDel="00000000" w:rsidP="00000000" w:rsidRDefault="00000000" w:rsidRPr="00000000" w14:paraId="00000179">
      <w:pPr>
        <w:pStyle w:val="Heading3"/>
        <w:rPr/>
      </w:pPr>
      <w:bookmarkStart w:colFirst="0" w:colLast="0" w:name="_jkgzw42q6i10" w:id="25"/>
      <w:bookmarkEnd w:id="25"/>
      <w:r w:rsidDel="00000000" w:rsidR="00000000" w:rsidRPr="00000000">
        <w:rPr>
          <w:rtl w:val="0"/>
        </w:rPr>
        <w:t>REC-042 — Los usuarios no pueden asistir a la capacitación prevista antes de cerrar una ola</w:t>
      </w:r>
    </w:p>
    <w:p w:rsidR="00000000" w:rsidDel="00000000" w:rsidP="00000000" w:rsidRDefault="00000000" w:rsidRPr="00000000" w14:paraId="0000017A">
      <w:pPr>
        <w:rPr/>
      </w:pPr>
      <w:r w:rsidDel="00000000" w:rsidR="00000000" w:rsidRPr="00000000">
        <w:rPr>
          <w:b w:val="1"/>
          <w:bCs w:val="1"/>
          <w:rtl w:val="0"/>
        </w:rPr>
        <w:t xml:space="preserve">Rama RBS:</w:t>
      </w:r>
      <w:r w:rsidDel="00000000" w:rsidR="00000000" w:rsidRPr="00000000">
        <w:rPr>
          <w:rtl w:val="0"/>
        </w:rPr>
        <w:t xml:space="preserve"> Personas y adopción.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[Causa]</w:t>
      </w:r>
      <w:r w:rsidDel="00000000" w:rsidR="00000000" w:rsidRPr="00000000">
        <w:rPr>
          <w:rtl w:val="0"/>
        </w:rPr>
        <w:t xml:space="preserve"> La capacitación y la certificación de usuarios deben realizarse sin detener la preparación de pedidos, la venta ni el reparto. Para ello, el cliente debe disponer de esas personas en los horarios acordados.</w:t>
        <w:br/>
      </w:r>
      <w:r w:rsidDel="00000000" w:rsidR="00000000" w:rsidRPr="00000000">
        <w:rPr>
          <w:b w:val="1"/>
          <w:bCs w:val="1"/>
          <w:rtl w:val="0"/>
        </w:rPr>
        <w:t xml:space="preserve">[Evento de riesgo / Incertidumbre]</w:t>
      </w:r>
      <w:r w:rsidDel="00000000" w:rsidR="00000000" w:rsidRPr="00000000">
        <w:rPr>
          <w:rtl w:val="0"/>
        </w:rPr>
        <w:t xml:space="preserve"> Las necesidades de la operación podrían impedir que algunos usuarios asistan a las sesiones de formación y evaluación antes del cierre de su ola de implantación.</w:t>
        <w:br/>
      </w:r>
      <w:r w:rsidDel="00000000" w:rsidR="00000000" w:rsidRPr="00000000">
        <w:rPr>
          <w:b w:val="1"/>
          <w:bCs w:val="1"/>
          <w:rtl w:val="0"/>
        </w:rPr>
        <w:t xml:space="preserve">[Efecto o impacto en el proyecto]</w:t>
      </w:r>
      <w:r w:rsidDel="00000000" w:rsidR="00000000" w:rsidRPr="00000000">
        <w:rPr>
          <w:rtl w:val="0"/>
        </w:rPr>
        <w:t xml:space="preserve"> LafroX tendría que reprogramar las sesiones y el acompañamiento. No podría acreditar que esos usuarios están preparados para usar la solución hasta que completen la evaluación.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Por qué compete a LafroX:</w:t>
      </w:r>
      <w:r w:rsidDel="00000000" w:rsidR="00000000" w:rsidRPr="00000000">
        <w:rPr>
          <w:rtl w:val="0"/>
        </w:rPr>
        <w:t xml:space="preserve"> LafroX debe impartir la formación y presentar la evidencia de certificación de los usuarios de cada ola.</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Contraste con lo ya definido:</w:t>
      </w:r>
      <w:r w:rsidDel="00000000" w:rsidR="00000000" w:rsidRPr="00000000">
        <w:rPr>
          <w:rtl w:val="0"/>
        </w:rPr>
        <w:t xml:space="preserve"> Las modalidades de capacitación sin detener la operación ya están definidas. El riesgo es que los usuarios no estén disponibles en las sesiones acordadas, no que falte decidir cómo capacitarlos.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T-18, p. 11: §7.2.7</w:t>
      </w:r>
      <w:r w:rsidDel="00000000" w:rsidR="00000000" w:rsidRPr="00000000">
        <w:rPr>
          <w:rtl w:val="0"/>
        </w:rPr>
        <w:t xml:space="preserve">; </w:t>
      </w:r>
      <w:r w:rsidDel="00000000" w:rsidR="00000000" w:rsidRPr="00000000">
        <w:rPr>
          <w:rtl w:val="0"/>
        </w:rPr>
        <w:t xml:space="preserve">T-18, p. 13: Certificación de usuarios</w:t>
      </w:r>
      <w:r w:rsidDel="00000000" w:rsidR="00000000" w:rsidRPr="00000000">
        <w:rPr>
          <w:rtl w:val="0"/>
        </w:rPr>
        <w:t xml:space="preserve">; </w:t>
      </w:r>
      <w:r w:rsidDel="00000000" w:rsidR="00000000" w:rsidRPr="00000000">
        <w:rPr>
          <w:rtl w:val="0"/>
        </w:rPr>
        <w:t xml:space="preserve">T-14, p. 81: Capacitación</w:t>
      </w:r>
      <w:r w:rsidDel="00000000" w:rsidR="00000000" w:rsidRPr="00000000">
        <w:rPr>
          <w:rtl w:val="0"/>
        </w:rPr>
        <w:t xml:space="preserve">.</w:t>
      </w:r>
    </w:p>
    <w:p w:rsidR="00000000" w:rsidDel="00000000" w:rsidP="00000000" w:rsidRDefault="00000000" w:rsidRPr="00000000" w14:paraId="00000185">
      <w:pPr>
        <w:pStyle w:val="Heading3"/>
        <w:rPr/>
      </w:pPr>
      <w:bookmarkStart w:colFirst="0" w:colLast="0" w:name="_r20iqy5ndjjp" w:id="26"/>
      <w:bookmarkEnd w:id="26"/>
      <w:r w:rsidDel="00000000" w:rsidR="00000000" w:rsidRPr="00000000">
        <w:rPr>
          <w:rtl w:val="0"/>
        </w:rPr>
        <w:t xml:space="preserve">REC-043 — Contraparte no entrega una validación necesaria en la fecha prevista</w:t>
      </w:r>
    </w:p>
    <w:p w:rsidR="00000000" w:rsidDel="00000000" w:rsidP="00000000" w:rsidRDefault="00000000" w:rsidRPr="00000000" w14:paraId="00000186">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[Causa]</w:t>
      </w:r>
      <w:r w:rsidDel="00000000" w:rsidR="00000000" w:rsidRPr="00000000">
        <w:rPr>
          <w:rtl w:val="0"/>
        </w:rPr>
        <w:t xml:space="preserve"> Los diseños, pruebas y aceptaciones incluyen actividades dependientes de validaciones o decisiones de las áreas del cliente.</w:t>
        <w:br w:type="textWrapping"/>
      </w:r>
      <w:r w:rsidDel="00000000" w:rsidR="00000000" w:rsidRPr="00000000">
        <w:rPr>
          <w:b w:val="1"/>
          <w:bCs w:val="1"/>
          <w:rtl w:val="0"/>
        </w:rPr>
        <w:t xml:space="preserve">[Evento de riesgo / Incertidumbre]</w:t>
      </w:r>
      <w:r w:rsidDel="00000000" w:rsidR="00000000" w:rsidRPr="00000000">
        <w:rPr>
          <w:rtl w:val="0"/>
        </w:rPr>
        <w:t xml:space="preserve"> Antes de completar un diseño, una prueba o una aceptación programada, el área del cliente requerida podría no entregar la validación o decisión necesaria en la fecha acordada para esa actividad.</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detener o repetir las tareas dependientes, consumir holgura y reprogramar recursos.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Por qué compete a LafroX:</w:t>
      </w:r>
      <w:r w:rsidDel="00000000" w:rsidR="00000000" w:rsidRPr="00000000">
        <w:rPr>
          <w:rtl w:val="0"/>
        </w:rPr>
        <w:t xml:space="preserve"> Afecta tareas dependientes y compromisos de entrega de LafroX, no solo la agenda del cliente.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Contraste con lo ya definido:</w:t>
      </w:r>
      <w:r w:rsidDel="00000000" w:rsidR="00000000" w:rsidRPr="00000000">
        <w:rPr>
          <w:rtl w:val="0"/>
        </w:rPr>
        <w:t xml:space="preserve"> Se respetan los plazos de revisión reconocidos al cliente. El evento no es el uso normal de esos plazos ni una aprobación tácita, sino la ausencia de una validación necesaria al agotarse la fecha prevista o acordada.</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T-15, p. 44: §7.5.5: revisión y validación de entregables</w:t>
      </w:r>
      <w:r w:rsidDel="00000000" w:rsidR="00000000" w:rsidRPr="00000000">
        <w:rPr>
          <w:rtl w:val="0"/>
        </w:rPr>
        <w:t xml:space="preserve">.</w:t>
      </w:r>
    </w:p>
    <w:p w:rsidR="00000000" w:rsidDel="00000000" w:rsidP="00000000" w:rsidRDefault="00000000" w:rsidRPr="00000000" w14:paraId="00000191">
      <w:pPr>
        <w:pStyle w:val="Heading3"/>
        <w:rPr/>
      </w:pPr>
      <w:bookmarkStart w:colFirst="0" w:colLast="0" w:name="_7zlga7imzhnk" w:id="27"/>
      <w:bookmarkEnd w:id="27"/>
      <w:r w:rsidDel="00000000" w:rsidR="00000000" w:rsidRPr="00000000">
        <w:rPr>
          <w:rtl w:val="0"/>
        </w:rPr>
        <w:t xml:space="preserve">REC-048 — Proveedor de conectividad interrumpe el enlace de un sitio operado</w:t>
      </w:r>
    </w:p>
    <w:p w:rsidR="00000000" w:rsidDel="00000000" w:rsidP="00000000" w:rsidRDefault="00000000" w:rsidRPr="00000000" w14:paraId="00000192">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[Causa]</w:t>
      </w:r>
      <w:r w:rsidDel="00000000" w:rsidR="00000000" w:rsidRPr="00000000">
        <w:rPr>
          <w:rtl w:val="0"/>
        </w:rPr>
        <w:t xml:space="preserve"> Los sitios utilizan servicios externos de fibra, LTE o satélite cuya conectividad con servicios centrales forma parte del servicio integrado.</w:t>
        <w:br w:type="textWrapping"/>
      </w:r>
      <w:r w:rsidDel="00000000" w:rsidR="00000000" w:rsidRPr="00000000">
        <w:rPr>
          <w:b w:val="1"/>
          <w:bCs w:val="1"/>
          <w:rtl w:val="0"/>
        </w:rPr>
        <w:t xml:space="preserve">[Evento de riesgo / Incertidumbre]</w:t>
      </w:r>
      <w:r w:rsidDel="00000000" w:rsidR="00000000" w:rsidRPr="00000000">
        <w:rPr>
          <w:rtl w:val="0"/>
        </w:rPr>
        <w:t xml:space="preserve"> Durante pruebas u operación de un sitio, el proveedor de fibra, LTE o satélite podría interrumpir el enlace utilizado.</w:t>
        <w:br w:type="textWrapping"/>
      </w:r>
      <w:r w:rsidDel="00000000" w:rsidR="00000000" w:rsidRPr="00000000">
        <w:rPr>
          <w:b w:val="1"/>
          <w:bCs w:val="1"/>
          <w:rtl w:val="0"/>
        </w:rPr>
        <w:t xml:space="preserve">[Efecto o impacto en el proyecto]</w:t>
      </w:r>
      <w:r w:rsidDel="00000000" w:rsidR="00000000" w:rsidRPr="00000000">
        <w:rPr>
          <w:rtl w:val="0"/>
        </w:rPr>
        <w:t xml:space="preserve"> La conexión con servicios centrales quedaría limitada y LafroX tendría que gestionar la restitución con el operador y verificar la posterior sincronización, manteniendo la continuidad local comprometida.</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Por qué compete a LafroX:</w:t>
      </w:r>
      <w:r w:rsidDel="00000000" w:rsidR="00000000" w:rsidRPr="00000000">
        <w:rPr>
          <w:rtl w:val="0"/>
        </w:rPr>
        <w:t xml:space="preserve"> LafroX contrata conectividad y atiende incidencias y continuidad del servicio; existe afectación directa a su operación SRE.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Contraste con lo ya definido:</w:t>
      </w:r>
      <w:r w:rsidDel="00000000" w:rsidR="00000000" w:rsidRPr="00000000">
        <w:rPr>
          <w:rtl w:val="0"/>
        </w:rPr>
        <w:t xml:space="preserve"> La autonomía local y los caminos alternativos son requisitos definidos. Se conserva la interrupción del servicio externo; no se pone en duda la capacidad de operar sin enlace durante el período comprometido.</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SD6, anexos, p. 7: Servicios de conectividad</w:t>
      </w:r>
      <w:r w:rsidDel="00000000" w:rsidR="00000000" w:rsidRPr="00000000">
        <w:rPr>
          <w:rtl w:val="0"/>
        </w:rPr>
        <w:t xml:space="preserve">; </w:t>
      </w:r>
      <w:r w:rsidDel="00000000" w:rsidR="00000000" w:rsidRPr="00000000">
        <w:rPr>
          <w:rtl w:val="0"/>
        </w:rPr>
        <w:t xml:space="preserve">SD4, p. 142: Fallas en enlaces</w:t>
      </w:r>
      <w:r w:rsidDel="00000000" w:rsidR="00000000" w:rsidRPr="00000000">
        <w:rPr>
          <w:rtl w:val="0"/>
        </w:rPr>
        <w:t xml:space="preserve">; </w:t>
      </w:r>
      <w:r w:rsidDel="00000000" w:rsidR="00000000" w:rsidRPr="00000000">
        <w:rPr>
          <w:rtl w:val="0"/>
        </w:rPr>
        <w:t xml:space="preserve">T-14, p. 87: Servicio e incidentes</w:t>
      </w:r>
      <w:r w:rsidDel="00000000" w:rsidR="00000000" w:rsidRPr="00000000">
        <w:rPr>
          <w:rtl w:val="0"/>
        </w:rPr>
        <w:t xml:space="preserve">.</w:t>
      </w:r>
    </w:p>
    <w:p w:rsidR="00000000" w:rsidDel="00000000" w:rsidP="00000000" w:rsidRDefault="00000000" w:rsidRPr="00000000" w14:paraId="0000019D">
      <w:pPr>
        <w:pStyle w:val="Heading3"/>
        <w:rPr/>
      </w:pPr>
      <w:bookmarkStart w:colFirst="0" w:colLast="0" w:name="_mjz65ad2fooz" w:id="28"/>
      <w:bookmarkEnd w:id="28"/>
      <w:r w:rsidDel="00000000" w:rsidR="00000000" w:rsidRPr="00000000">
        <w:rPr>
          <w:rtl w:val="0"/>
        </w:rPr>
        <w:t>REC-049 — Un corte de electricidad supera el tiempo de respaldo de equipos mantenidos por LafroX</w:t>
      </w:r>
    </w:p>
    <w:p w:rsidR="00000000" w:rsidDel="00000000" w:rsidP="00000000" w:rsidRDefault="00000000" w:rsidRPr="00000000" w14:paraId="0000019E">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[Causa]</w:t>
      </w:r>
      <w:r w:rsidDel="00000000" w:rsidR="00000000" w:rsidRPr="00000000">
        <w:rPr>
          <w:rtl w:val="0"/>
        </w:rPr>
        <w:t xml:space="preserve"> Algunos equipos de la infraestructura dependen del suministro eléctrico y cuentan con baterías o generación de respaldo cuya autonomía es limitada.</w:t>
        <w:br/>
      </w:r>
      <w:r w:rsidDel="00000000" w:rsidR="00000000" w:rsidRPr="00000000">
        <w:rPr>
          <w:b w:val="1"/>
          <w:bCs w:val="1"/>
          <w:rtl w:val="0"/>
        </w:rPr>
        <w:t xml:space="preserve">[Evento de riesgo / Incertidumbre]</w:t>
      </w:r>
      <w:r w:rsidDel="00000000" w:rsidR="00000000" w:rsidRPr="00000000">
        <w:rPr>
          <w:rtl w:val="0"/>
        </w:rPr>
        <w:t xml:space="preserve"> En un sitio atendido por LafroX, un corte de electricidad podría durar más que la autonomía del respaldo aplicable a los equipos afectados.</w:t>
        <w:br/>
      </w:r>
      <w:r w:rsidDel="00000000" w:rsidR="00000000" w:rsidRPr="00000000">
        <w:rPr>
          <w:b w:val="1"/>
          <w:bCs w:val="1"/>
          <w:rtl w:val="0"/>
        </w:rPr>
        <w:t xml:space="preserve">[Efecto o impacto en el proyecto]</w:t>
      </w:r>
      <w:r w:rsidDel="00000000" w:rsidR="00000000" w:rsidRPr="00000000">
        <w:rPr>
          <w:rtl w:val="0"/>
        </w:rPr>
        <w:t xml:space="preserve"> Esos equipos podrían dejar de prestar servicio hasta que se restablezca la energía o se recupere la infraestructura. LafroX tendría que atender la incidencia y comprobar la restitución de los componentes bajo su mantenimiento.</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Por qué compete a LafroX:</w:t>
      </w:r>
      <w:r w:rsidDel="00000000" w:rsidR="00000000" w:rsidRPr="00000000">
        <w:rPr>
          <w:rtl w:val="0"/>
        </w:rPr>
        <w:t xml:space="preserve"> El riesgo se limita a la sala técnica, los racks, los equipos de borde u otros componentes que LafroX mantiene; no atribuye a LafroX todas las pérdidas del negocio del cliente por un corte.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Contraste con lo ya definido:</w:t>
      </w:r>
      <w:r w:rsidDel="00000000" w:rsidR="00000000" w:rsidRPr="00000000">
        <w:rPr>
          <w:rtl w:val="0"/>
        </w:rPr>
        <w:t xml:space="preserve"> Los respaldos y sus autonomías ya están definidos. Lo incierto es que un corte externo dure más que el tiempo que esos respaldos pueden cubrir.</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p. 143: Corte de energía y autonomías</w:t>
      </w:r>
      <w:r w:rsidDel="00000000" w:rsidR="00000000" w:rsidRPr="00000000">
        <w:rPr>
          <w:rtl w:val="0"/>
        </w:rPr>
        <w:t xml:space="preserve">; </w:t>
      </w:r>
      <w:r w:rsidDel="00000000" w:rsidR="00000000" w:rsidRPr="00000000">
        <w:rPr>
          <w:rtl w:val="0"/>
        </w:rPr>
        <w:t xml:space="preserve">T-14, p. 90: 8.2.3</w:t>
      </w:r>
      <w:r w:rsidDel="00000000" w:rsidR="00000000" w:rsidRPr="00000000">
        <w:rPr>
          <w:rtl w:val="0"/>
        </w:rPr>
        <w:t xml:space="preserve">.</w:t>
      </w:r>
    </w:p>
    <w:p w:rsidR="00000000" w:rsidDel="00000000" w:rsidP="00000000" w:rsidRDefault="00000000" w:rsidRPr="00000000" w14:paraId="000001A9">
      <w:pPr>
        <w:pStyle w:val="Heading3"/>
        <w:rPr/>
      </w:pPr>
      <w:bookmarkStart w:colFirst="0" w:colLast="0" w:name="_9v3fma8am39p" w:id="29"/>
      <w:bookmarkEnd w:id="29"/>
      <w:r w:rsidDel="00000000" w:rsidR="00000000" w:rsidRPr="00000000">
        <w:rPr>
          <w:rtl w:val="0"/>
        </w:rPr>
        <w:t xml:space="preserve">REC-050 — Región primaria de nube queda indisponible durante el servicio</w:t>
      </w:r>
    </w:p>
    <w:p w:rsidR="00000000" w:rsidDel="00000000" w:rsidP="00000000" w:rsidRDefault="00000000" w:rsidRPr="00000000" w14:paraId="000001AA">
      <w:pPr>
        <w:rPr/>
      </w:pPr>
      <w:r w:rsidDel="00000000" w:rsidR="00000000" w:rsidRPr="00000000">
        <w:rPr>
          <w:b w:val="1"/>
          <w:bCs w:val="1"/>
          <w:rtl w:val="0"/>
        </w:rPr>
        <w:t xml:space="preserve">Rama RBS:</w:t>
      </w:r>
      <w:r w:rsidDel="00000000" w:rsidR="00000000" w:rsidRPr="00000000">
        <w:rPr>
          <w:rtl w:val="0"/>
        </w:rPr>
        <w:t xml:space="preserve"> Solución y tecnología.</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[Causa]</w:t>
      </w:r>
      <w:r w:rsidDel="00000000" w:rsidR="00000000" w:rsidRPr="00000000">
        <w:rPr>
          <w:rtl w:val="0"/>
        </w:rPr>
        <w:t xml:space="preserve"> Los portales y la analítica centrales se alojan en una región de nube externa y su continuidad ante pérdida regional requiere conmutación.</w:t>
        <w:br w:type="textWrapping"/>
      </w:r>
      <w:r w:rsidDel="00000000" w:rsidR="00000000" w:rsidRPr="00000000">
        <w:rPr>
          <w:b w:val="1"/>
          <w:bCs w:val="1"/>
          <w:rtl w:val="0"/>
        </w:rPr>
        <w:t xml:space="preserve">[Evento de riesgo / Incertidumbre]</w:t>
      </w:r>
      <w:r w:rsidDel="00000000" w:rsidR="00000000" w:rsidRPr="00000000">
        <w:rPr>
          <w:rtl w:val="0"/>
        </w:rPr>
        <w:t xml:space="preserve"> Durante la prestación del servicio, una interrupción de la región primaria de nube podría dejar temporalmente sin acceso a los portales y la analítica alojados allí.</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ejecutar y validar la conmutación a la región de recuperación y restituir los canales correspondientes dentro de los objetivos comprometidos.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Por qué compete a LafroX:</w:t>
      </w:r>
      <w:r w:rsidDel="00000000" w:rsidR="00000000" w:rsidRPr="00000000">
        <w:rPr>
          <w:rtl w:val="0"/>
        </w:rPr>
        <w:t xml:space="preserve"> LafroX opera la plataforma central y el servicio de recuperación; la incidencia requiere su intervención técnica.</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Contraste con lo ya definido:</w:t>
      </w:r>
      <w:r w:rsidDel="00000000" w:rsidR="00000000" w:rsidRPr="00000000">
        <w:rPr>
          <w:rtl w:val="0"/>
        </w:rPr>
        <w:t xml:space="preserve"> La arquitectura de recuperación está elegida. Se conserva la falla externa de la región, no una duda sobre la capacidad de recuperar ni una autorización para exceder los objetivos de continuidad.</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p. 135: Contingencia regional</w:t>
      </w:r>
      <w:r w:rsidDel="00000000" w:rsidR="00000000" w:rsidRPr="00000000">
        <w:rPr>
          <w:rtl w:val="0"/>
        </w:rPr>
        <w:t xml:space="preserve">; </w:t>
      </w:r>
      <w:r w:rsidDel="00000000" w:rsidR="00000000" w:rsidRPr="00000000">
        <w:rPr>
          <w:rtl w:val="0"/>
        </w:rPr>
        <w:t xml:space="preserve">SD4, p. 144: Falla de región completa</w:t>
      </w:r>
      <w:r w:rsidDel="00000000" w:rsidR="00000000" w:rsidRPr="00000000">
        <w:rPr>
          <w:rtl w:val="0"/>
        </w:rPr>
        <w:t xml:space="preserve">; </w:t>
      </w:r>
      <w:r w:rsidDel="00000000" w:rsidR="00000000" w:rsidRPr="00000000">
        <w:rPr>
          <w:rtl w:val="0"/>
        </w:rPr>
        <w:t xml:space="preserve">T-14, p. 87: 8.1.3</w:t>
      </w:r>
      <w:r w:rsidDel="00000000" w:rsidR="00000000" w:rsidRPr="00000000">
        <w:rPr>
          <w:rtl w:val="0"/>
        </w:rPr>
        <w:t xml:space="preserve">.</w:t>
      </w:r>
    </w:p>
    <w:p w:rsidR="00000000" w:rsidDel="00000000" w:rsidP="00000000" w:rsidRDefault="00000000" w:rsidRPr="00000000" w14:paraId="000001B5">
      <w:pPr>
        <w:pStyle w:val="Heading3"/>
        <w:rPr/>
      </w:pPr>
      <w:bookmarkStart w:colFirst="0" w:colLast="0" w:name="_aw1icd9x2gn" w:id="30"/>
      <w:bookmarkEnd w:id="30"/>
      <w:r w:rsidDel="00000000" w:rsidR="00000000" w:rsidRPr="00000000">
        <w:rPr>
          <w:rtl w:val="0"/>
        </w:rPr>
        <w:t>REC-057 — Falta la aprobación del cliente para tratar y respaldar datos en las regiones propuestas</w:t>
      </w:r>
    </w:p>
    <w:p w:rsidR="00000000" w:rsidDel="00000000" w:rsidP="00000000" w:rsidRDefault="00000000" w:rsidRPr="00000000" w14:paraId="000001B6">
      <w:pPr>
        <w:rPr/>
      </w:pPr>
      <w:r w:rsidDel="00000000" w:rsidR="00000000" w:rsidRPr="00000000">
        <w:rPr>
          <w:b w:val="1"/>
          <w:bCs w:val="1"/>
          <w:rtl w:val="0"/>
        </w:rPr>
        <w:t xml:space="preserve">Rama RBS:</w:t>
      </w:r>
      <w:r w:rsidDel="00000000" w:rsidR="00000000" w:rsidRPr="00000000">
        <w:rPr>
          <w:rtl w:val="0"/>
        </w:rPr>
        <w:t xml:space="preserve"> Regulatorio y externo.</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[Causa]</w:t>
      </w:r>
      <w:r w:rsidDel="00000000" w:rsidR="00000000" w:rsidRPr="00000000">
        <w:rPr>
          <w:rtl w:val="0"/>
        </w:rPr>
        <w:t xml:space="preserve"> La solución propone operar y recuperarse usando regiones de nube en Brasil y Estados Unidos. El tratamiento y la transferencia internacional de los datos previstos requieren aprobación del cliente.</w:t>
        <w:br/>
      </w:r>
      <w:r w:rsidDel="00000000" w:rsidR="00000000" w:rsidRPr="00000000">
        <w:rPr>
          <w:b w:val="1"/>
          <w:bCs w:val="1"/>
          <w:rtl w:val="0"/>
        </w:rPr>
        <w:t xml:space="preserve">[Evento de riesgo / Incertidumbre]</w:t>
      </w:r>
      <w:r w:rsidDel="00000000" w:rsidR="00000000" w:rsidRPr="00000000">
        <w:rPr>
          <w:rtl w:val="0"/>
        </w:rPr>
        <w:t xml:space="preserve"> Cuando corresponda habilitar esos entornos, el cliente podría no haber otorgado la aprobación necesaria sobre la residencia y transferencia de los datos.</w:t>
        <w:br/>
      </w:r>
      <w:r w:rsidDel="00000000" w:rsidR="00000000" w:rsidRPr="00000000">
        <w:rPr>
          <w:b w:val="1"/>
          <w:bCs w:val="1"/>
          <w:rtl w:val="0"/>
        </w:rPr>
        <w:t xml:space="preserve">[Efecto o impacto en el proyecto]</w:t>
      </w:r>
      <w:r w:rsidDel="00000000" w:rsidR="00000000" w:rsidRPr="00000000">
        <w:rPr>
          <w:rtl w:val="0"/>
        </w:rPr>
        <w:t xml:space="preserve"> LafroX no podría completar la habilitación o la evidencia de recuperación afectada hasta resolver formalmente esa condición con el cliente.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Por qué compete a LafroX:</w:t>
      </w:r>
      <w:r w:rsidDel="00000000" w:rsidR="00000000" w:rsidRPr="00000000">
        <w:rPr>
          <w:rtl w:val="0"/>
        </w:rPr>
        <w:t xml:space="preserve"> La aprobación es una condición para desplegar y demostrar los entornos que LafroX debe entregar.</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Contraste con lo ya definido:</w:t>
      </w:r>
      <w:r w:rsidDel="00000000" w:rsidR="00000000" w:rsidRPr="00000000">
        <w:rPr>
          <w:rtl w:val="0"/>
        </w:rPr>
        <w:t xml:space="preserve"> Las regiones ya están elegidas en el diseño. El riesgo es no contar a tiempo con la aprobación requerida; la elección técnica no reemplaza esa autorización.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anexos, p. 54: ADR-19</w:t>
      </w:r>
      <w:r w:rsidDel="00000000" w:rsidR="00000000" w:rsidRPr="00000000">
        <w:rPr>
          <w:rtl w:val="0"/>
        </w:rPr>
        <w:t xml:space="preserve">; </w:t>
      </w:r>
      <w:r w:rsidDel="00000000" w:rsidR="00000000" w:rsidRPr="00000000">
        <w:rPr>
          <w:rtl w:val="0"/>
        </w:rPr>
        <w:t xml:space="preserve">SD4, p. 104: Residencia y regiones</w:t>
      </w:r>
      <w:r w:rsidDel="00000000" w:rsidR="00000000" w:rsidRPr="00000000">
        <w:rPr>
          <w:rtl w:val="0"/>
        </w:rPr>
        <w:t xml:space="preserve">.</w:t>
      </w:r>
    </w:p>
    <w:p w:rsidR="00000000" w:rsidDel="00000000" w:rsidP="00000000" w:rsidRDefault="00000000" w:rsidRPr="00000000" w14:paraId="000001C1">
      <w:pPr>
        <w:pStyle w:val="Heading3"/>
        <w:rPr/>
      </w:pPr>
      <w:bookmarkStart w:colFirst="0" w:colLast="0" w:name="_p9iujxlwyrm3" w:id="31"/>
      <w:bookmarkEnd w:id="31"/>
      <w:r w:rsidDel="00000000" w:rsidR="00000000" w:rsidRPr="00000000">
        <w:rPr>
          <w:rtl w:val="0"/>
        </w:rPr>
        <w:t xml:space="preserve">REC-058 — Cliente no autoriza la intervención urgente necesaria durante un congelamiento</w:t>
      </w:r>
    </w:p>
    <w:p w:rsidR="00000000" w:rsidDel="00000000" w:rsidP="00000000" w:rsidRDefault="00000000" w:rsidRPr="00000000" w14:paraId="000001C2">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[Causa]</w:t>
      </w:r>
      <w:r w:rsidDel="00000000" w:rsidR="00000000" w:rsidRPr="00000000">
        <w:rPr>
          <w:rtl w:val="0"/>
        </w:rPr>
        <w:t xml:space="preserve"> La remediación de un incidente o vulnerabilidad puede requerir una intervención durante un período congelado, sujeta a autorización del cliente.</w:t>
        <w:br w:type="textWrapping"/>
      </w:r>
      <w:r w:rsidDel="00000000" w:rsidR="00000000" w:rsidRPr="00000000">
        <w:rPr>
          <w:b w:val="1"/>
          <w:bCs w:val="1"/>
          <w:rtl w:val="0"/>
        </w:rPr>
        <w:t xml:space="preserve">[Evento de riesgo / Incertidumbre]</w:t>
      </w:r>
      <w:r w:rsidDel="00000000" w:rsidR="00000000" w:rsidRPr="00000000">
        <w:rPr>
          <w:rtl w:val="0"/>
        </w:rPr>
        <w:t xml:space="preserve"> Al detectarse una vulnerabilidad o incidente que requiere intervenir durante una fecha prohibida, el cliente podría no autorizar el cambio de emergencia solicitado.</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sostener la contención y gestionar el conflicto entre fecha habilitada y plazo de remediación, sin que esa decisión del cliente acredite por sí sola una exención contractual.</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Por qué compete a LafroX:</w:t>
      </w:r>
      <w:r w:rsidDel="00000000" w:rsidR="00000000" w:rsidRPr="00000000">
        <w:rPr>
          <w:rtl w:val="0"/>
        </w:rPr>
        <w:t xml:space="preserve"> Afecta directamente la gestión del incidente y la remediación a cargo de LafroX.</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Contraste con lo ya definido:</w:t>
      </w:r>
      <w:r w:rsidDel="00000000" w:rsidR="00000000" w:rsidRPr="00000000">
        <w:rPr>
          <w:rtl w:val="0"/>
        </w:rPr>
        <w:t xml:space="preserve"> El calendario y la exigencia de autorización están definidos. Se conserva la denegación efectiva ante una intervención necesaria; no se declara que contención equivalga a remediación ni que el plazo se amplíe automáticamente.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p. 123: Calendario</w:t>
      </w:r>
      <w:r w:rsidDel="00000000" w:rsidR="00000000" w:rsidRPr="00000000">
        <w:rPr>
          <w:rtl w:val="0"/>
        </w:rPr>
        <w:t xml:space="preserve">; </w:t>
      </w:r>
      <w:r w:rsidDel="00000000" w:rsidR="00000000" w:rsidRPr="00000000">
        <w:rPr>
          <w:rtl w:val="0"/>
        </w:rPr>
        <w:t xml:space="preserve">SD4, p. 124: Cambio de emergencia</w:t>
      </w:r>
      <w:r w:rsidDel="00000000" w:rsidR="00000000" w:rsidRPr="00000000">
        <w:rPr>
          <w:rtl w:val="0"/>
        </w:rPr>
        <w:t xml:space="preserve">; </w:t>
      </w:r>
      <w:r w:rsidDel="00000000" w:rsidR="00000000" w:rsidRPr="00000000">
        <w:rPr>
          <w:rtl w:val="0"/>
        </w:rPr>
        <w:t xml:space="preserve">T-14, p. 90: 8.2.2</w:t>
      </w:r>
      <w:r w:rsidDel="00000000" w:rsidR="00000000" w:rsidRPr="00000000">
        <w:rPr>
          <w:rtl w:val="0"/>
        </w:rPr>
        <w:t xml:space="preserve">.</w:t>
      </w:r>
    </w:p>
    <w:p w:rsidR="00000000" w:rsidDel="00000000" w:rsidP="00000000" w:rsidRDefault="00000000" w:rsidRPr="00000000" w14:paraId="000001CD">
      <w:pPr>
        <w:pStyle w:val="Heading3"/>
        <w:rPr/>
      </w:pPr>
      <w:bookmarkStart w:colFirst="0" w:colLast="0" w:name="_3xz9gfg4zyc6" w:id="32"/>
      <w:bookmarkEnd w:id="32"/>
      <w:r w:rsidDel="00000000" w:rsidR="00000000" w:rsidRPr="00000000">
        <w:rPr>
          <w:rtl w:val="0"/>
        </w:rPr>
        <w:t>REC-061 — Una persona intenta usar la identidad de otra para hacer pedidos o entrar a un portal</w:t>
      </w:r>
    </w:p>
    <w:p w:rsidR="00000000" w:rsidDel="00000000" w:rsidP="00000000" w:rsidRDefault="00000000" w:rsidRPr="00000000" w14:paraId="000001CE">
      <w:pPr>
        <w:rPr/>
      </w:pPr>
      <w:r w:rsidDel="00000000" w:rsidR="00000000" w:rsidRPr="00000000">
        <w:rPr>
          <w:b w:val="1"/>
          <w:bCs w:val="1"/>
          <w:rtl w:val="0"/>
        </w:rPr>
        <w:t xml:space="preserve">Rama RBS:</w:t>
      </w:r>
      <w:r w:rsidDel="00000000" w:rsidR="00000000" w:rsidRPr="00000000">
        <w:rPr>
          <w:rtl w:val="0"/>
        </w:rPr>
        <w:t xml:space="preserve"> Solución y tecnología.</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[Causa]</w:t>
      </w:r>
      <w:r w:rsidDel="00000000" w:rsidR="00000000" w:rsidRPr="00000000">
        <w:rPr>
          <w:rtl w:val="0"/>
        </w:rPr>
        <w:t xml:space="preserve"> Los portales y otros accesos públicos permiten operar con credenciales o códigos de acceso personales, que un tercero podría intentar utilizar sin autorización.</w:t>
        <w:br/>
      </w:r>
      <w:r w:rsidDel="00000000" w:rsidR="00000000" w:rsidRPr="00000000">
        <w:rPr>
          <w:b w:val="1"/>
          <w:bCs w:val="1"/>
          <w:rtl w:val="0"/>
        </w:rPr>
        <w:t xml:space="preserve">[Evento de riesgo / Incertidumbre]</w:t>
      </w:r>
      <w:r w:rsidDel="00000000" w:rsidR="00000000" w:rsidRPr="00000000">
        <w:rPr>
          <w:rtl w:val="0"/>
        </w:rPr>
        <w:t xml:space="preserve"> Una persona podría presentar una credencial o un código ajeno para intentar registrar un pedido o acceder como si fuera su titular.</w:t>
        <w:br/>
      </w:r>
      <w:r w:rsidDel="00000000" w:rsidR="00000000" w:rsidRPr="00000000">
        <w:rPr>
          <w:b w:val="1"/>
          <w:bCs w:val="1"/>
          <w:rtl w:val="0"/>
        </w:rPr>
        <w:t xml:space="preserve">[Efecto o impacto en el proyecto]</w:t>
      </w:r>
      <w:r w:rsidDel="00000000" w:rsidR="00000000" w:rsidRPr="00000000">
        <w:rPr>
          <w:rtl w:val="0"/>
        </w:rPr>
        <w:t xml:space="preserve"> LafroX tendría que detectar e investigar el intento, contener el uso indebido y comprobar qué operaciones fueron afectadas. Si el intento tuviera éxito, podrían quedar pedidos o accesos atribuidos a la persona equivocada.</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Por qué compete a LafroX:</w:t>
      </w:r>
      <w:r w:rsidDel="00000000" w:rsidR="00000000" w:rsidRPr="00000000">
        <w:rPr>
          <w:rtl w:val="0"/>
        </w:rPr>
        <w:t xml:space="preserve"> La autenticación, los registros de actividad y la respuesta ante incidentes forman parte del servicio de LafroX.</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Contraste con lo ya definido:</w:t>
      </w:r>
      <w:r w:rsidDel="00000000" w:rsidR="00000000" w:rsidRPr="00000000">
        <w:rPr>
          <w:rtl w:val="0"/>
        </w:rPr>
        <w:t xml:space="preserve"> Los controles de identidad ya están definidos y aquí no se afirma que hayan fallado. Se conserva el posible intento de suplantación y su efecto condicional.</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anexos, p. 64: M3</w:t>
      </w:r>
      <w:r w:rsidDel="00000000" w:rsidR="00000000" w:rsidRPr="00000000">
        <w:rPr>
          <w:rtl w:val="0"/>
        </w:rPr>
        <w:t xml:space="preserve">; </w:t>
      </w:r>
      <w:r w:rsidDel="00000000" w:rsidR="00000000" w:rsidRPr="00000000">
        <w:rPr>
          <w:rtl w:val="0"/>
        </w:rPr>
        <w:t xml:space="preserve">SD4, anexos, p. 65: Frontera pública</w:t>
      </w:r>
      <w:r w:rsidDel="00000000" w:rsidR="00000000" w:rsidRPr="00000000">
        <w:rPr>
          <w:rtl w:val="0"/>
        </w:rPr>
        <w:t xml:space="preserve">; </w:t>
      </w:r>
      <w:r w:rsidDel="00000000" w:rsidR="00000000" w:rsidRPr="00000000">
        <w:rPr>
          <w:rtl w:val="0"/>
        </w:rPr>
        <w:t xml:space="preserve">T-14, p. 88: 8.1.5</w:t>
      </w:r>
      <w:r w:rsidDel="00000000" w:rsidR="00000000" w:rsidRPr="00000000">
        <w:rPr>
          <w:rtl w:val="0"/>
        </w:rPr>
        <w:t xml:space="preserve">.</w:t>
      </w:r>
    </w:p>
    <w:p w:rsidR="00000000" w:rsidDel="00000000" w:rsidP="00000000" w:rsidRDefault="00000000" w:rsidRPr="00000000" w14:paraId="000001D9">
      <w:pPr>
        <w:pStyle w:val="Heading3"/>
        <w:rPr/>
      </w:pPr>
      <w:bookmarkStart w:colFirst="0" w:colLast="0" w:name="_blgi63kr9dwa" w:id="33"/>
      <w:bookmarkEnd w:id="33"/>
      <w:r w:rsidDel="00000000" w:rsidR="00000000" w:rsidRPr="00000000">
        <w:rPr>
          <w:rtl w:val="0"/>
        </w:rPr>
        <w:t>REC-062 — Llega un mensaje electrónico que aparenta venir de una cadena autorizada o fue alterado</w:t>
      </w:r>
    </w:p>
    <w:p w:rsidR="00000000" w:rsidDel="00000000" w:rsidP="00000000" w:rsidRDefault="00000000" w:rsidRPr="00000000" w14:paraId="000001DA">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[Causa]</w:t>
      </w:r>
      <w:r w:rsidDel="00000000" w:rsidR="00000000" w:rsidRPr="00000000">
        <w:rPr>
          <w:rtl w:val="0"/>
        </w:rPr>
        <w:t xml:space="preserve"> La solución recibe de cadenas comerciales mensajes electrónicos de pedidos y avisos de despacho a través de una conexión con sistemas externos.</w:t>
        <w:br/>
      </w:r>
      <w:r w:rsidDel="00000000" w:rsidR="00000000" w:rsidRPr="00000000">
        <w:rPr>
          <w:b w:val="1"/>
          <w:bCs w:val="1"/>
          <w:rtl w:val="0"/>
        </w:rPr>
        <w:t xml:space="preserve">[Evento de riesgo / Incertidumbre]</w:t>
      </w:r>
      <w:r w:rsidDel="00000000" w:rsidR="00000000" w:rsidRPr="00000000">
        <w:rPr>
          <w:rtl w:val="0"/>
        </w:rPr>
        <w:t xml:space="preserve"> Podría llegar un mensaje que aparenta provenir de una cadena autorizada sin serlo, o cuyo contenido haya sido cambiado durante el intercambio.</w:t>
        <w:br/>
      </w:r>
      <w:r w:rsidDel="00000000" w:rsidR="00000000" w:rsidRPr="00000000">
        <w:rPr>
          <w:b w:val="1"/>
          <w:bCs w:val="1"/>
          <w:rtl w:val="0"/>
        </w:rPr>
        <w:t xml:space="preserve">[Efecto o impacto en el proyecto]</w:t>
      </w:r>
      <w:r w:rsidDel="00000000" w:rsidR="00000000" w:rsidRPr="00000000">
        <w:rPr>
          <w:rtl w:val="0"/>
        </w:rPr>
        <w:t xml:space="preserve"> LafroX tendría que separarlo de los mensajes válidos, comprobar su origen y contenido e investigar el incidente antes de procesar las operaciones afectadas. Si un mensaje falso se aceptara, podría alterar el pedido o aviso correspondiente.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Por qué compete a LafroX:</w:t>
      </w:r>
      <w:r w:rsidDel="00000000" w:rsidR="00000000" w:rsidRPr="00000000">
        <w:rPr>
          <w:rtl w:val="0"/>
        </w:rPr>
        <w:t xml:space="preserve"> LafroX implementa y opera la integración de intercambio electrónico y debe proteger la integridad de los mensajes que recibe.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Contraste con lo ya definido:</w:t>
      </w:r>
      <w:r w:rsidDel="00000000" w:rsidR="00000000" w:rsidRPr="00000000">
        <w:rPr>
          <w:rtl w:val="0"/>
        </w:rPr>
        <w:t xml:space="preserve"> Ya están definidos los certificados, las firmas y el rechazo de mensajes inválidos. El riesgo es recibir un mensaje hostil, no que aún falte decidir esos controles.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anexos, p. 65: INT-08/OpenAS2</w:t>
      </w:r>
      <w:r w:rsidDel="00000000" w:rsidR="00000000" w:rsidRPr="00000000">
        <w:rPr>
          <w:rtl w:val="0"/>
        </w:rPr>
        <w:t xml:space="preserve">; </w:t>
      </w:r>
      <w:r w:rsidDel="00000000" w:rsidR="00000000" w:rsidRPr="00000000">
        <w:rPr>
          <w:rtl w:val="0"/>
        </w:rPr>
        <w:t xml:space="preserve">SD4, p. 47: Amenazas M11</w:t>
      </w:r>
      <w:r w:rsidDel="00000000" w:rsidR="00000000" w:rsidRPr="00000000">
        <w:rPr>
          <w:rtl w:val="0"/>
        </w:rPr>
        <w:t xml:space="preserve">.</w:t>
      </w:r>
    </w:p>
    <w:p w:rsidR="00000000" w:rsidDel="00000000" w:rsidP="00000000" w:rsidRDefault="00000000" w:rsidRPr="00000000" w14:paraId="000001E5">
      <w:pPr>
        <w:pStyle w:val="Heading3"/>
        <w:rPr/>
      </w:pPr>
      <w:bookmarkStart w:colFirst="0" w:colLast="0" w:name="_24nkktpuv17q" w:id="34"/>
      <w:bookmarkEnd w:id="34"/>
      <w:r w:rsidDel="00000000" w:rsidR="00000000" w:rsidRPr="00000000">
        <w:rPr>
          <w:rtl w:val="0"/>
        </w:rPr>
        <w:t>REC-063 — La integración recibe una posición falsa o antigua como si fuera actual</w:t>
      </w:r>
    </w:p>
    <w:p w:rsidR="00000000" w:rsidDel="00000000" w:rsidP="00000000" w:rsidRDefault="00000000" w:rsidRPr="00000000" w14:paraId="000001E6">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[Causa]</w:t>
      </w:r>
      <w:r w:rsidDel="00000000" w:rsidR="00000000" w:rsidRPr="00000000">
        <w:rPr>
          <w:rtl w:val="0"/>
        </w:rPr>
        <w:t xml:space="preserve"> El seguimiento de la flota usa posiciones enviadas por un proveedor externo. Para interpretarlas correctamente se necesita conocer su origen y la fecha de cada muestra.</w:t>
        <w:br/>
      </w:r>
      <w:r w:rsidDel="00000000" w:rsidR="00000000" w:rsidRPr="00000000">
        <w:rPr>
          <w:b w:val="1"/>
          <w:bCs w:val="1"/>
          <w:rtl w:val="0"/>
        </w:rPr>
        <w:t xml:space="preserve">[Evento de riesgo / Incertidumbre]</w:t>
      </w:r>
      <w:r w:rsidDel="00000000" w:rsidR="00000000" w:rsidRPr="00000000">
        <w:rPr>
          <w:rtl w:val="0"/>
        </w:rPr>
        <w:t xml:space="preserve"> Al consultar los datos de seguimiento, podrían recibirse posiciones falsas, antiguas o fuera de orden presentadas como información actual.</w:t>
        <w:br/>
      </w:r>
      <w:r w:rsidDel="00000000" w:rsidR="00000000" w:rsidRPr="00000000">
        <w:rPr>
          <w:b w:val="1"/>
          <w:bCs w:val="1"/>
          <w:rtl w:val="0"/>
        </w:rPr>
        <w:t xml:space="preserve">[Efecto o impacto en el proyecto]</w:t>
      </w:r>
      <w:r w:rsidDel="00000000" w:rsidR="00000000" w:rsidRPr="00000000">
        <w:rPr>
          <w:rtl w:val="0"/>
        </w:rPr>
        <w:t xml:space="preserve"> El seguimiento podría mostrar una ubicación incorrecta si la muestra no se detecta. LafroX tendría que comprobar su origen y fecha, apartar los datos afectados y resolver la incidencia de integración.</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Por qué compete a LafroX:</w:t>
      </w:r>
      <w:r w:rsidDel="00000000" w:rsidR="00000000" w:rsidRPr="00000000">
        <w:rPr>
          <w:rtl w:val="0"/>
        </w:rPr>
        <w:t xml:space="preserve"> LafroX integra los datos de seguimiento y debe conservar la trazabilidad de las posiciones que incorpora a la solución.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Contraste con lo ya definido:</w:t>
      </w:r>
      <w:r w:rsidDel="00000000" w:rsidR="00000000" w:rsidRPr="00000000">
        <w:rPr>
          <w:rtl w:val="0"/>
        </w:rPr>
        <w:t xml:space="preserve"> El diseño ya define cómo ordenar y fechar las posiciones. El riesgo se refiere a los datos que efectivamente envíe el tercero, no a una decisión pendiente sobre el tratamiento de esas muestras.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anexos, p. 65: INT-15/GPS</w:t>
      </w:r>
      <w:r w:rsidDel="00000000" w:rsidR="00000000" w:rsidRPr="00000000">
        <w:rPr>
          <w:rtl w:val="0"/>
        </w:rPr>
        <w:t xml:space="preserve">; </w:t>
      </w:r>
      <w:r w:rsidDel="00000000" w:rsidR="00000000" w:rsidRPr="00000000">
        <w:rPr>
          <w:rtl w:val="0"/>
        </w:rPr>
        <w:t xml:space="preserve">SD3, anexos, p. 122: Cobertura de telemetría</w:t>
      </w:r>
      <w:r w:rsidDel="00000000" w:rsidR="00000000" w:rsidRPr="00000000">
        <w:rPr>
          <w:rtl w:val="0"/>
        </w:rPr>
        <w:t xml:space="preserve">.</w:t>
      </w:r>
    </w:p>
    <w:p w:rsidR="00000000" w:rsidDel="00000000" w:rsidP="00000000" w:rsidRDefault="00000000" w:rsidRPr="00000000" w14:paraId="000001F1">
      <w:pPr>
        <w:pStyle w:val="Heading3"/>
        <w:rPr/>
      </w:pPr>
      <w:bookmarkStart w:colFirst="0" w:colLast="0" w:name="_2fqyxtpphydu" w:id="35"/>
      <w:bookmarkEnd w:id="35"/>
      <w:r w:rsidDel="00000000" w:rsidR="00000000" w:rsidRPr="00000000">
        <w:rPr>
          <w:rtl w:val="0"/>
        </w:rPr>
        <w:t xml:space="preserve">REC-064 — Terminal enrolado se pierde o queda en poder de otra persona</w:t>
      </w:r>
    </w:p>
    <w:p w:rsidR="00000000" w:rsidDel="00000000" w:rsidP="00000000" w:rsidRDefault="00000000" w:rsidRPr="00000000" w14:paraId="000001F2">
      <w:pPr>
        <w:rPr/>
      </w:pPr>
      <w:r w:rsidDel="00000000" w:rsidR="00000000" w:rsidRPr="00000000">
        <w:rPr>
          <w:b w:val="1"/>
          <w:bCs w:val="1"/>
          <w:rtl w:val="0"/>
        </w:rPr>
        <w:t xml:space="preserve">Rama RBS:</w:t>
      </w:r>
      <w:r w:rsidDel="00000000" w:rsidR="00000000" w:rsidRPr="00000000">
        <w:rPr>
          <w:rtl w:val="0"/>
        </w:rPr>
        <w:t xml:space="preserve"> Solución y tecnología.</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rtl w:val="0"/>
        </w:rPr>
        <w:t xml:space="preserve">[Causa]</w:t>
      </w:r>
      <w:r w:rsidDel="00000000" w:rsidR="00000000" w:rsidRPr="00000000">
        <w:rPr>
          <w:rtl w:val="0"/>
        </w:rPr>
        <w:t xml:space="preserve"> Los terminales enrolados se utilizan físicamente en ruta y bodega y contienen datos locales asociados a usuarios autorizados.</w:t>
        <w:br w:type="textWrapping"/>
      </w:r>
      <w:r w:rsidDel="00000000" w:rsidR="00000000" w:rsidRPr="00000000">
        <w:rPr>
          <w:b w:val="1"/>
          <w:bCs w:val="1"/>
          <w:rtl w:val="0"/>
        </w:rPr>
        <w:t xml:space="preserve">[Evento de riesgo / Incertidumbre]</w:t>
      </w:r>
      <w:r w:rsidDel="00000000" w:rsidR="00000000" w:rsidRPr="00000000">
        <w:rPr>
          <w:rtl w:val="0"/>
        </w:rPr>
        <w:t xml:space="preserve"> Durante su uso en ruta o bodega, un terminal enrolado podría perderse o entregarse a una persona distinta de su usuario autorizado.</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gestionar el incidente de dispositivo e identidad, verificar la exposición de datos locales y contener accesos indebidos dentro del servicio de seguridad y gestión del terminal.</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b w:val="1"/>
          <w:bCs w:val="1"/>
          <w:rtl w:val="0"/>
        </w:rPr>
        <w:t xml:space="preserve">Por qué compete a LafroX:</w:t>
      </w:r>
      <w:r w:rsidDel="00000000" w:rsidR="00000000" w:rsidRPr="00000000">
        <w:rPr>
          <w:rtl w:val="0"/>
        </w:rPr>
        <w:t xml:space="preserve"> La gestión y protección del dispositivo forman parte de las suscripciones e integración que contrata y opera LafroX; la propiedad del equipo no elimina esa responsabilidad.</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Contraste con lo ya definido:</w:t>
      </w:r>
      <w:r w:rsidDel="00000000" w:rsidR="00000000" w:rsidRPr="00000000">
        <w:rPr>
          <w:rtl w:val="0"/>
        </w:rPr>
        <w:t xml:space="preserve"> MDM, cifrado y PIN son controles definidos. La pérdida o cesión física del terminal es un evento externo a la elección de esos controles, no una declaración de que resulten ineficaces.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anexos, p. 65: UI-MOV/UI-HHT/DAT-LOCAL</w:t>
      </w:r>
      <w:r w:rsidDel="00000000" w:rsidR="00000000" w:rsidRPr="00000000">
        <w:rPr>
          <w:rtl w:val="0"/>
        </w:rPr>
        <w:t xml:space="preserve">; </w:t>
      </w:r>
      <w:r w:rsidDel="00000000" w:rsidR="00000000" w:rsidRPr="00000000">
        <w:rPr>
          <w:rtl w:val="0"/>
        </w:rPr>
        <w:t xml:space="preserve">SD6, anexos, p. 7: Gestión de dispositivos</w:t>
      </w:r>
      <w:r w:rsidDel="00000000" w:rsidR="00000000" w:rsidRPr="00000000">
        <w:rPr>
          <w:rtl w:val="0"/>
        </w:rPr>
        <w:t xml:space="preserve">; </w:t>
      </w:r>
      <w:r w:rsidDel="00000000" w:rsidR="00000000" w:rsidRPr="00000000">
        <w:rPr>
          <w:rtl w:val="0"/>
        </w:rPr>
        <w:t xml:space="preserve">T-14, p. 88: 8.1.5</w:t>
      </w:r>
      <w:r w:rsidDel="00000000" w:rsidR="00000000" w:rsidRPr="00000000">
        <w:rPr>
          <w:rtl w:val="0"/>
        </w:rPr>
        <w:t xml:space="preserve">.</w:t>
      </w:r>
    </w:p>
    <w:p w:rsidR="00000000" w:rsidDel="00000000" w:rsidP="00000000" w:rsidRDefault="00000000" w:rsidRPr="00000000" w14:paraId="000001FD">
      <w:pPr>
        <w:pStyle w:val="Heading3"/>
        <w:rPr/>
      </w:pPr>
      <w:bookmarkStart w:colFirst="0" w:colLast="0" w:name="_i7j09xk48jdp" w:id="36"/>
      <w:bookmarkEnd w:id="36"/>
      <w:r w:rsidDel="00000000" w:rsidR="00000000" w:rsidRPr="00000000">
        <w:rPr>
          <w:rtl w:val="0"/>
        </w:rPr>
        <w:t xml:space="preserve">REC-065 — Ataques DDOS a los canales públicos</w:t>
      </w:r>
    </w:p>
    <w:p w:rsidR="00000000" w:rsidDel="00000000" w:rsidP="00000000" w:rsidRDefault="00000000" w:rsidRPr="00000000" w14:paraId="000001FE">
      <w:pPr>
        <w:rPr/>
      </w:pPr>
      <w:r w:rsidDel="00000000" w:rsidR="00000000" w:rsidRPr="00000000">
        <w:rPr>
          <w:b w:val="1"/>
          <w:bCs w:val="1"/>
          <w:rtl w:val="0"/>
        </w:rPr>
        <w:t xml:space="preserve">Rama RBS:</w:t>
      </w:r>
      <w:r w:rsidDel="00000000" w:rsidR="00000000" w:rsidRPr="00000000">
        <w:rPr>
          <w:rtl w:val="0"/>
        </w:rPr>
        <w:t xml:space="preserve"> Solución y tecnología.</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[Causa]</w:t>
      </w:r>
      <w:r w:rsidDel="00000000" w:rsidR="00000000" w:rsidRPr="00000000">
        <w:rPr>
          <w:rtl w:val="0"/>
        </w:rPr>
        <w:t xml:space="preserve"> Los portales e interfaces públicas están expuestos a solicitudes de actores externos, incluidas posibles ráfagas abusivas.</w:t>
        <w:br w:type="textWrapping"/>
      </w:r>
      <w:r w:rsidDel="00000000" w:rsidR="00000000" w:rsidRPr="00000000">
        <w:rPr>
          <w:b w:val="1"/>
          <w:bCs w:val="1"/>
          <w:rtl w:val="0"/>
        </w:rPr>
        <w:t xml:space="preserve">[Evento de riesgo / Incertidumbre]</w:t>
      </w:r>
      <w:r w:rsidDel="00000000" w:rsidR="00000000" w:rsidRPr="00000000">
        <w:rPr>
          <w:rtl w:val="0"/>
        </w:rPr>
        <w:t xml:space="preserve"> Durante la operación, un actor podría dirigir ráfagas de solicitudes abusivas a portales o interfaces públicas para impedir accesos legítimos.</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gestionar la contención y comprobar la disponibilidad del servicio, con atención extraordinaria de operación y seguridad.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Por qué compete a LafroX:</w:t>
      </w:r>
      <w:r w:rsidDel="00000000" w:rsidR="00000000" w:rsidRPr="00000000">
        <w:rPr>
          <w:rtl w:val="0"/>
        </w:rPr>
        <w:t xml:space="preserve"> La protección de las entradas públicas y la continuidad del servicio son obligaciones operativas de LafroX.</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rtl w:val="0"/>
        </w:rPr>
        <w:t xml:space="preserve">Contraste con lo ya definido:</w:t>
      </w:r>
      <w:r w:rsidDel="00000000" w:rsidR="00000000" w:rsidRPr="00000000">
        <w:rPr>
          <w:rtl w:val="0"/>
        </w:rPr>
        <w:t xml:space="preserve"> La protección contra abuso y los límites de tasa ya están especificados. Se conserva el ataque, sin afirmar que el dimensionamiento contratado o esos controles estén fallando.</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anexos, p. 65: BOR-PUB/GW-CENT/AUTH-CENT</w:t>
      </w:r>
      <w:r w:rsidDel="00000000" w:rsidR="00000000" w:rsidRPr="00000000">
        <w:rPr>
          <w:rtl w:val="0"/>
        </w:rPr>
        <w:t xml:space="preserve">; </w:t>
      </w:r>
      <w:r w:rsidDel="00000000" w:rsidR="00000000" w:rsidRPr="00000000">
        <w:rPr>
          <w:rtl w:val="0"/>
        </w:rPr>
        <w:t xml:space="preserve">SD4, p. 141: Tabla 11</w:t>
      </w:r>
      <w:r w:rsidDel="00000000" w:rsidR="00000000" w:rsidRPr="00000000">
        <w:rPr>
          <w:rtl w:val="0"/>
        </w:rPr>
        <w:t xml:space="preserve">; </w:t>
      </w:r>
      <w:r w:rsidDel="00000000" w:rsidR="00000000" w:rsidRPr="00000000">
        <w:rPr>
          <w:rtl w:val="0"/>
        </w:rPr>
        <w:t xml:space="preserve">T-14, p. 88: 8.1.5</w:t>
      </w:r>
      <w:r w:rsidDel="00000000" w:rsidR="00000000" w:rsidRPr="00000000">
        <w:rPr>
          <w:rtl w:val="0"/>
        </w:rPr>
        <w:t xml:space="preserve">.</w:t>
      </w:r>
    </w:p>
    <w:p w:rsidR="00000000" w:rsidDel="00000000" w:rsidP="00000000" w:rsidRDefault="00000000" w:rsidRPr="00000000" w14:paraId="00000209">
      <w:pPr>
        <w:pStyle w:val="Heading3"/>
        <w:rPr/>
      </w:pPr>
      <w:bookmarkStart w:colFirst="0" w:colLast="0" w:name="_szuu0gsuorgp" w:id="37"/>
      <w:bookmarkEnd w:id="37"/>
      <w:r w:rsidDel="00000000" w:rsidR="00000000" w:rsidRPr="00000000">
        <w:rPr>
          <w:rtl w:val="0"/>
        </w:rPr>
        <w:t xml:space="preserve">REC-066 — Atacante utiliza una cuenta administrativa comprometida contra la evidencia</w:t>
      </w:r>
    </w:p>
    <w:p w:rsidR="00000000" w:rsidDel="00000000" w:rsidP="00000000" w:rsidRDefault="00000000" w:rsidRPr="00000000" w14:paraId="0000020A">
      <w:pPr>
        <w:rPr/>
      </w:pPr>
      <w:r w:rsidDel="00000000" w:rsidR="00000000" w:rsidRPr="00000000">
        <w:rPr>
          <w:b w:val="1"/>
          <w:bCs w:val="1"/>
          <w:rtl w:val="0"/>
        </w:rPr>
        <w:t xml:space="preserve">Rama RBS:</w:t>
      </w:r>
      <w:r w:rsidDel="00000000" w:rsidR="00000000" w:rsidRPr="00000000">
        <w:rPr>
          <w:rtl w:val="0"/>
        </w:rPr>
        <w:t xml:space="preserve"> Solución y tecnología.</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[Causa]</w:t>
      </w:r>
      <w:r w:rsidDel="00000000" w:rsidR="00000000" w:rsidRPr="00000000">
        <w:rPr>
          <w:rtl w:val="0"/>
        </w:rPr>
        <w:t xml:space="preserve"> Las cuentas administrativas pueden ser objeto de compromiso y los respaldos y la evidencia constituyen objetivos de un atacante que obtenga esas credenciales.</w:t>
        <w:br w:type="textWrapping"/>
      </w:r>
      <w:r w:rsidDel="00000000" w:rsidR="00000000" w:rsidRPr="00000000">
        <w:rPr>
          <w:b w:val="1"/>
          <w:bCs w:val="1"/>
          <w:rtl w:val="0"/>
        </w:rPr>
        <w:t xml:space="preserve">[Evento de riesgo / Incertidumbre]</w:t>
      </w:r>
      <w:r w:rsidDel="00000000" w:rsidR="00000000" w:rsidRPr="00000000">
        <w:rPr>
          <w:rtl w:val="0"/>
        </w:rPr>
        <w:t xml:space="preserve"> Durante la operación, un atacante que obtenga credenciales administrativas podría intentar borrar o alterar respaldos o evidencia de la plataforma.</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contener la cuenta, investigar las acciones y verificar la integridad y recuperabilidad de los conjuntos afectados, dentro de sus obligaciones de seguridad y continuidad.</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Por qué compete a LafroX:</w:t>
      </w:r>
      <w:r w:rsidDel="00000000" w:rsidR="00000000" w:rsidRPr="00000000">
        <w:rPr>
          <w:rtl w:val="0"/>
        </w:rPr>
        <w:t xml:space="preserve"> La respuesta a incidentes y las pruebas de integridad y restauración de la plataforma corresponden al servicio de LafroX.</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Contraste con lo ya definido:</w:t>
      </w:r>
      <w:r w:rsidDel="00000000" w:rsidR="00000000" w:rsidRPr="00000000">
        <w:rPr>
          <w:rtl w:val="0"/>
        </w:rPr>
        <w:t xml:space="preserve"> La copia inmutable y la custodia separada ya están definidas. Se conserva la acción hostil con credenciales comprometidas, sin presentar la protección de la evidencia como una capacidad aún por decidir.</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p. 135: Ataque contra copias</w:t>
      </w:r>
      <w:r w:rsidDel="00000000" w:rsidR="00000000" w:rsidRPr="00000000">
        <w:rPr>
          <w:rtl w:val="0"/>
        </w:rPr>
        <w:t xml:space="preserve">; </w:t>
      </w:r>
      <w:r w:rsidDel="00000000" w:rsidR="00000000" w:rsidRPr="00000000">
        <w:rPr>
          <w:rtl w:val="0"/>
        </w:rPr>
        <w:t xml:space="preserve">SD4, anexos, p. 66: SEC-SECRETS/AUDIT/SIEM</w:t>
      </w:r>
      <w:r w:rsidDel="00000000" w:rsidR="00000000" w:rsidRPr="00000000">
        <w:rPr>
          <w:rtl w:val="0"/>
        </w:rPr>
        <w:t xml:space="preserve">; </w:t>
      </w:r>
      <w:r w:rsidDel="00000000" w:rsidR="00000000" w:rsidRPr="00000000">
        <w:rPr>
          <w:rtl w:val="0"/>
        </w:rPr>
        <w:t xml:space="preserve">T-14, p. 88: 8.1.5 y 8.1.6</w:t>
      </w:r>
      <w:r w:rsidDel="00000000" w:rsidR="00000000" w:rsidRPr="00000000">
        <w:rPr>
          <w:rtl w:val="0"/>
        </w:rPr>
        <w:t xml:space="preserv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3A">
      <w:pPr>
        <w:pStyle w:val="Heading3"/>
        <w:rPr/>
      </w:pPr>
      <w:bookmarkStart w:colFirst="0" w:colLast="0" w:name="_yzlyvlt1ihjh" w:id="41"/>
      <w:bookmarkEnd w:id="41"/>
      <w:r w:rsidDel="00000000" w:rsidR="00000000" w:rsidRPr="00000000">
        <w:rPr>
          <w:rtl w:val="0"/>
        </w:rPr>
        <w:t xml:space="preserve">REC-067 — Accidente vehicular interrumpe un reparto incluido en pruebas o marcha blanca</w:t>
      </w:r>
    </w:p>
    <w:p w:rsidR="00000000" w:rsidDel="00000000" w:rsidP="00000000" w:rsidRDefault="00000000" w:rsidRPr="00000000" w14:paraId="0000023B">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rtl w:val="0"/>
        </w:rPr>
        <w:t xml:space="preserve">[Causa]</w:t>
      </w:r>
      <w:r w:rsidDel="00000000" w:rsidR="00000000" w:rsidRPr="00000000">
        <w:rPr>
          <w:rtl w:val="0"/>
        </w:rPr>
        <w:t xml:space="preserve"> Las pruebas en ruta y la marcha blanca de la solución incluyen repartos reales con vehículos expuestos a incidentes durante su circulación.</w:t>
        <w:br w:type="textWrapping"/>
      </w:r>
      <w:r w:rsidDel="00000000" w:rsidR="00000000" w:rsidRPr="00000000">
        <w:rPr>
          <w:b w:val="1"/>
          <w:bCs w:val="1"/>
          <w:rtl w:val="0"/>
        </w:rPr>
        <w:t xml:space="preserve">[Evento de riesgo / Incertidumbre]</w:t>
      </w:r>
      <w:r w:rsidDel="00000000" w:rsidR="00000000" w:rsidRPr="00000000">
        <w:rPr>
          <w:rtl w:val="0"/>
        </w:rPr>
        <w:t xml:space="preserve"> Durante un reparto incluido en esas actividades, un vehículo propio del cliente o de un transportista podría sufrir un choque, incendio, volcamiento u otro accidente que interrumpa el recorrido programado.</w:t>
        <w:br w:type="textWrapping"/>
      </w:r>
      <w:r w:rsidDel="00000000" w:rsidR="00000000" w:rsidRPr="00000000">
        <w:rPr>
          <w:b w:val="1"/>
          <w:bCs w:val="1"/>
          <w:rtl w:val="0"/>
        </w:rPr>
        <w:t xml:space="preserve">[Efecto o impacto en el proyecto]</w:t>
      </w:r>
      <w:r w:rsidDel="00000000" w:rsidR="00000000" w:rsidRPr="00000000">
        <w:rPr>
          <w:rtl w:val="0"/>
        </w:rPr>
        <w:t xml:space="preserve"> Si el accidente impide completar los casos o reunir la evidencia prevista, LafroX tendría que coordinar con el cliente la reprogramación de las pruebas y repetir las validaciones afectadas, consumiendo tiempo y recursos de implantación y pudiendo demorar el cierre de la actividad correspondiente.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Por qué compete a LafroX:</w:t>
      </w:r>
      <w:r w:rsidDel="00000000" w:rsidR="00000000" w:rsidRPr="00000000">
        <w:rPr>
          <w:rtl w:val="0"/>
        </w:rPr>
        <w:t xml:space="preserve"> Se conserva por su efecto concreto sobre pruebas, acompañamiento y evidencia de aceptación de LafroX. Las lesiones, daños al vehículo y pérdidas de carga no se atribuyen a LafroX por esta ficha.</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b w:val="1"/>
          <w:bCs w:val="1"/>
          <w:rtl w:val="0"/>
        </w:rPr>
        <w:t xml:space="preserve">Contraste con lo ya definido:</w:t>
      </w:r>
      <w:r w:rsidDel="00000000" w:rsidR="00000000" w:rsidRPr="00000000">
        <w:rPr>
          <w:rtl w:val="0"/>
        </w:rPr>
        <w:t xml:space="preserve"> El evento es un accidente durante un reparto utilizado para validar la solución; no se plantea como una falla del software ni como una decisión pendiente sobre el diseño de rutas. No se presupone una extensión de plazos ni responsabilidad de LafroX por el accidente.</w:t>
      </w:r>
    </w:p>
    <w:p w:rsidR="00000000" w:rsidDel="00000000" w:rsidP="00000000" w:rsidRDefault="00000000" w:rsidRPr="00000000" w14:paraId="00000216">
      <w:pPr>
        <w:pStyle w:val="Heading3"/>
        <w:rPr/>
      </w:pPr>
      <w:bookmarkStart w:colFirst="0" w:colLast="0" w:name="_mzy3src3lyc4" w:id="38"/>
      <w:bookmarkEnd w:id="38"/>
      <w:r w:rsidDel="00000000" w:rsidR="00000000" w:rsidRPr="00000000">
        <w:rPr>
          <w:rtl w:val="0"/>
        </w:rPr>
        <w:t>REC-068 — Reemplazos de conductores externos sin aviso</w:t>
      </w:r>
    </w:p>
    <w:p w:rsidR="00000000" w:rsidDel="00000000" w:rsidP="00000000" w:rsidRDefault="00000000" w:rsidRPr="00000000" w14:paraId="00000217">
      <w:pPr>
        <w:rPr/>
      </w:pPr>
      <w:r w:rsidDel="00000000" w:rsidR="00000000" w:rsidRPr="00000000">
        <w:rPr>
          <w:b w:val="1"/>
          <w:bCs w:val="1"/>
          <w:rtl w:val="0"/>
        </w:rPr>
        <w:t xml:space="preserve">Rama RBS:</w:t>
      </w:r>
      <w:r w:rsidDel="00000000" w:rsidR="00000000" w:rsidRPr="00000000">
        <w:rPr>
          <w:rtl w:val="0"/>
        </w:rPr>
        <w:t xml:space="preserve"> Personas y adopción.</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rtl w:val="0"/>
        </w:rPr>
        <w:t xml:space="preserve">[Causa]</w:t>
      </w:r>
      <w:r w:rsidDel="00000000" w:rsidR="00000000" w:rsidRPr="00000000">
        <w:rPr>
          <w:rtl w:val="0"/>
        </w:rPr>
        <w:t xml:space="preserve"> El reparto incluye conductores de empresas transportistas externas, cuyos reemplazos requieren comunicación, autorización y capacitación para utilizar la solución.</w:t>
        <w:br w:type="textWrapping"/>
      </w:r>
      <w:r w:rsidDel="00000000" w:rsidR="00000000" w:rsidRPr="00000000">
        <w:rPr>
          <w:b w:val="1"/>
          <w:bCs w:val="1"/>
          <w:rtl w:val="0"/>
        </w:rPr>
        <w:t xml:space="preserve">[Evento de riesgo / Incertidumbre]</w:t>
      </w:r>
      <w:r w:rsidDel="00000000" w:rsidR="00000000" w:rsidRPr="00000000">
        <w:rPr>
          <w:rtl w:val="0"/>
        </w:rPr>
        <w:t xml:space="preserve"> Durante una ola de implantación, un transportista podría sustituir al conductor sin avisar y presentar un reemplazo que aún no esté autorizado o capacitado.</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atender su habilitación y formación y verificar los registros de las entregas afectadas, pudiendo requerirse trabajo adicional de acompañamiento y validación antes de cerrar la evidencia de esa ola.</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rtl w:val="0"/>
        </w:rPr>
        <w:t xml:space="preserve">Por qué compete a LafroX:</w:t>
      </w:r>
      <w:r w:rsidDel="00000000" w:rsidR="00000000" w:rsidRPr="00000000">
        <w:rPr>
          <w:rtl w:val="0"/>
        </w:rPr>
        <w:t xml:space="preserve"> Afecta la incorporación de usuarios, el acompañamiento y la evidencia de implantación a cargo de LafroX.</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rtl w:val="0"/>
        </w:rPr>
        <w:t xml:space="preserve">Contraste con lo ya definido:</w:t>
      </w:r>
      <w:r w:rsidDel="00000000" w:rsidR="00000000" w:rsidRPr="00000000">
        <w:rPr>
          <w:rtl w:val="0"/>
        </w:rPr>
        <w:t xml:space="preserve"> El acuerdo y el procedimiento de enrolamiento no garantizan que el transportista comunique cada sustitución. El evento es un reemplazo efectivo sin aviso; se diferencia de REC-035, que trata la formalización inicial del acuerdo.</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rtl w:val="0"/>
        </w:rPr>
        <w:t xml:space="preserve">Fuentes:</w:t>
      </w:r>
      <w:r w:rsidDel="00000000" w:rsidR="00000000" w:rsidRPr="00000000">
        <w:rPr>
          <w:rtl w:val="0"/>
        </w:rPr>
        <w:t xml:space="preserve"> Incorporado del registro antiguo a solicitud del usuario: </w:t>
      </w:r>
      <w:hyperlink r:id="rId15">
        <w:r w:rsidDel="00000000" w:rsidR="00000000" w:rsidRPr="00000000">
          <w:rPr>
            <w:color w:val="1155cc"/>
            <w:u w:val="single"/>
            <w:rtl w:val="0"/>
          </w:rPr>
          <w:t xml:space="preserve">riesgos conservados, R-018</w:t>
        </w:r>
      </w:hyperlink>
      <w:r w:rsidDel="00000000" w:rsidR="00000000" w:rsidRPr="00000000">
        <w:rPr>
          <w:rtl w:val="0"/>
        </w:rPr>
        <w:t xml:space="preserve">; referencias de origen: </w:t>
      </w:r>
      <w:hyperlink r:id="rId16">
        <w:r w:rsidDel="00000000" w:rsidR="00000000" w:rsidRPr="00000000">
          <w:rPr>
            <w:color w:val="1155cc"/>
            <w:u w:val="single"/>
            <w:rtl w:val="0"/>
          </w:rPr>
          <w:t xml:space="preserve">T-16, p. 15</w:t>
        </w:r>
      </w:hyperlink>
      <w:r w:rsidDel="00000000" w:rsidR="00000000" w:rsidRPr="00000000">
        <w:rPr>
          <w:rtl w:val="0"/>
        </w:rPr>
        <w:t xml:space="preserve">; </w:t>
      </w:r>
      <w:hyperlink r:id="rId17">
        <w:r w:rsidDel="00000000" w:rsidR="00000000" w:rsidRPr="00000000">
          <w:rPr>
            <w:color w:val="1155cc"/>
            <w:u w:val="single"/>
            <w:rtl w:val="0"/>
          </w:rPr>
          <w:t xml:space="preserve">Anexo 8.A, p. 18</w:t>
        </w:r>
      </w:hyperlink>
      <w:r w:rsidDel="00000000" w:rsidR="00000000" w:rsidRPr="00000000">
        <w:rPr>
          <w:rtl w:val="0"/>
        </w:rPr>
        <w:t xml:space="preserve">. La afectación a la implantación es una síntesis interpretativa para esta lista.</w:t>
      </w:r>
    </w:p>
    <w:p w:rsidR="00000000" w:rsidDel="00000000" w:rsidP="00000000" w:rsidRDefault="00000000" w:rsidRPr="00000000" w14:paraId="00000222">
      <w:pPr>
        <w:pStyle w:val="Heading3"/>
        <w:rPr/>
      </w:pPr>
      <w:bookmarkStart w:colFirst="0" w:colLast="0" w:name="_xbwjnp4k0ojn" w:id="39"/>
      <w:bookmarkEnd w:id="39"/>
      <w:r w:rsidDel="00000000" w:rsidR="00000000" w:rsidRPr="00000000">
        <w:rPr>
          <w:rtl w:val="0"/>
        </w:rPr>
        <w:t>REC-069 — Solicitudes que amplían el alcance</w:t>
      </w:r>
    </w:p>
    <w:p w:rsidR="00000000" w:rsidDel="00000000" w:rsidP="00000000" w:rsidRDefault="00000000" w:rsidRPr="00000000" w14:paraId="00000223">
      <w:pPr>
        <w:rPr/>
      </w:pPr>
      <w:r w:rsidDel="00000000" w:rsidR="00000000" w:rsidRPr="00000000">
        <w:rPr>
          <w:b w:val="1"/>
          <w:bCs w:val="1"/>
          <w:rtl w:val="0"/>
        </w:rPr>
        <w:t xml:space="preserve">Rama RBS:</w:t>
      </w:r>
      <w:r w:rsidDel="00000000" w:rsidR="00000000" w:rsidRPr="00000000">
        <w:rPr>
          <w:rtl w:val="0"/>
        </w:rPr>
        <w:t xml:space="preserve"> Contrato y licitación.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[Causa]</w:t>
      </w:r>
      <w:r w:rsidDel="00000000" w:rsidR="00000000" w:rsidRPr="00000000">
        <w:rPr>
          <w:rtl w:val="0"/>
        </w:rPr>
        <w:t xml:space="preserve"> La solución tiene un alcance delimitado mediante requisitos, exclusiones y decisiones aprobadas, y las solicitudes posteriores deben contrastarse con esa base.</w:t>
        <w:br w:type="textWrapping"/>
      </w:r>
      <w:r w:rsidDel="00000000" w:rsidR="00000000" w:rsidRPr="00000000">
        <w:rPr>
          <w:b w:val="1"/>
          <w:bCs w:val="1"/>
          <w:rtl w:val="0"/>
        </w:rPr>
        <w:t xml:space="preserve">[Evento de riesgo / Incertidumbre]</w:t>
      </w:r>
      <w:r w:rsidDel="00000000" w:rsidR="00000000" w:rsidRPr="00000000">
        <w:rPr>
          <w:rtl w:val="0"/>
        </w:rPr>
        <w:t xml:space="preserve"> Durante la ejecución, la contraparte podría solicitar una función, integración o modificación que exceda el alcance acordado y cuya incorporación requiera trabajo adicional.</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evaluar y tramitar el cambio; si se aprueba su incorporación, sería necesario ajustar el esfuerzo, costo o programación según el impacto acordado.</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Por qué compete a LafroX:</w:t>
      </w:r>
      <w:r w:rsidDel="00000000" w:rsidR="00000000" w:rsidRPr="00000000">
        <w:rPr>
          <w:rtl w:val="0"/>
        </w:rPr>
        <w:t xml:space="preserve"> Afecta la estimación, planificación y ejecución del trabajo solicitado a la empresa.</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Contraste con lo ya definido:</w:t>
      </w:r>
      <w:r w:rsidDel="00000000" w:rsidR="00000000" w:rsidRPr="00000000">
        <w:rPr>
          <w:rtl w:val="0"/>
        </w:rPr>
        <w:t xml:space="preserve"> No se presenta el alcance como indefinido ni se consideran adicionales las integraciones ya obligatorias. Se conserva la solicitud futura que lo exceda; su presentación no autoriza a ejecutarla ni modifica automáticamente el contrato.</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Fuentes:</w:t>
      </w:r>
      <w:r w:rsidDel="00000000" w:rsidR="00000000" w:rsidRPr="00000000">
        <w:rPr>
          <w:rtl w:val="0"/>
        </w:rPr>
        <w:t xml:space="preserve"> Incorporado del registro antiguo a solicitud del usuario: </w:t>
      </w:r>
      <w:hyperlink r:id="rId18">
        <w:r w:rsidDel="00000000" w:rsidR="00000000" w:rsidRPr="00000000">
          <w:rPr>
            <w:color w:val="1155cc"/>
            <w:u w:val="single"/>
            <w:rtl w:val="0"/>
          </w:rPr>
          <w:t xml:space="preserve">riesgos conservados, R-027</w:t>
        </w:r>
      </w:hyperlink>
      <w:r w:rsidDel="00000000" w:rsidR="00000000" w:rsidRPr="00000000">
        <w:rPr>
          <w:rtl w:val="0"/>
        </w:rPr>
        <w:t xml:space="preserve">; referencias de origen: </w:t>
      </w:r>
      <w:hyperlink r:id="rId19">
        <w:r w:rsidDel="00000000" w:rsidR="00000000" w:rsidRPr="00000000">
          <w:rPr>
            <w:color w:val="1155cc"/>
            <w:u w:val="single"/>
            <w:rtl w:val="0"/>
          </w:rPr>
          <w:t xml:space="preserve">T-16, p. 20</w:t>
        </w:r>
      </w:hyperlink>
      <w:r w:rsidDel="00000000" w:rsidR="00000000" w:rsidRPr="00000000">
        <w:rPr>
          <w:rtl w:val="0"/>
        </w:rPr>
        <w:t xml:space="preserve">; </w:t>
      </w:r>
      <w:hyperlink r:id="rId20">
        <w:r w:rsidDel="00000000" w:rsidR="00000000" w:rsidRPr="00000000">
          <w:rPr>
            <w:color w:val="1155cc"/>
            <w:u w:val="single"/>
            <w:rtl w:val="0"/>
          </w:rPr>
          <w:t xml:space="preserve">Anexo 8.A, p. 12</w:t>
        </w:r>
      </w:hyperlink>
      <w:r w:rsidDel="00000000" w:rsidR="00000000" w:rsidRPr="00000000">
        <w:rPr>
          <w:rtl w:val="0"/>
        </w:rPr>
        <w:t xml:space="preserve">. La descripción es una reformulación del evento original.</w:t>
      </w:r>
    </w:p>
    <w:p w:rsidR="00000000" w:rsidDel="00000000" w:rsidP="00000000" w:rsidRDefault="00000000" w:rsidRPr="00000000" w14:paraId="0000022E">
      <w:pPr>
        <w:pStyle w:val="Heading3"/>
        <w:rPr/>
      </w:pPr>
      <w:bookmarkStart w:colFirst="0" w:colLast="0" w:name="_igkzzuoem7yi" w:id="40"/>
      <w:bookmarkEnd w:id="40"/>
      <w:r w:rsidDel="00000000" w:rsidR="00000000" w:rsidRPr="00000000">
        <w:rPr>
          <w:rtl w:val="0"/>
        </w:rPr>
        <w:t>REC-070 — Cambios normativos</w:t>
      </w:r>
    </w:p>
    <w:p w:rsidR="00000000" w:rsidDel="00000000" w:rsidP="00000000" w:rsidRDefault="00000000" w:rsidRPr="00000000" w14:paraId="0000022F">
      <w:pPr>
        <w:rPr/>
      </w:pPr>
      <w:r w:rsidDel="00000000" w:rsidR="00000000" w:rsidRPr="00000000">
        <w:rPr>
          <w:b w:val="1"/>
          <w:bCs w:val="1"/>
          <w:rtl w:val="0"/>
        </w:rPr>
        <w:t xml:space="preserve">Rama RBS:</w:t>
      </w:r>
      <w:r w:rsidDel="00000000" w:rsidR="00000000" w:rsidRPr="00000000">
        <w:rPr>
          <w:rtl w:val="0"/>
        </w:rPr>
        <w:t xml:space="preserve"> Regulatorio y externo.</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rtl w:val="0"/>
        </w:rPr>
        <w:t xml:space="preserve">[Causa]</w:t>
      </w:r>
      <w:r w:rsidDel="00000000" w:rsidR="00000000" w:rsidRPr="00000000">
        <w:rPr>
          <w:rtl w:val="0"/>
        </w:rPr>
        <w:t xml:space="preserve"> La solución trata y conserva documentos, ubicación y evidencia durante una vigencia contractual de varios años, sujeta a exigencias normativas aplicables.</w:t>
        <w:br w:type="textWrapping"/>
      </w:r>
      <w:r w:rsidDel="00000000" w:rsidR="00000000" w:rsidRPr="00000000">
        <w:rPr>
          <w:b w:val="1"/>
          <w:bCs w:val="1"/>
          <w:rtl w:val="0"/>
        </w:rPr>
        <w:t xml:space="preserve">[Evento de riesgo / Incertidumbre]</w:t>
      </w:r>
      <w:r w:rsidDel="00000000" w:rsidR="00000000" w:rsidRPr="00000000">
        <w:rPr>
          <w:rtl w:val="0"/>
        </w:rPr>
        <w:t xml:space="preserve"> Durante esa vigencia, una modificación normativa o una nueva interpretación aplicable podría exigir ajustes en los controles, la conservación o la eliminación de datos de la solución.</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evaluar y adaptar los componentes y procedimientos afectados y volver a validar su funcionamiento, generando trabajo adicional y posibles ajustes de programación sujetos al tratamiento contractual correspondiente.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rtl w:val="0"/>
        </w:rPr>
        <w:t xml:space="preserve">Por qué compete a LafroX:</w:t>
      </w:r>
      <w:r w:rsidDel="00000000" w:rsidR="00000000" w:rsidRPr="00000000">
        <w:rPr>
          <w:rtl w:val="0"/>
        </w:rPr>
        <w:t xml:space="preserve"> Afecta los controles y procedimientos de la solución que LafroX implementa u opera.</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Contraste con lo ya definido:</w:t>
      </w:r>
      <w:r w:rsidDel="00000000" w:rsidR="00000000" w:rsidRPr="00000000">
        <w:rPr>
          <w:rtl w:val="0"/>
        </w:rPr>
        <w:t xml:space="preserve"> No se cuestiona el cumplimiento de las exigencias vigentes ni se reabre la selección de regiones. Se trata de una exigencia futura que cambie la base aplicable, distinta de la aprobación pendiente de REC-057.</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Fuentes:</w:t>
      </w:r>
      <w:r w:rsidDel="00000000" w:rsidR="00000000" w:rsidRPr="00000000">
        <w:rPr>
          <w:rtl w:val="0"/>
        </w:rPr>
        <w:t xml:space="preserve"> Incorporado del registro antiguo a solicitud del usuario: </w:t>
      </w:r>
      <w:hyperlink r:id="rId21">
        <w:r w:rsidDel="00000000" w:rsidR="00000000" w:rsidRPr="00000000">
          <w:rPr>
            <w:color w:val="1155cc"/>
            <w:u w:val="single"/>
            <w:rtl w:val="0"/>
          </w:rPr>
          <w:t xml:space="preserve">riesgos conservados, R-042</w:t>
        </w:r>
      </w:hyperlink>
      <w:r w:rsidDel="00000000" w:rsidR="00000000" w:rsidRPr="00000000">
        <w:rPr>
          <w:rtl w:val="0"/>
        </w:rPr>
        <w:t xml:space="preserve">; referencias de origen: </w:t>
      </w:r>
      <w:hyperlink r:id="rId22">
        <w:r w:rsidDel="00000000" w:rsidR="00000000" w:rsidRPr="00000000">
          <w:rPr>
            <w:color w:val="1155cc"/>
            <w:u w:val="single"/>
            <w:rtl w:val="0"/>
          </w:rPr>
          <w:t xml:space="preserve">T-16, p. 26</w:t>
        </w:r>
      </w:hyperlink>
      <w:r w:rsidDel="00000000" w:rsidR="00000000" w:rsidRPr="00000000">
        <w:rPr>
          <w:rtl w:val="0"/>
        </w:rPr>
        <w:t xml:space="preserve">; </w:t>
      </w:r>
      <w:hyperlink r:id="rId23">
        <w:r w:rsidDel="00000000" w:rsidR="00000000" w:rsidRPr="00000000">
          <w:rPr>
            <w:color w:val="1155cc"/>
            <w:u w:val="single"/>
            <w:rtl w:val="0"/>
          </w:rPr>
          <w:t xml:space="preserve">Anexo 8.A, pp. 21–22</w:t>
        </w:r>
      </w:hyperlink>
      <w:r w:rsidDel="00000000" w:rsidR="00000000" w:rsidRPr="00000000">
        <w:rPr>
          <w:rtl w:val="0"/>
        </w:rPr>
        <w:t xml:space="preserve">. La descripción es una reformulación del evento original; no afirma que exista un cambio normativo concreto.</w:t>
      </w:r>
    </w:p>
    <w:p w:rsidR="00000000" w:rsidDel="00000000" w:rsidP="00000000" w:rsidRDefault="00000000" w:rsidRPr="00000000" w14:paraId="00000244">
      <w:pPr>
        <w:pStyle w:val="Heading2"/>
        <w:rPr/>
      </w:pPr>
      <w:bookmarkStart w:colFirst="0" w:colLast="0" w:name="_wxsovb9qduw4" w:id="42"/>
      <w:bookmarkEnd w:id="42"/>
      <w:r w:rsidDel="00000000" w:rsidR="00000000" w:rsidRPr="00000000">
        <w:rPr>
          <w:rtl w:val="0"/>
        </w:rPr>
        <w:t xml:space="preserve">Distribución de los conservados en la RBS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rPr>
                <w:b w:val="1"/>
                <w:bCs w:val="1"/>
              </w:rPr>
            </w:pPr>
            <w:r w:rsidDel="00000000" w:rsidR="00000000" w:rsidRPr="00000000">
              <w:rPr>
                <w:b w:val="1"/>
                <w:bCs w:val="1"/>
                <w:rtl w:val="0"/>
              </w:rPr>
              <w:t xml:space="preserve">Rama existente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right"/>
              <w:rPr>
                <w:b w:val="1"/>
                <w:bCs w:val="1"/>
              </w:rPr>
            </w:pPr>
            <w:r w:rsidDel="00000000" w:rsidR="00000000" w:rsidRPr="00000000">
              <w:rPr>
                <w:b w:val="1"/>
                <w:bCs w:val="1"/>
                <w:rtl w:val="0"/>
              </w:rPr>
              <w:t xml:space="preserve">Cantidad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Solución y tecnología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righ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Integración y legado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righ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Operación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righ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Personas y adopción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righ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Contrato y licitación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righ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Regulatorio y externo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righ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Empresa proveedora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right"/>
              <w:rPr/>
            </w:pPr>
            <w:r w:rsidDel="00000000" w:rsidR="00000000" w:rsidRPr="00000000">
              <w:rPr>
                <w:b w:val="1"/>
                <w:bCs w:val="1"/>
                <w:rtl w:val="0"/>
              </w:rPr>
              <w:t xml:space="preserve">37</w:t>
            </w:r>
            <w:r w:rsidDel="00000000" w:rsidR="00000000" w:rsidRPr="00000000">
              <w:rPr>
                <w:rtl w:val="0"/>
              </w:rPr>
            </w:r>
          </w:p>
        </w:tc>
      </w:tr>
    </w:tbl>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Las ramas sin entradas se mantienen en la taxonomía. La selección no exige cubrirlas todas ni asigna prioridades.</w:t>
      </w:r>
    </w:p>
    <w:p w:rsidR="00000000" w:rsidDel="00000000" w:rsidP="00000000" w:rsidRDefault="00000000" w:rsidRPr="00000000" w14:paraId="00000259">
      <w:pPr>
        <w:pStyle w:val="Heading2"/>
        <w:rPr/>
      </w:pPr>
      <w:bookmarkStart w:colFirst="0" w:colLast="0" w:name="_uww3o9lpbg75" w:id="43"/>
      <w:bookmarkEnd w:id="43"/>
      <w:r w:rsidDel="00000000" w:rsidR="00000000" w:rsidRPr="00000000">
        <w:rPr>
          <w:rtl w:val="0"/>
        </w:rPr>
        <w:t xml:space="preserve">Evidencia general del filtro de definiciones</w:t>
      </w:r>
    </w:p>
    <w:p w:rsidR="00000000" w:rsidDel="00000000" w:rsidP="00000000" w:rsidRDefault="00000000" w:rsidRPr="00000000" w14:paraId="0000025A">
      <w:pPr>
        <w:rPr/>
      </w:pPr>
      <w:r w:rsidDel="00000000" w:rsidR="00000000" w:rsidRPr="00000000">
        <w:rPr>
          <w:rtl w:val="0"/>
        </w:rPr>
        <w:t xml:space="preserve">Además de las referencias individuales, se contrastaron los siguientes bloques para evitar reabrir decisiones de la oferta:</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numPr>
          <w:ilvl w:val="0"/>
          <w:numId w:val="2"/>
        </w:numPr>
        <w:ind w:left="720" w:hanging="360"/>
      </w:pPr>
      <w:r w:rsidDel="00000000" w:rsidR="00000000" w:rsidRPr="00000000">
        <w:rPr>
          <w:rtl w:val="0"/>
        </w:rPr>
        <w:t xml:space="preserve">SD2, Anexo 2.2: supuestos, exclusiones y restricciones, pp. 7–14</w:t>
      </w:r>
      <w:r w:rsidDel="00000000" w:rsidR="00000000" w:rsidRPr="00000000">
        <w:rPr>
          <w:rtl w:val="0"/>
        </w:rPr>
        <w:t xml:space="preserve">.</w:t>
      </w:r>
    </w:p>
    <w:p w:rsidR="00000000" w:rsidDel="00000000" w:rsidP="00000000" w:rsidRDefault="00000000" w:rsidRPr="00000000" w14:paraId="0000025D">
      <w:pPr>
        <w:numPr>
          <w:ilvl w:val="0"/>
          <w:numId w:val="2"/>
        </w:numPr>
        <w:ind w:left="720" w:hanging="360"/>
      </w:pPr>
      <w:r w:rsidDel="00000000" w:rsidR="00000000" w:rsidRPr="00000000">
        <w:rPr>
          <w:rtl w:val="0"/>
        </w:rPr>
        <w:t xml:space="preserve">SD3, Anexo 3.C: registro de supuestos, pp. 115–132</w:t>
      </w:r>
      <w:r w:rsidDel="00000000" w:rsidR="00000000" w:rsidRPr="00000000">
        <w:rPr>
          <w:rtl w:val="0"/>
        </w:rPr>
        <w:t xml:space="preserve">.</w:t>
      </w:r>
    </w:p>
    <w:p w:rsidR="00000000" w:rsidDel="00000000" w:rsidP="00000000" w:rsidRDefault="00000000" w:rsidRPr="00000000" w14:paraId="0000025E">
      <w:pPr>
        <w:numPr>
          <w:ilvl w:val="0"/>
          <w:numId w:val="2"/>
        </w:numPr>
        <w:ind w:left="720" w:hanging="360"/>
      </w:pPr>
      <w:r w:rsidDel="00000000" w:rsidR="00000000" w:rsidRPr="00000000">
        <w:rPr>
          <w:rtl w:val="0"/>
        </w:rPr>
        <w:t xml:space="preserve">SD3, Anexo 3.G: reglas de negocio, pp. 138–143</w:t>
      </w:r>
      <w:r w:rsidDel="00000000" w:rsidR="00000000" w:rsidRPr="00000000">
        <w:rPr>
          <w:rtl w:val="0"/>
        </w:rPr>
        <w:t xml:space="preserve">.</w:t>
      </w:r>
    </w:p>
    <w:p w:rsidR="00000000" w:rsidDel="00000000" w:rsidP="00000000" w:rsidRDefault="00000000" w:rsidRPr="00000000" w14:paraId="0000025F">
      <w:pPr>
        <w:numPr>
          <w:ilvl w:val="0"/>
          <w:numId w:val="2"/>
        </w:numPr>
        <w:ind w:left="720" w:hanging="360"/>
      </w:pPr>
      <w:r w:rsidDel="00000000" w:rsidR="00000000" w:rsidRPr="00000000">
        <w:rPr>
          <w:rtl w:val="0"/>
        </w:rPr>
        <w:t xml:space="preserve">SD3, Anexo 3.H: consultas y estado documental, pp. 144–150</w:t>
      </w:r>
      <w:r w:rsidDel="00000000" w:rsidR="00000000" w:rsidRPr="00000000">
        <w:rPr>
          <w:rtl w:val="0"/>
        </w:rPr>
        <w:t xml:space="preserve">.</w:t>
      </w:r>
    </w:p>
    <w:p w:rsidR="00000000" w:rsidDel="00000000" w:rsidP="00000000" w:rsidRDefault="00000000" w:rsidRPr="00000000" w14:paraId="00000260">
      <w:pPr>
        <w:numPr>
          <w:ilvl w:val="0"/>
          <w:numId w:val="2"/>
        </w:numPr>
        <w:ind w:left="720" w:hanging="360"/>
      </w:pPr>
      <w:r w:rsidDel="00000000" w:rsidR="00000000" w:rsidRPr="00000000">
        <w:rPr>
          <w:rtl w:val="0"/>
        </w:rPr>
        <w:t xml:space="preserve">T-18: certificación de usuarios y aceptación de etapas, pp. 13–16</w:t>
      </w: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Las páginas son posiciones físicas del PDF contadas desde 1. Cada enlace abre la primera página indicada.</w:t>
      </w:r>
    </w:p>
    <w:p w:rsidR="00000000" w:rsidDel="00000000" w:rsidP="00000000" w:rsidRDefault="00000000" w:rsidRPr="00000000" w14:paraId="00000263">
      <w:pPr>
        <w:pStyle w:val="Heading2"/>
        <w:rPr/>
      </w:pPr>
      <w:bookmarkStart w:colFirst="0" w:colLast="0" w:name="_irqi9mn2wqdo" w:id="44"/>
      <w:bookmarkEnd w:id="44"/>
      <w:r w:rsidDel="00000000" w:rsidR="00000000" w:rsidRPr="00000000">
        <w:rPr>
          <w:rtl w:val="0"/>
        </w:rPr>
        <w:t xml:space="preserve">Comprobaciones de la entrega</w:t>
      </w:r>
    </w:p>
    <w:p w:rsidR="00000000" w:rsidDel="00000000" w:rsidP="00000000" w:rsidRDefault="00000000" w:rsidRPr="00000000" w14:paraId="00000264">
      <w:pPr>
        <w:numPr>
          <w:ilvl w:val="0"/>
          <w:numId w:val="2"/>
        </w:numPr>
        <w:ind w:left="720" w:hanging="360"/>
      </w:pPr>
      <w:r w:rsidDel="00000000" w:rsidR="00000000" w:rsidRPr="00000000">
        <w:rPr>
          <w:rtl w:val="0"/>
        </w:rPr>
        <w:t>De los 66 originales, 33 se conservaron y 33 se excluyeron; se añadieron cuatro riesgos después, para un total de 37 fichas vigentes.</w:t>
      </w:r>
    </w:p>
    <w:p w:rsidR="00000000" w:rsidDel="00000000" w:rsidP="00000000" w:rsidRDefault="00000000" w:rsidRPr="00000000" w14:paraId="00000265">
      <w:pPr>
        <w:numPr>
          <w:ilvl w:val="0"/>
          <w:numId w:val="2"/>
        </w:numPr>
        <w:ind w:left="720" w:hanging="360"/>
      </w:pPr>
      <w:r w:rsidDel="00000000" w:rsidR="00000000" w:rsidRPr="00000000">
        <w:rPr>
          <w:rtl w:val="0"/>
        </w:rPr>
        <w:t>Se verificaron 37 códigos REC únicos, descripciones completas, una rama por riesgo y la existencia de los archivos y páginas citados.</w:t>
      </w:r>
    </w:p>
    <w:p w:rsidR="00000000" w:rsidDel="00000000" w:rsidP="00000000" w:rsidRDefault="00000000" w:rsidRPr="00000000" w14:paraId="00000266">
      <w:pPr>
        <w:numPr>
          <w:ilvl w:val="0"/>
          <w:numId w:val="2"/>
        </w:numPr>
        <w:ind w:left="720" w:hanging="360"/>
      </w:pPr>
      <w:r w:rsidDel="00000000" w:rsidR="00000000" w:rsidRPr="00000000">
        <w:rPr>
          <w:rtl w:val="0"/>
        </w:rPr>
        <w:t xml:space="preserve">Cada conservado identifica una afectación concreta al trabajo o servicio de LafroX y distingue la amenaza de una decisión ya tomada.</w:t>
      </w:r>
    </w:p>
    <w:p w:rsidR="00000000" w:rsidDel="00000000" w:rsidP="00000000" w:rsidRDefault="00000000" w:rsidRPr="00000000" w14:paraId="00000267">
      <w:pPr>
        <w:numPr>
          <w:ilvl w:val="0"/>
          <w:numId w:val="2"/>
        </w:numPr>
        <w:ind w:left="720" w:hanging="360"/>
      </w:pPr>
      <w:r w:rsidDel="00000000" w:rsidR="00000000" w:rsidRPr="00000000">
        <w:rPr>
          <w:rtl w:val="0"/>
        </w:rPr>
        <w:t xml:space="preserve">Se mantuvieron intactos los Markdown anteriores y los PDF de origen.</w:t>
      </w:r>
    </w:p>
    <w:p w:rsidR="00000000" w:rsidDel="00000000" w:rsidP="00000000" w:rsidRDefault="00000000" w:rsidRPr="00000000" w14:paraId="00000268">
      <w:pPr>
        <w:numPr>
          <w:ilvl w:val="0"/>
          <w:numId w:val="2"/>
        </w:numPr>
        <w:ind w:left="720" w:hanging="360"/>
      </w:pPr>
      <w:r w:rsidDel="00000000" w:rsidR="00000000" w:rsidRPr="00000000">
        <w:rPr>
          <w:rtl w:val="0"/>
        </w:rPr>
        <w:t xml:space="preserve">La entrega no acredita eficacia de controles ni permite dar por cerrados los riesgos conservados.</w:t>
      </w:r>
    </w:p>
    <w:p w:rsidR="00000000" w:rsidDel="00000000" w:rsidP="00000000" w:rsidRDefault="00000000" w:rsidRPr="00000000" w14:paraId="00000269">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ubdocumento%208/LafroX-Subdocumento-8-Anexos.pdf#page=12" TargetMode="External"/><Relationship Id="rId11" Type="http://schemas.openxmlformats.org/officeDocument/2006/relationships/hyperlink" Target="http://../Subdocumento%207/LafroX-Formulario-T-18.pdf#page=15" TargetMode="External"/><Relationship Id="rId22" Type="http://schemas.openxmlformats.org/officeDocument/2006/relationships/hyperlink" Target="http://../Subdocumento%208/Lafrox-Formulario-T-16.pdf#page=26" TargetMode="External"/><Relationship Id="rId10" Type="http://schemas.openxmlformats.org/officeDocument/2006/relationships/hyperlink" Target="http://../Subdocumento%207/LafroX-Formulario-T-18.pdf#page=14" TargetMode="External"/><Relationship Id="rId21" Type="http://schemas.openxmlformats.org/officeDocument/2006/relationships/hyperlink" Target="http://riesgos_conservados.md#r-042--cambios-normativos" TargetMode="External"/><Relationship Id="rId13" Type="http://schemas.openxmlformats.org/officeDocument/2006/relationships/hyperlink" Target="http://../Subdocumento%205/LAFROX-Subdocumento5.pdf#page=35" TargetMode="External"/><Relationship Id="rId12" Type="http://schemas.openxmlformats.org/officeDocument/2006/relationships/hyperlink" Target="http://../Subdocumento%203/LAFROX-Subdocumento3-Anexos.pdf#page=115" TargetMode="External"/><Relationship Id="rId23" Type="http://schemas.openxmlformats.org/officeDocument/2006/relationships/hyperlink" Target="http://../Subdocumento%208/LafroX-Subdocumento-8-Anexos.pdf#page=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bdocumento%203/LAFROX-Subdocumento3-Anexos.pdf#page=154" TargetMode="External"/><Relationship Id="rId15" Type="http://schemas.openxmlformats.org/officeDocument/2006/relationships/hyperlink" Target="http://riesgos_conservados.md#r-018--reemplazos-de-conductores-externos-sin-aviso" TargetMode="External"/><Relationship Id="rId14" Type="http://schemas.openxmlformats.org/officeDocument/2006/relationships/hyperlink" Target="http://../Subdocumento%205/LAFROX-Subdocumento5.pdf#page=37" TargetMode="External"/><Relationship Id="rId17" Type="http://schemas.openxmlformats.org/officeDocument/2006/relationships/hyperlink" Target="http://../Subdocumento%208/LafroX-Subdocumento-8-Anexos.pdf#page=18" TargetMode="External"/><Relationship Id="rId16" Type="http://schemas.openxmlformats.org/officeDocument/2006/relationships/hyperlink" Target="http://../Subdocumento%208/Lafrox-Formulario-T-16.pdf#page=15" TargetMode="External"/><Relationship Id="rId5" Type="http://schemas.openxmlformats.org/officeDocument/2006/relationships/styles" Target="styles.xml"/><Relationship Id="rId19" Type="http://schemas.openxmlformats.org/officeDocument/2006/relationships/hyperlink" Target="http://../Subdocumento%208/Lafrox-Formulario-T-16.pdf#page=20" TargetMode="External"/><Relationship Id="rId6" Type="http://schemas.openxmlformats.org/officeDocument/2006/relationships/hyperlink" Target="http://../Subdocumento%203/LAFROX-Subdocumento3-Anexos.pdf#page=121" TargetMode="External"/><Relationship Id="rId18" Type="http://schemas.openxmlformats.org/officeDocument/2006/relationships/hyperlink" Target="http://riesgos_conservados.md#r-027--solicitudes-que-ampl%C3%ADan-el-alcance" TargetMode="External"/><Relationship Id="rId7" Type="http://schemas.openxmlformats.org/officeDocument/2006/relationships/hyperlink" Target="http://../Subdocumento%203/LAFROX-Subdocumento3-Anexos.pdf#page=149" TargetMode="External"/><Relationship Id="rId8" Type="http://schemas.openxmlformats.org/officeDocument/2006/relationships/hyperlink" Target="http://../Subdocumento%204/LAFROX-Subdocumento4.pdf#page=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