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3147B" w14:textId="77777777" w:rsidR="00741338" w:rsidRDefault="00000000">
      <w:pPr>
        <w:pStyle w:val="Ttulo1"/>
      </w:pPr>
      <w:bookmarkStart w:id="0" w:name="_6x42a6wy3hbe" w:colFirst="0" w:colLast="0"/>
      <w:bookmarkEnd w:id="0"/>
      <w:r>
        <w:t>Auditoría de riesgos de LafroX: aplicación de las cuatro reglas</w:t>
      </w:r>
    </w:p>
    <w:p w14:paraId="5B35A4F3" w14:textId="77777777" w:rsidR="00741338" w:rsidRDefault="00000000">
      <w:r>
        <w:rPr>
          <w:b/>
          <w:bCs/>
        </w:rPr>
        <w:t>Fecha:</w:t>
      </w:r>
      <w:r>
        <w:t xml:space="preserve"> 24 de octubre de 2026.</w:t>
      </w:r>
      <w:r>
        <w:br/>
      </w:r>
      <w:r>
        <w:rPr>
          <w:b/>
          <w:bCs/>
        </w:rPr>
        <w:t>Universo:</w:t>
      </w:r>
      <w:r>
        <w:t xml:space="preserve"> 66 enunciados originales REC-001 a REC-066.</w:t>
      </w:r>
      <w:r>
        <w:br/>
      </w:r>
      <w:r>
        <w:rPr>
          <w:b/>
          <w:bCs/>
        </w:rPr>
        <w:t>Resultado:</w:t>
      </w:r>
      <w:r>
        <w:t xml:space="preserve"> De los 66 enunciados originales, 33 se conservan y 33 se excluyen. Con cuatro incorporaciones posteriores, esta lista contiene 37 riesgos.</w:t>
      </w:r>
    </w:p>
    <w:p w14:paraId="3405D831" w14:textId="77777777" w:rsidR="00741338" w:rsidRDefault="00000000">
      <w:pPr>
        <w:pStyle w:val="Ttulo2"/>
      </w:pPr>
      <w:bookmarkStart w:id="1" w:name="_6ehbblurixrh" w:colFirst="0" w:colLast="0"/>
      <w:bookmarkEnd w:id="1"/>
      <w:r>
        <w:t>Resultado y alcance de la auditoría</w:t>
      </w:r>
    </w:p>
    <w:p w14:paraId="5F43A870" w14:textId="77777777" w:rsidR="00741338" w:rsidRDefault="00000000">
      <w:r>
        <w:t>Esta revisión responde a las cuatro reglas solicitadas: proteger la integridad empresarial ante la contraparte técnica; conservar únicamente eventos con afectación concreta a LafroX; retirar dudas sobre decisiones o condiciones de oferta ya fijadas; y aclarar la situación, el evento y la consecuencia de los enunciados ambiguos.</w:t>
      </w:r>
    </w:p>
    <w:p w14:paraId="41A1CC52" w14:textId="77777777" w:rsidR="00741338" w:rsidRDefault="00741338"/>
    <w:p w14:paraId="77283463" w14:textId="77777777" w:rsidR="00741338" w:rsidRDefault="00000000">
      <w:r>
        <w:t xml:space="preserve">Se recuperaron los 66 enunciados de la copia del inventario original. El archivo homónimo de esta carpeta ya contiene una depuración posterior por </w:t>
      </w:r>
      <w:r>
        <w:rPr>
          <w:b/>
          <w:bCs/>
        </w:rPr>
        <w:t>novedad</w:t>
      </w:r>
      <w:r>
        <w:t xml:space="preserve"> con resultado de cero entradas. Esta auditoría se guarda separadamente y no reemplaza ese trabajo ni los otros informes existentes. Aquí se evalúa la admisibilidad bajo las cuatro reglas actuales, no si un evento ya figuraba en el T-16.</w:t>
      </w:r>
    </w:p>
    <w:p w14:paraId="5C6EA88F" w14:textId="77777777" w:rsidR="00741338" w:rsidRDefault="00741338"/>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41338" w14:paraId="142BD6CB" w14:textId="77777777">
        <w:trPr>
          <w:tblHeader/>
        </w:trPr>
        <w:tc>
          <w:tcPr>
            <w:tcW w:w="4680" w:type="dxa"/>
            <w:tcMar>
              <w:top w:w="100" w:type="dxa"/>
              <w:left w:w="100" w:type="dxa"/>
              <w:bottom w:w="100" w:type="dxa"/>
              <w:right w:w="100" w:type="dxa"/>
            </w:tcMar>
          </w:tcPr>
          <w:p w14:paraId="1C4553B0" w14:textId="77777777" w:rsidR="00741338" w:rsidRDefault="00000000">
            <w:pPr>
              <w:rPr>
                <w:b/>
                <w:bCs/>
              </w:rPr>
            </w:pPr>
            <w:r>
              <w:rPr>
                <w:b/>
                <w:bCs/>
              </w:rPr>
              <w:t>Resultado por motivo principal, sin doble conteo</w:t>
            </w:r>
          </w:p>
        </w:tc>
        <w:tc>
          <w:tcPr>
            <w:tcW w:w="4680" w:type="dxa"/>
            <w:tcMar>
              <w:top w:w="100" w:type="dxa"/>
              <w:left w:w="100" w:type="dxa"/>
              <w:bottom w:w="100" w:type="dxa"/>
              <w:right w:w="100" w:type="dxa"/>
            </w:tcMar>
          </w:tcPr>
          <w:p w14:paraId="2AA84355" w14:textId="77777777" w:rsidR="00741338" w:rsidRDefault="00000000">
            <w:pPr>
              <w:jc w:val="right"/>
              <w:rPr>
                <w:b/>
                <w:bCs/>
              </w:rPr>
            </w:pPr>
            <w:r>
              <w:rPr>
                <w:b/>
                <w:bCs/>
              </w:rPr>
              <w:t>Cantidad</w:t>
            </w:r>
          </w:p>
        </w:tc>
      </w:tr>
      <w:tr w:rsidR="00741338" w14:paraId="2A30C239" w14:textId="77777777">
        <w:tc>
          <w:tcPr>
            <w:tcW w:w="4680" w:type="dxa"/>
            <w:tcMar>
              <w:top w:w="100" w:type="dxa"/>
              <w:left w:w="100" w:type="dxa"/>
              <w:bottom w:w="100" w:type="dxa"/>
              <w:right w:w="100" w:type="dxa"/>
            </w:tcMar>
          </w:tcPr>
          <w:p w14:paraId="70DBE516" w14:textId="77777777" w:rsidR="00741338" w:rsidRDefault="00000000">
            <w:r>
              <w:t>Conservados con redacción precisada y afectación explícita a LafroX</w:t>
            </w:r>
          </w:p>
        </w:tc>
        <w:tc>
          <w:tcPr>
            <w:tcW w:w="4680" w:type="dxa"/>
            <w:tcMar>
              <w:top w:w="100" w:type="dxa"/>
              <w:left w:w="100" w:type="dxa"/>
              <w:bottom w:w="100" w:type="dxa"/>
              <w:right w:w="100" w:type="dxa"/>
            </w:tcMar>
          </w:tcPr>
          <w:p w14:paraId="3EF077CD" w14:textId="77777777" w:rsidR="00741338" w:rsidRDefault="00000000">
            <w:pPr>
              <w:jc w:val="right"/>
            </w:pPr>
            <w:r>
              <w:t>33</w:t>
            </w:r>
          </w:p>
        </w:tc>
      </w:tr>
      <w:tr w:rsidR="00741338" w14:paraId="5A596027" w14:textId="77777777">
        <w:tc>
          <w:tcPr>
            <w:tcW w:w="4680" w:type="dxa"/>
            <w:tcMar>
              <w:top w:w="100" w:type="dxa"/>
              <w:left w:w="100" w:type="dxa"/>
              <w:bottom w:w="100" w:type="dxa"/>
              <w:right w:w="100" w:type="dxa"/>
            </w:tcMar>
          </w:tcPr>
          <w:p w14:paraId="2B97DAE0" w14:textId="77777777" w:rsidR="00741338" w:rsidRDefault="00000000">
            <w:r>
              <w:t>Excluidos por afectación limitada al cliente en el enunciado evaluado — regla 2</w:t>
            </w:r>
          </w:p>
        </w:tc>
        <w:tc>
          <w:tcPr>
            <w:tcW w:w="4680" w:type="dxa"/>
            <w:tcMar>
              <w:top w:w="100" w:type="dxa"/>
              <w:left w:w="100" w:type="dxa"/>
              <w:bottom w:w="100" w:type="dxa"/>
              <w:right w:w="100" w:type="dxa"/>
            </w:tcMar>
          </w:tcPr>
          <w:p w14:paraId="7BB498DD" w14:textId="77777777" w:rsidR="00741338" w:rsidRDefault="00000000">
            <w:pPr>
              <w:jc w:val="right"/>
            </w:pPr>
            <w:r>
              <w:t>7</w:t>
            </w:r>
          </w:p>
        </w:tc>
      </w:tr>
      <w:tr w:rsidR="00741338" w14:paraId="33F8FE33" w14:textId="77777777">
        <w:tc>
          <w:tcPr>
            <w:tcW w:w="4680" w:type="dxa"/>
            <w:tcMar>
              <w:top w:w="100" w:type="dxa"/>
              <w:left w:w="100" w:type="dxa"/>
              <w:bottom w:w="100" w:type="dxa"/>
              <w:right w:w="100" w:type="dxa"/>
            </w:tcMar>
          </w:tcPr>
          <w:p w14:paraId="31CA9A66" w14:textId="77777777" w:rsidR="00741338" w:rsidRDefault="00000000">
            <w:r>
              <w:t>Excluidos por decisión, alcance, supuesto o procedimiento ya declarado, sin evento adverso adicional suficientemente delimitado — regla 3</w:t>
            </w:r>
          </w:p>
        </w:tc>
        <w:tc>
          <w:tcPr>
            <w:tcW w:w="4680" w:type="dxa"/>
            <w:tcMar>
              <w:top w:w="100" w:type="dxa"/>
              <w:left w:w="100" w:type="dxa"/>
              <w:bottom w:w="100" w:type="dxa"/>
              <w:right w:w="100" w:type="dxa"/>
            </w:tcMar>
          </w:tcPr>
          <w:p w14:paraId="449219EA" w14:textId="77777777" w:rsidR="00741338" w:rsidRDefault="00000000">
            <w:pPr>
              <w:jc w:val="right"/>
            </w:pPr>
            <w:r>
              <w:t>26</w:t>
            </w:r>
          </w:p>
        </w:tc>
      </w:tr>
      <w:tr w:rsidR="00741338" w14:paraId="2537DE74" w14:textId="77777777">
        <w:tc>
          <w:tcPr>
            <w:tcW w:w="4680" w:type="dxa"/>
            <w:tcMar>
              <w:top w:w="100" w:type="dxa"/>
              <w:left w:w="100" w:type="dxa"/>
              <w:bottom w:w="100" w:type="dxa"/>
              <w:right w:w="100" w:type="dxa"/>
            </w:tcMar>
          </w:tcPr>
          <w:p w14:paraId="723CBC59" w14:textId="77777777" w:rsidR="00741338" w:rsidRDefault="00000000">
            <w:r>
              <w:t>Excluidos exclusivamente por admisión de incapacidad empresarial — regla 1</w:t>
            </w:r>
          </w:p>
        </w:tc>
        <w:tc>
          <w:tcPr>
            <w:tcW w:w="4680" w:type="dxa"/>
            <w:tcMar>
              <w:top w:w="100" w:type="dxa"/>
              <w:left w:w="100" w:type="dxa"/>
              <w:bottom w:w="100" w:type="dxa"/>
              <w:right w:w="100" w:type="dxa"/>
            </w:tcMar>
          </w:tcPr>
          <w:p w14:paraId="1F1289A9" w14:textId="77777777" w:rsidR="00741338" w:rsidRDefault="00000000">
            <w:pPr>
              <w:jc w:val="right"/>
            </w:pPr>
            <w:r>
              <w:t>0</w:t>
            </w:r>
          </w:p>
        </w:tc>
      </w:tr>
      <w:tr w:rsidR="00741338" w14:paraId="56452151" w14:textId="77777777">
        <w:tc>
          <w:tcPr>
            <w:tcW w:w="4680" w:type="dxa"/>
            <w:tcMar>
              <w:top w:w="100" w:type="dxa"/>
              <w:left w:w="100" w:type="dxa"/>
              <w:bottom w:w="100" w:type="dxa"/>
              <w:right w:w="100" w:type="dxa"/>
            </w:tcMar>
          </w:tcPr>
          <w:p w14:paraId="6B5DDB9C" w14:textId="77777777" w:rsidR="00741338" w:rsidRDefault="00000000">
            <w:r>
              <w:rPr>
                <w:b/>
                <w:bCs/>
              </w:rPr>
              <w:t>Total de originales evaluados</w:t>
            </w:r>
          </w:p>
        </w:tc>
        <w:tc>
          <w:tcPr>
            <w:tcW w:w="4680" w:type="dxa"/>
            <w:tcMar>
              <w:top w:w="100" w:type="dxa"/>
              <w:left w:w="100" w:type="dxa"/>
              <w:bottom w:w="100" w:type="dxa"/>
              <w:right w:w="100" w:type="dxa"/>
            </w:tcMar>
          </w:tcPr>
          <w:p w14:paraId="0ABED6DA" w14:textId="77777777" w:rsidR="00741338" w:rsidRDefault="00000000">
            <w:pPr>
              <w:jc w:val="right"/>
            </w:pPr>
            <w:r>
              <w:rPr>
                <w:b/>
                <w:bCs/>
              </w:rPr>
              <w:t>66</w:t>
            </w:r>
          </w:p>
        </w:tc>
      </w:tr>
    </w:tbl>
    <w:p w14:paraId="351BFC24" w14:textId="77777777" w:rsidR="00741338" w:rsidRDefault="00741338"/>
    <w:p w14:paraId="0DA4B125" w14:textId="77777777" w:rsidR="00741338" w:rsidRDefault="00000000">
      <w:r>
        <w:t xml:space="preserve">La regla de integridad se comprobó también en los conservados: sus descripciones no afirman insuficiencia de dotación, insolvencia, defectos comprobados ni facultad de relajar </w:t>
      </w:r>
      <w:r>
        <w:lastRenderedPageBreak/>
        <w:t>compromisos. Reconocer una amenaza externa o una acción hostil no se tomó, por sí solo, como admisión de incapacidad empresarial. No se fuerza un descarte por cada regla para completar una cuota.</w:t>
      </w:r>
    </w:p>
    <w:p w14:paraId="022C9789" w14:textId="77777777" w:rsidR="00741338" w:rsidRDefault="00741338"/>
    <w:p w14:paraId="03BE1400" w14:textId="77777777" w:rsidR="00741338" w:rsidRDefault="00000000">
      <w:r>
        <w:t>Las exclusiones se aplican a esta lista de riesgos: no borran obligaciones, hechos, consultas ni dependencias del proyecto. Las entradas descartadas no se enumeran ni se describen. Ninguna consulta pendiente se declara respondida por excluir una formulación de este inventario.</w:t>
      </w:r>
    </w:p>
    <w:p w14:paraId="2E120471" w14:textId="77777777" w:rsidR="00741338" w:rsidRDefault="00000000">
      <w:pPr>
        <w:pStyle w:val="Ttulo2"/>
      </w:pPr>
      <w:bookmarkStart w:id="2" w:name="_22kqlng51iqz" w:colFirst="0" w:colLast="0"/>
      <w:bookmarkEnd w:id="2"/>
      <w:r>
        <w:t>Cómo se aplicaron las reglas</w:t>
      </w:r>
    </w:p>
    <w:p w14:paraId="0441359E" w14:textId="77777777" w:rsidR="00741338" w:rsidRDefault="00000000">
      <w:pPr>
        <w:numPr>
          <w:ilvl w:val="0"/>
          <w:numId w:val="2"/>
        </w:numPr>
      </w:pPr>
      <w:r>
        <w:rPr>
          <w:b/>
          <w:bCs/>
        </w:rPr>
        <w:t>Regla 1 — integridad empresarial:</w:t>
      </w:r>
      <w:r>
        <w:t xml:space="preserve"> retirar formulaciones que admitan incapacidad para sostener la oferta o presenten como opcional un compromiso obligatorio. En los conservados se mantiene el alcance exigido, sin trasladar automáticamente a terceros la responsabilidad de LafroX.</w:t>
      </w:r>
    </w:p>
    <w:p w14:paraId="54B29912" w14:textId="77777777" w:rsidR="00741338" w:rsidRDefault="00000000">
      <w:pPr>
        <w:numPr>
          <w:ilvl w:val="0"/>
          <w:numId w:val="2"/>
        </w:numPr>
      </w:pPr>
      <w:r>
        <w:rPr>
          <w:b/>
          <w:bCs/>
        </w:rPr>
        <w:t>Regla 2 — competencia de LafroX:</w:t>
      </w:r>
      <w:r>
        <w:t xml:space="preserve"> exigir una cadena identificable entre evento y trabajo de integración, migración, implantación, certificación, aceptación, soporte o seguridad de LafroX. No basta mencionar una pérdida comercial, física o financiera del cliente.</w:t>
      </w:r>
    </w:p>
    <w:p w14:paraId="62A71F3E" w14:textId="77777777" w:rsidR="00741338" w:rsidRDefault="00000000">
      <w:pPr>
        <w:numPr>
          <w:ilvl w:val="0"/>
          <w:numId w:val="2"/>
        </w:numPr>
      </w:pPr>
      <w:r>
        <w:rPr>
          <w:b/>
          <w:bCs/>
        </w:rPr>
        <w:t>Regla 3 — decisiones ya definidas:</w:t>
      </w:r>
      <w:r>
        <w:t xml:space="preserve"> no volver a presentar como abiertas las decisiones adoptadas en SD2/SD3, ni convertir el levantamiento normal o una condición ya declarada en una amenaza adicional sin precisar un evento adverso. Una aprobación o un dato de entrada cuya disponibilidad sigue pendiente no se considera obtenido solo porque exista un supuesto o una respuesta prevista.</w:t>
      </w:r>
    </w:p>
    <w:p w14:paraId="40666BA2" w14:textId="77777777" w:rsidR="00741338" w:rsidRDefault="00000000">
      <w:pPr>
        <w:numPr>
          <w:ilvl w:val="0"/>
          <w:numId w:val="2"/>
        </w:numPr>
      </w:pPr>
      <w:r>
        <w:rPr>
          <w:b/>
          <w:bCs/>
        </w:rPr>
        <w:t>Regla 4 — claridad:</w:t>
      </w:r>
      <w:r>
        <w:t xml:space="preserve"> precisar en cada entrada conservada el momento o proceso, el evento observable y la afectación a LafroX. No se agregan incidentes ocurridos, probabilidades, pérdidas monetarias ni exenciones contractuales.</w:t>
      </w:r>
    </w:p>
    <w:p w14:paraId="343C0516" w14:textId="77777777" w:rsidR="00741338" w:rsidRDefault="00741338"/>
    <w:p w14:paraId="7D9BF1A8" w14:textId="77777777" w:rsidR="00741338" w:rsidRDefault="00000000">
      <w:r>
        <w:t>Se contrastaron las decisiones, supuestos, exclusiones, restricciones, reglas y consultas de SD2/SD3 con los mecanismos concretos de SD4–SD7. El contraste dirigido comprende 91 páginas de evidencia; no constituye una nueva auditoría de todas las obligaciones del expediente. Las formulaciones y clasificaciones son conclusiones de esta revisión, no aceptaciones de la contraparte ni resultados de pruebas ejecutadas.</w:t>
      </w:r>
    </w:p>
    <w:p w14:paraId="6292C3F9" w14:textId="77777777" w:rsidR="00741338" w:rsidRDefault="00000000">
      <w:pPr>
        <w:pStyle w:val="Ttulo2"/>
      </w:pPr>
      <w:bookmarkStart w:id="3" w:name="_ek9xzcg59u81" w:colFirst="0" w:colLast="0"/>
      <w:bookmarkEnd w:id="3"/>
      <w:r>
        <w:t>Lista de riesgos conservados</w:t>
      </w:r>
    </w:p>
    <w:p w14:paraId="337510BB" w14:textId="77777777" w:rsidR="00741338" w:rsidRDefault="00000000">
      <w:r>
        <w:t>Los 33 riesgos conservados del inventario original mantienen su código REC. Las cuatro incorporaciones posteriores reciben códigos REC-067 a REC-070; REC-068, REC-069 y REC-070 proceden respectivamente de R-018, R-027 y R-042, que se conservan como referencias de origen en sus fichas. Los saltos entre REC-001 y REC-066 corresponden a exclusiones; estos códigos no se equiparan automáticamente con el registro de SD8. Cada riesgo tiene una sola rama principal de la RBS existente.</w:t>
      </w:r>
    </w:p>
    <w:p w14:paraId="2D0FB7A4" w14:textId="77777777" w:rsidR="00741338" w:rsidRDefault="00741338"/>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41338" w14:paraId="5D93CF17" w14:textId="77777777">
        <w:trPr>
          <w:tblHeader/>
        </w:trPr>
        <w:tc>
          <w:tcPr>
            <w:tcW w:w="3120" w:type="dxa"/>
            <w:tcMar>
              <w:top w:w="100" w:type="dxa"/>
              <w:left w:w="100" w:type="dxa"/>
              <w:bottom w:w="100" w:type="dxa"/>
              <w:right w:w="100" w:type="dxa"/>
            </w:tcMar>
          </w:tcPr>
          <w:p w14:paraId="4F04E306" w14:textId="77777777" w:rsidR="00741338" w:rsidRDefault="00000000">
            <w:r>
              <w:lastRenderedPageBreak/>
              <w:t>ID normalizado</w:t>
            </w:r>
          </w:p>
        </w:tc>
        <w:tc>
          <w:tcPr>
            <w:tcW w:w="3120" w:type="dxa"/>
            <w:tcMar>
              <w:top w:w="100" w:type="dxa"/>
              <w:left w:w="100" w:type="dxa"/>
              <w:bottom w:w="100" w:type="dxa"/>
              <w:right w:w="100" w:type="dxa"/>
            </w:tcMar>
          </w:tcPr>
          <w:p w14:paraId="09862BDC" w14:textId="77777777" w:rsidR="00741338" w:rsidRDefault="00000000">
            <w:pPr>
              <w:rPr>
                <w:b/>
                <w:bCs/>
              </w:rPr>
            </w:pPr>
            <w:r>
              <w:rPr>
                <w:b/>
                <w:bCs/>
              </w:rPr>
              <w:t>Nombre auditado</w:t>
            </w:r>
          </w:p>
        </w:tc>
        <w:tc>
          <w:tcPr>
            <w:tcW w:w="3120" w:type="dxa"/>
            <w:tcMar>
              <w:top w:w="100" w:type="dxa"/>
              <w:left w:w="100" w:type="dxa"/>
              <w:bottom w:w="100" w:type="dxa"/>
              <w:right w:w="100" w:type="dxa"/>
            </w:tcMar>
          </w:tcPr>
          <w:p w14:paraId="7B4D3FC1" w14:textId="77777777" w:rsidR="00741338" w:rsidRDefault="00000000">
            <w:pPr>
              <w:rPr>
                <w:b/>
                <w:bCs/>
              </w:rPr>
            </w:pPr>
            <w:r>
              <w:rPr>
                <w:b/>
                <w:bCs/>
              </w:rPr>
              <w:t>Rama RBS</w:t>
            </w:r>
          </w:p>
        </w:tc>
      </w:tr>
      <w:tr w:rsidR="00741338" w14:paraId="1527A0B9" w14:textId="77777777">
        <w:tc>
          <w:tcPr>
            <w:tcW w:w="3120" w:type="dxa"/>
            <w:tcMar>
              <w:top w:w="100" w:type="dxa"/>
              <w:left w:w="100" w:type="dxa"/>
              <w:bottom w:w="100" w:type="dxa"/>
              <w:right w:w="100" w:type="dxa"/>
            </w:tcMar>
          </w:tcPr>
          <w:p w14:paraId="0A7C887D" w14:textId="77777777" w:rsidR="00741338" w:rsidRDefault="00000000">
            <w:r>
              <w:t>REC-001</w:t>
            </w:r>
          </w:p>
        </w:tc>
        <w:tc>
          <w:tcPr>
            <w:tcW w:w="3120" w:type="dxa"/>
            <w:tcMar>
              <w:top w:w="100" w:type="dxa"/>
              <w:left w:w="100" w:type="dxa"/>
              <w:bottom w:w="100" w:type="dxa"/>
              <w:right w:w="100" w:type="dxa"/>
            </w:tcMar>
          </w:tcPr>
          <w:p w14:paraId="668CE2CC" w14:textId="77777777" w:rsidR="00741338" w:rsidRDefault="00000000">
            <w:r>
              <w:t>Interfaz del ERP no utilizable al construir la integración</w:t>
            </w:r>
          </w:p>
        </w:tc>
        <w:tc>
          <w:tcPr>
            <w:tcW w:w="3120" w:type="dxa"/>
            <w:tcMar>
              <w:top w:w="100" w:type="dxa"/>
              <w:left w:w="100" w:type="dxa"/>
              <w:bottom w:w="100" w:type="dxa"/>
              <w:right w:w="100" w:type="dxa"/>
            </w:tcMar>
          </w:tcPr>
          <w:p w14:paraId="45E59F93" w14:textId="77777777" w:rsidR="00741338" w:rsidRDefault="00000000">
            <w:r>
              <w:t>Integración y legado</w:t>
            </w:r>
          </w:p>
        </w:tc>
      </w:tr>
      <w:tr w:rsidR="00741338" w14:paraId="17FECCFA" w14:textId="77777777">
        <w:tc>
          <w:tcPr>
            <w:tcW w:w="3120" w:type="dxa"/>
            <w:tcMar>
              <w:top w:w="100" w:type="dxa"/>
              <w:left w:w="100" w:type="dxa"/>
              <w:bottom w:w="100" w:type="dxa"/>
              <w:right w:w="100" w:type="dxa"/>
            </w:tcMar>
          </w:tcPr>
          <w:p w14:paraId="2C4D9646" w14:textId="77777777" w:rsidR="00741338" w:rsidRDefault="00000000">
            <w:r>
              <w:t>REC-002</w:t>
            </w:r>
          </w:p>
        </w:tc>
        <w:tc>
          <w:tcPr>
            <w:tcW w:w="3120" w:type="dxa"/>
            <w:tcMar>
              <w:top w:w="100" w:type="dxa"/>
              <w:left w:w="100" w:type="dxa"/>
              <w:bottom w:w="100" w:type="dxa"/>
              <w:right w:w="100" w:type="dxa"/>
            </w:tcMar>
          </w:tcPr>
          <w:p w14:paraId="378AD6B1" w14:textId="77777777" w:rsidR="00741338" w:rsidRDefault="00000000">
            <w:r>
              <w:t>Proveedor de telemetría no habilita el acceso necesario</w:t>
            </w:r>
          </w:p>
        </w:tc>
        <w:tc>
          <w:tcPr>
            <w:tcW w:w="3120" w:type="dxa"/>
            <w:tcMar>
              <w:top w:w="100" w:type="dxa"/>
              <w:left w:w="100" w:type="dxa"/>
              <w:bottom w:w="100" w:type="dxa"/>
              <w:right w:w="100" w:type="dxa"/>
            </w:tcMar>
          </w:tcPr>
          <w:p w14:paraId="645B2747" w14:textId="77777777" w:rsidR="00741338" w:rsidRDefault="00000000">
            <w:r>
              <w:t>Integración y legado</w:t>
            </w:r>
          </w:p>
        </w:tc>
      </w:tr>
      <w:tr w:rsidR="00741338" w14:paraId="510D2EEB" w14:textId="77777777">
        <w:tc>
          <w:tcPr>
            <w:tcW w:w="3120" w:type="dxa"/>
            <w:tcMar>
              <w:top w:w="100" w:type="dxa"/>
              <w:left w:w="100" w:type="dxa"/>
              <w:bottom w:w="100" w:type="dxa"/>
              <w:right w:w="100" w:type="dxa"/>
            </w:tcMar>
          </w:tcPr>
          <w:p w14:paraId="250A41CD" w14:textId="77777777" w:rsidR="00741338" w:rsidRDefault="00000000">
            <w:r>
              <w:t>REC-003</w:t>
            </w:r>
          </w:p>
        </w:tc>
        <w:tc>
          <w:tcPr>
            <w:tcW w:w="3120" w:type="dxa"/>
            <w:tcMar>
              <w:top w:w="100" w:type="dxa"/>
              <w:left w:w="100" w:type="dxa"/>
              <w:bottom w:w="100" w:type="dxa"/>
              <w:right w:w="100" w:type="dxa"/>
            </w:tcMar>
          </w:tcPr>
          <w:p w14:paraId="158B2B0B" w14:textId="77777777" w:rsidR="00741338" w:rsidRDefault="00000000">
            <w:r>
              <w:t>Cadena comercial no completa oportunamente su certificación EDI</w:t>
            </w:r>
          </w:p>
        </w:tc>
        <w:tc>
          <w:tcPr>
            <w:tcW w:w="3120" w:type="dxa"/>
            <w:tcMar>
              <w:top w:w="100" w:type="dxa"/>
              <w:left w:w="100" w:type="dxa"/>
              <w:bottom w:w="100" w:type="dxa"/>
              <w:right w:w="100" w:type="dxa"/>
            </w:tcMar>
          </w:tcPr>
          <w:p w14:paraId="16FF091C" w14:textId="77777777" w:rsidR="00741338" w:rsidRDefault="00000000">
            <w:r>
              <w:t>Integración y legado</w:t>
            </w:r>
          </w:p>
        </w:tc>
      </w:tr>
      <w:tr w:rsidR="00741338" w14:paraId="49CCF542" w14:textId="77777777">
        <w:tc>
          <w:tcPr>
            <w:tcW w:w="3120" w:type="dxa"/>
            <w:tcMar>
              <w:top w:w="100" w:type="dxa"/>
              <w:left w:w="100" w:type="dxa"/>
              <w:bottom w:w="100" w:type="dxa"/>
              <w:right w:w="100" w:type="dxa"/>
            </w:tcMar>
          </w:tcPr>
          <w:p w14:paraId="01CDCC9C" w14:textId="77777777" w:rsidR="00741338" w:rsidRDefault="00000000">
            <w:r>
              <w:t>REC-004</w:t>
            </w:r>
          </w:p>
        </w:tc>
        <w:tc>
          <w:tcPr>
            <w:tcW w:w="3120" w:type="dxa"/>
            <w:tcMar>
              <w:top w:w="100" w:type="dxa"/>
              <w:left w:w="100" w:type="dxa"/>
              <w:bottom w:w="100" w:type="dxa"/>
              <w:right w:w="100" w:type="dxa"/>
            </w:tcMar>
          </w:tcPr>
          <w:p w14:paraId="4F2F2AFA" w14:textId="77777777" w:rsidR="00741338" w:rsidRDefault="00000000">
            <w:r>
              <w:t>Defectos de historia sanitaria de origen impiden cerrar una carga</w:t>
            </w:r>
          </w:p>
        </w:tc>
        <w:tc>
          <w:tcPr>
            <w:tcW w:w="3120" w:type="dxa"/>
            <w:tcMar>
              <w:top w:w="100" w:type="dxa"/>
              <w:left w:w="100" w:type="dxa"/>
              <w:bottom w:w="100" w:type="dxa"/>
              <w:right w:w="100" w:type="dxa"/>
            </w:tcMar>
          </w:tcPr>
          <w:p w14:paraId="5F909C67" w14:textId="77777777" w:rsidR="00741338" w:rsidRDefault="00000000">
            <w:r>
              <w:t>Solución y tecnología</w:t>
            </w:r>
          </w:p>
        </w:tc>
      </w:tr>
      <w:tr w:rsidR="00741338" w14:paraId="50961794" w14:textId="77777777">
        <w:tc>
          <w:tcPr>
            <w:tcW w:w="3120" w:type="dxa"/>
            <w:tcMar>
              <w:top w:w="100" w:type="dxa"/>
              <w:left w:w="100" w:type="dxa"/>
              <w:bottom w:w="100" w:type="dxa"/>
              <w:right w:w="100" w:type="dxa"/>
            </w:tcMar>
          </w:tcPr>
          <w:p w14:paraId="56E9B6A6" w14:textId="77777777" w:rsidR="00741338" w:rsidRDefault="00000000">
            <w:r>
              <w:t>REC-005</w:t>
            </w:r>
          </w:p>
        </w:tc>
        <w:tc>
          <w:tcPr>
            <w:tcW w:w="3120" w:type="dxa"/>
            <w:tcMar>
              <w:top w:w="100" w:type="dxa"/>
              <w:left w:w="100" w:type="dxa"/>
              <w:bottom w:w="100" w:type="dxa"/>
              <w:right w:w="100" w:type="dxa"/>
            </w:tcMar>
          </w:tcPr>
          <w:p w14:paraId="5F10D7B1" w14:textId="77777777" w:rsidR="00741338" w:rsidRDefault="00000000">
            <w:r>
              <w:t>Historia de ventas no utilizable para la carga y reposición previstas</w:t>
            </w:r>
          </w:p>
        </w:tc>
        <w:tc>
          <w:tcPr>
            <w:tcW w:w="3120" w:type="dxa"/>
            <w:tcMar>
              <w:top w:w="100" w:type="dxa"/>
              <w:left w:w="100" w:type="dxa"/>
              <w:bottom w:w="100" w:type="dxa"/>
              <w:right w:w="100" w:type="dxa"/>
            </w:tcMar>
          </w:tcPr>
          <w:p w14:paraId="242F95E4" w14:textId="77777777" w:rsidR="00741338" w:rsidRDefault="00000000">
            <w:r>
              <w:t>Integración y legado</w:t>
            </w:r>
          </w:p>
        </w:tc>
      </w:tr>
      <w:tr w:rsidR="00741338" w14:paraId="08D2B2F0" w14:textId="77777777">
        <w:tc>
          <w:tcPr>
            <w:tcW w:w="3120" w:type="dxa"/>
            <w:tcMar>
              <w:top w:w="100" w:type="dxa"/>
              <w:left w:w="100" w:type="dxa"/>
              <w:bottom w:w="100" w:type="dxa"/>
              <w:right w:w="100" w:type="dxa"/>
            </w:tcMar>
          </w:tcPr>
          <w:p w14:paraId="29137B1C" w14:textId="77777777" w:rsidR="00741338" w:rsidRDefault="00000000">
            <w:r>
              <w:t>REC-006</w:t>
            </w:r>
          </w:p>
        </w:tc>
        <w:tc>
          <w:tcPr>
            <w:tcW w:w="3120" w:type="dxa"/>
            <w:tcMar>
              <w:top w:w="100" w:type="dxa"/>
              <w:left w:w="100" w:type="dxa"/>
              <w:bottom w:w="100" w:type="dxa"/>
              <w:right w:w="100" w:type="dxa"/>
            </w:tcMar>
          </w:tcPr>
          <w:p w14:paraId="6B669BB0" w14:textId="77777777" w:rsidR="00741338" w:rsidRDefault="00000000">
            <w:r>
              <w:t>Diferencias de inventario sin resolver antes del corte de migración</w:t>
            </w:r>
          </w:p>
        </w:tc>
        <w:tc>
          <w:tcPr>
            <w:tcW w:w="3120" w:type="dxa"/>
            <w:tcMar>
              <w:top w:w="100" w:type="dxa"/>
              <w:left w:w="100" w:type="dxa"/>
              <w:bottom w:w="100" w:type="dxa"/>
              <w:right w:w="100" w:type="dxa"/>
            </w:tcMar>
          </w:tcPr>
          <w:p w14:paraId="5A6FA9D2" w14:textId="77777777" w:rsidR="00741338" w:rsidRDefault="00000000">
            <w:r>
              <w:t>Operación del cliente</w:t>
            </w:r>
          </w:p>
        </w:tc>
      </w:tr>
      <w:tr w:rsidR="00741338" w14:paraId="357AFAFA" w14:textId="77777777">
        <w:tc>
          <w:tcPr>
            <w:tcW w:w="3120" w:type="dxa"/>
            <w:tcMar>
              <w:top w:w="100" w:type="dxa"/>
              <w:left w:w="100" w:type="dxa"/>
              <w:bottom w:w="100" w:type="dxa"/>
              <w:right w:w="100" w:type="dxa"/>
            </w:tcMar>
          </w:tcPr>
          <w:p w14:paraId="162745E8" w14:textId="77777777" w:rsidR="00741338" w:rsidRDefault="00000000">
            <w:r>
              <w:t>REC-007</w:t>
            </w:r>
          </w:p>
        </w:tc>
        <w:tc>
          <w:tcPr>
            <w:tcW w:w="3120" w:type="dxa"/>
            <w:tcMar>
              <w:top w:w="100" w:type="dxa"/>
              <w:left w:w="100" w:type="dxa"/>
              <w:bottom w:w="100" w:type="dxa"/>
              <w:right w:w="100" w:type="dxa"/>
            </w:tcMar>
          </w:tcPr>
          <w:p w14:paraId="7BB188E7" w14:textId="77777777" w:rsidR="00741338" w:rsidRDefault="00000000">
            <w:r>
              <w:t>Saldo inicial de envases no conciliable al preparar la carga de M8</w:t>
            </w:r>
          </w:p>
        </w:tc>
        <w:tc>
          <w:tcPr>
            <w:tcW w:w="3120" w:type="dxa"/>
            <w:tcMar>
              <w:top w:w="100" w:type="dxa"/>
              <w:left w:w="100" w:type="dxa"/>
              <w:bottom w:w="100" w:type="dxa"/>
              <w:right w:w="100" w:type="dxa"/>
            </w:tcMar>
          </w:tcPr>
          <w:p w14:paraId="64DE0BE3" w14:textId="77777777" w:rsidR="00741338" w:rsidRDefault="00000000">
            <w:r>
              <w:t>Operación del cliente</w:t>
            </w:r>
          </w:p>
        </w:tc>
      </w:tr>
      <w:tr w:rsidR="00741338" w14:paraId="1A3A8381" w14:textId="77777777">
        <w:tc>
          <w:tcPr>
            <w:tcW w:w="3120" w:type="dxa"/>
            <w:tcMar>
              <w:top w:w="100" w:type="dxa"/>
              <w:left w:w="100" w:type="dxa"/>
              <w:bottom w:w="100" w:type="dxa"/>
              <w:right w:w="100" w:type="dxa"/>
            </w:tcMar>
          </w:tcPr>
          <w:p w14:paraId="49FB17CB" w14:textId="77777777" w:rsidR="00741338" w:rsidRDefault="00000000">
            <w:r>
              <w:t>REC-008</w:t>
            </w:r>
          </w:p>
        </w:tc>
        <w:tc>
          <w:tcPr>
            <w:tcW w:w="3120" w:type="dxa"/>
            <w:tcMar>
              <w:top w:w="100" w:type="dxa"/>
              <w:left w:w="100" w:type="dxa"/>
              <w:bottom w:w="100" w:type="dxa"/>
              <w:right w:w="100" w:type="dxa"/>
            </w:tcMar>
          </w:tcPr>
          <w:p w14:paraId="40CCB1D2" w14:textId="77777777" w:rsidR="00741338" w:rsidRDefault="00000000">
            <w:r>
              <w:t>Historia de origen insuficiente para sustentar las líneas base de aceptación</w:t>
            </w:r>
          </w:p>
        </w:tc>
        <w:tc>
          <w:tcPr>
            <w:tcW w:w="3120" w:type="dxa"/>
            <w:tcMar>
              <w:top w:w="100" w:type="dxa"/>
              <w:left w:w="100" w:type="dxa"/>
              <w:bottom w:w="100" w:type="dxa"/>
              <w:right w:w="100" w:type="dxa"/>
            </w:tcMar>
          </w:tcPr>
          <w:p w14:paraId="07CE8E6C" w14:textId="77777777" w:rsidR="00741338" w:rsidRDefault="00000000">
            <w:r>
              <w:t>Operación del cliente</w:t>
            </w:r>
          </w:p>
        </w:tc>
      </w:tr>
      <w:tr w:rsidR="00741338" w14:paraId="4CDB3A6B" w14:textId="77777777">
        <w:tc>
          <w:tcPr>
            <w:tcW w:w="3120" w:type="dxa"/>
            <w:tcMar>
              <w:top w:w="100" w:type="dxa"/>
              <w:left w:w="100" w:type="dxa"/>
              <w:bottom w:w="100" w:type="dxa"/>
              <w:right w:w="100" w:type="dxa"/>
            </w:tcMar>
          </w:tcPr>
          <w:p w14:paraId="51D39D2A" w14:textId="77777777" w:rsidR="00741338" w:rsidRDefault="00000000">
            <w:r>
              <w:t>REC-009</w:t>
            </w:r>
          </w:p>
        </w:tc>
        <w:tc>
          <w:tcPr>
            <w:tcW w:w="3120" w:type="dxa"/>
            <w:tcMar>
              <w:top w:w="100" w:type="dxa"/>
              <w:left w:w="100" w:type="dxa"/>
              <w:bottom w:w="100" w:type="dxa"/>
              <w:right w:w="100" w:type="dxa"/>
            </w:tcMar>
          </w:tcPr>
          <w:p w14:paraId="3E414207" w14:textId="77777777" w:rsidR="00741338" w:rsidRDefault="00000000">
            <w:r>
              <w:t>Deuda viva adicional a la cartera incluida en la volumetría provisional</w:t>
            </w:r>
          </w:p>
        </w:tc>
        <w:tc>
          <w:tcPr>
            <w:tcW w:w="3120" w:type="dxa"/>
            <w:tcMar>
              <w:top w:w="100" w:type="dxa"/>
              <w:left w:w="100" w:type="dxa"/>
              <w:bottom w:w="100" w:type="dxa"/>
              <w:right w:w="100" w:type="dxa"/>
            </w:tcMar>
          </w:tcPr>
          <w:p w14:paraId="688EE45A" w14:textId="77777777" w:rsidR="00741338" w:rsidRDefault="00000000">
            <w:r>
              <w:t>Integración y legado</w:t>
            </w:r>
          </w:p>
        </w:tc>
      </w:tr>
      <w:tr w:rsidR="00741338" w14:paraId="783181C5" w14:textId="77777777">
        <w:tc>
          <w:tcPr>
            <w:tcW w:w="3120" w:type="dxa"/>
            <w:tcMar>
              <w:top w:w="100" w:type="dxa"/>
              <w:left w:w="100" w:type="dxa"/>
              <w:bottom w:w="100" w:type="dxa"/>
              <w:right w:w="100" w:type="dxa"/>
            </w:tcMar>
          </w:tcPr>
          <w:p w14:paraId="115D0007" w14:textId="77777777" w:rsidR="00741338" w:rsidRDefault="00000000">
            <w:r>
              <w:t>REC-011</w:t>
            </w:r>
          </w:p>
        </w:tc>
        <w:tc>
          <w:tcPr>
            <w:tcW w:w="3120" w:type="dxa"/>
            <w:tcMar>
              <w:top w:w="100" w:type="dxa"/>
              <w:left w:w="100" w:type="dxa"/>
              <w:bottom w:w="100" w:type="dxa"/>
              <w:right w:w="100" w:type="dxa"/>
            </w:tcMar>
          </w:tcPr>
          <w:p w14:paraId="37D6C843" w14:textId="77777777" w:rsidR="00741338" w:rsidRDefault="00000000">
            <w:r>
              <w:t>ERP legado indisponible cuando se requiere emitir una guía nueva</w:t>
            </w:r>
          </w:p>
        </w:tc>
        <w:tc>
          <w:tcPr>
            <w:tcW w:w="3120" w:type="dxa"/>
            <w:tcMar>
              <w:top w:w="100" w:type="dxa"/>
              <w:left w:w="100" w:type="dxa"/>
              <w:bottom w:w="100" w:type="dxa"/>
              <w:right w:w="100" w:type="dxa"/>
            </w:tcMar>
          </w:tcPr>
          <w:p w14:paraId="45CD8343" w14:textId="77777777" w:rsidR="00741338" w:rsidRDefault="00000000">
            <w:r>
              <w:t>Integración y legado</w:t>
            </w:r>
          </w:p>
        </w:tc>
      </w:tr>
      <w:tr w:rsidR="00741338" w14:paraId="19E03DA8" w14:textId="77777777">
        <w:tc>
          <w:tcPr>
            <w:tcW w:w="3120" w:type="dxa"/>
            <w:tcMar>
              <w:top w:w="100" w:type="dxa"/>
              <w:left w:w="100" w:type="dxa"/>
              <w:bottom w:w="100" w:type="dxa"/>
              <w:right w:w="100" w:type="dxa"/>
            </w:tcMar>
          </w:tcPr>
          <w:p w14:paraId="1E4C5A01" w14:textId="77777777" w:rsidR="00741338" w:rsidRDefault="00000000">
            <w:r>
              <w:t>REC-012</w:t>
            </w:r>
          </w:p>
        </w:tc>
        <w:tc>
          <w:tcPr>
            <w:tcW w:w="3120" w:type="dxa"/>
            <w:tcMar>
              <w:top w:w="100" w:type="dxa"/>
              <w:left w:w="100" w:type="dxa"/>
              <w:bottom w:w="100" w:type="dxa"/>
              <w:right w:w="100" w:type="dxa"/>
            </w:tcMar>
          </w:tcPr>
          <w:p w14:paraId="7225A084" w14:textId="77777777" w:rsidR="00741338" w:rsidRDefault="00000000">
            <w:r>
              <w:t>El Servicio de Impuestos Internos no responde y deja pendiente un trámite tributario</w:t>
            </w:r>
          </w:p>
        </w:tc>
        <w:tc>
          <w:tcPr>
            <w:tcW w:w="3120" w:type="dxa"/>
            <w:tcMar>
              <w:top w:w="100" w:type="dxa"/>
              <w:left w:w="100" w:type="dxa"/>
              <w:bottom w:w="100" w:type="dxa"/>
              <w:right w:w="100" w:type="dxa"/>
            </w:tcMar>
          </w:tcPr>
          <w:p w14:paraId="288BE516" w14:textId="77777777" w:rsidR="00741338" w:rsidRDefault="00000000">
            <w:r>
              <w:t>Integración y legado</w:t>
            </w:r>
          </w:p>
        </w:tc>
      </w:tr>
      <w:tr w:rsidR="00741338" w14:paraId="0D70399D" w14:textId="77777777">
        <w:tc>
          <w:tcPr>
            <w:tcW w:w="3120" w:type="dxa"/>
            <w:tcMar>
              <w:top w:w="100" w:type="dxa"/>
              <w:left w:w="100" w:type="dxa"/>
              <w:bottom w:w="100" w:type="dxa"/>
              <w:right w:w="100" w:type="dxa"/>
            </w:tcMar>
          </w:tcPr>
          <w:p w14:paraId="4AAA2681" w14:textId="77777777" w:rsidR="00741338" w:rsidRDefault="00000000">
            <w:r>
              <w:lastRenderedPageBreak/>
              <w:t>REC-013</w:t>
            </w:r>
          </w:p>
        </w:tc>
        <w:tc>
          <w:tcPr>
            <w:tcW w:w="3120" w:type="dxa"/>
            <w:tcMar>
              <w:top w:w="100" w:type="dxa"/>
              <w:left w:w="100" w:type="dxa"/>
              <w:bottom w:w="100" w:type="dxa"/>
              <w:right w:w="100" w:type="dxa"/>
            </w:tcMar>
          </w:tcPr>
          <w:p w14:paraId="7C93FFD9" w14:textId="77777777" w:rsidR="00741338" w:rsidRDefault="00000000">
            <w:r>
              <w:t>POS deja un pago sin resultado externo comprobable</w:t>
            </w:r>
          </w:p>
        </w:tc>
        <w:tc>
          <w:tcPr>
            <w:tcW w:w="3120" w:type="dxa"/>
            <w:tcMar>
              <w:top w:w="100" w:type="dxa"/>
              <w:left w:w="100" w:type="dxa"/>
              <w:bottom w:w="100" w:type="dxa"/>
              <w:right w:w="100" w:type="dxa"/>
            </w:tcMar>
          </w:tcPr>
          <w:p w14:paraId="54CB11A1" w14:textId="77777777" w:rsidR="00741338" w:rsidRDefault="00000000">
            <w:r>
              <w:t>Integración y legado</w:t>
            </w:r>
          </w:p>
        </w:tc>
      </w:tr>
      <w:tr w:rsidR="00741338" w14:paraId="7E847C4F" w14:textId="77777777">
        <w:tc>
          <w:tcPr>
            <w:tcW w:w="3120" w:type="dxa"/>
            <w:tcMar>
              <w:top w:w="100" w:type="dxa"/>
              <w:left w:w="100" w:type="dxa"/>
              <w:bottom w:w="100" w:type="dxa"/>
              <w:right w:w="100" w:type="dxa"/>
            </w:tcMar>
          </w:tcPr>
          <w:p w14:paraId="255EF3A2" w14:textId="77777777" w:rsidR="00741338" w:rsidRDefault="00000000">
            <w:r>
              <w:t>REC-014</w:t>
            </w:r>
          </w:p>
        </w:tc>
        <w:tc>
          <w:tcPr>
            <w:tcW w:w="3120" w:type="dxa"/>
            <w:tcMar>
              <w:top w:w="100" w:type="dxa"/>
              <w:left w:w="100" w:type="dxa"/>
              <w:bottom w:w="100" w:type="dxa"/>
              <w:right w:w="100" w:type="dxa"/>
            </w:tcMar>
          </w:tcPr>
          <w:p w14:paraId="46B55F26" w14:textId="77777777" w:rsidR="00741338" w:rsidRDefault="00000000">
            <w:r>
              <w:t>El proveedor de mensajes falla y un aviso operativo queda pendiente</w:t>
            </w:r>
          </w:p>
        </w:tc>
        <w:tc>
          <w:tcPr>
            <w:tcW w:w="3120" w:type="dxa"/>
            <w:tcMar>
              <w:top w:w="100" w:type="dxa"/>
              <w:left w:w="100" w:type="dxa"/>
              <w:bottom w:w="100" w:type="dxa"/>
              <w:right w:w="100" w:type="dxa"/>
            </w:tcMar>
          </w:tcPr>
          <w:p w14:paraId="371011B7" w14:textId="77777777" w:rsidR="00741338" w:rsidRDefault="00000000">
            <w:r>
              <w:t>Integración y legado</w:t>
            </w:r>
          </w:p>
        </w:tc>
      </w:tr>
      <w:tr w:rsidR="00741338" w14:paraId="700E3AB4" w14:textId="77777777">
        <w:tc>
          <w:tcPr>
            <w:tcW w:w="3120" w:type="dxa"/>
            <w:tcMar>
              <w:top w:w="100" w:type="dxa"/>
              <w:left w:w="100" w:type="dxa"/>
              <w:bottom w:w="100" w:type="dxa"/>
              <w:right w:w="100" w:type="dxa"/>
            </w:tcMar>
          </w:tcPr>
          <w:p w14:paraId="3BA1D2F1" w14:textId="77777777" w:rsidR="00741338" w:rsidRDefault="00000000">
            <w:r>
              <w:t>REC-015</w:t>
            </w:r>
          </w:p>
        </w:tc>
        <w:tc>
          <w:tcPr>
            <w:tcW w:w="3120" w:type="dxa"/>
            <w:tcMar>
              <w:top w:w="100" w:type="dxa"/>
              <w:left w:w="100" w:type="dxa"/>
              <w:bottom w:w="100" w:type="dxa"/>
              <w:right w:w="100" w:type="dxa"/>
            </w:tcMar>
          </w:tcPr>
          <w:p w14:paraId="4A264549" w14:textId="77777777" w:rsidR="00741338" w:rsidRDefault="00000000">
            <w:r>
              <w:t>El servicio externo de mapas limita las consultas y deja una planificación incompleta</w:t>
            </w:r>
          </w:p>
        </w:tc>
        <w:tc>
          <w:tcPr>
            <w:tcW w:w="3120" w:type="dxa"/>
            <w:tcMar>
              <w:top w:w="100" w:type="dxa"/>
              <w:left w:w="100" w:type="dxa"/>
              <w:bottom w:w="100" w:type="dxa"/>
              <w:right w:w="100" w:type="dxa"/>
            </w:tcMar>
          </w:tcPr>
          <w:p w14:paraId="393CE447" w14:textId="77777777" w:rsidR="00741338" w:rsidRDefault="00000000">
            <w:r>
              <w:t>Integración y legado</w:t>
            </w:r>
          </w:p>
        </w:tc>
      </w:tr>
      <w:tr w:rsidR="00741338" w14:paraId="27DE92EA" w14:textId="77777777">
        <w:tc>
          <w:tcPr>
            <w:tcW w:w="3120" w:type="dxa"/>
            <w:tcMar>
              <w:top w:w="100" w:type="dxa"/>
              <w:left w:w="100" w:type="dxa"/>
              <w:bottom w:w="100" w:type="dxa"/>
              <w:right w:w="100" w:type="dxa"/>
            </w:tcMar>
          </w:tcPr>
          <w:p w14:paraId="6CEEED18" w14:textId="77777777" w:rsidR="00741338" w:rsidRDefault="00000000">
            <w:r>
              <w:t>REC-027</w:t>
            </w:r>
          </w:p>
        </w:tc>
        <w:tc>
          <w:tcPr>
            <w:tcW w:w="3120" w:type="dxa"/>
            <w:tcMar>
              <w:top w:w="100" w:type="dxa"/>
              <w:left w:w="100" w:type="dxa"/>
              <w:bottom w:w="100" w:type="dxa"/>
              <w:right w:w="100" w:type="dxa"/>
            </w:tcMar>
          </w:tcPr>
          <w:p w14:paraId="250AAC87" w14:textId="77777777" w:rsidR="00741338" w:rsidRDefault="00000000">
            <w:r>
              <w:t>Calidad no entrega la matriz térmica aprobada antes de certificar</w:t>
            </w:r>
          </w:p>
        </w:tc>
        <w:tc>
          <w:tcPr>
            <w:tcW w:w="3120" w:type="dxa"/>
            <w:tcMar>
              <w:top w:w="100" w:type="dxa"/>
              <w:left w:w="100" w:type="dxa"/>
              <w:bottom w:w="100" w:type="dxa"/>
              <w:right w:w="100" w:type="dxa"/>
            </w:tcMar>
          </w:tcPr>
          <w:p w14:paraId="258985CB" w14:textId="77777777" w:rsidR="00741338" w:rsidRDefault="00000000">
            <w:r>
              <w:t>Operación del cliente</w:t>
            </w:r>
          </w:p>
        </w:tc>
      </w:tr>
      <w:tr w:rsidR="00741338" w14:paraId="249A6014" w14:textId="77777777">
        <w:tc>
          <w:tcPr>
            <w:tcW w:w="3120" w:type="dxa"/>
            <w:tcMar>
              <w:top w:w="100" w:type="dxa"/>
              <w:left w:w="100" w:type="dxa"/>
              <w:bottom w:w="100" w:type="dxa"/>
              <w:right w:w="100" w:type="dxa"/>
            </w:tcMar>
          </w:tcPr>
          <w:p w14:paraId="20B6F081" w14:textId="77777777" w:rsidR="00741338" w:rsidRDefault="00000000">
            <w:r>
              <w:t>REC-034</w:t>
            </w:r>
          </w:p>
        </w:tc>
        <w:tc>
          <w:tcPr>
            <w:tcW w:w="3120" w:type="dxa"/>
            <w:tcMar>
              <w:top w:w="100" w:type="dxa"/>
              <w:left w:w="100" w:type="dxa"/>
              <w:bottom w:w="100" w:type="dxa"/>
              <w:right w:w="100" w:type="dxa"/>
            </w:tcMar>
          </w:tcPr>
          <w:p w14:paraId="25354202" w14:textId="77777777" w:rsidR="00741338" w:rsidRDefault="00000000">
            <w:r>
              <w:t>Equipos que compra el cliente no llegan antes de la ola prevista</w:t>
            </w:r>
          </w:p>
        </w:tc>
        <w:tc>
          <w:tcPr>
            <w:tcW w:w="3120" w:type="dxa"/>
            <w:tcMar>
              <w:top w:w="100" w:type="dxa"/>
              <w:left w:w="100" w:type="dxa"/>
              <w:bottom w:w="100" w:type="dxa"/>
              <w:right w:w="100" w:type="dxa"/>
            </w:tcMar>
          </w:tcPr>
          <w:p w14:paraId="07320299" w14:textId="77777777" w:rsidR="00741338" w:rsidRDefault="00000000">
            <w:r>
              <w:t>Operación del cliente</w:t>
            </w:r>
          </w:p>
        </w:tc>
      </w:tr>
      <w:tr w:rsidR="00741338" w14:paraId="2A740CAB" w14:textId="77777777">
        <w:tc>
          <w:tcPr>
            <w:tcW w:w="3120" w:type="dxa"/>
            <w:tcMar>
              <w:top w:w="100" w:type="dxa"/>
              <w:left w:w="100" w:type="dxa"/>
              <w:bottom w:w="100" w:type="dxa"/>
              <w:right w:w="100" w:type="dxa"/>
            </w:tcMar>
          </w:tcPr>
          <w:p w14:paraId="5164B775" w14:textId="77777777" w:rsidR="00741338" w:rsidRDefault="00000000">
            <w:r>
              <w:t>REC-035</w:t>
            </w:r>
          </w:p>
        </w:tc>
        <w:tc>
          <w:tcPr>
            <w:tcW w:w="3120" w:type="dxa"/>
            <w:tcMar>
              <w:top w:w="100" w:type="dxa"/>
              <w:left w:w="100" w:type="dxa"/>
              <w:bottom w:w="100" w:type="dxa"/>
              <w:right w:w="100" w:type="dxa"/>
            </w:tcMar>
          </w:tcPr>
          <w:p w14:paraId="1FDED554" w14:textId="77777777" w:rsidR="00741338" w:rsidRDefault="00000000">
            <w:r>
              <w:t>Un transportista no firma a tiempo el acuerdo necesario para incorporarlo al reparto</w:t>
            </w:r>
          </w:p>
        </w:tc>
        <w:tc>
          <w:tcPr>
            <w:tcW w:w="3120" w:type="dxa"/>
            <w:tcMar>
              <w:top w:w="100" w:type="dxa"/>
              <w:left w:w="100" w:type="dxa"/>
              <w:bottom w:w="100" w:type="dxa"/>
              <w:right w:w="100" w:type="dxa"/>
            </w:tcMar>
          </w:tcPr>
          <w:p w14:paraId="42AAB87B" w14:textId="77777777" w:rsidR="00741338" w:rsidRDefault="00000000">
            <w:r>
              <w:t>Personas y adopción</w:t>
            </w:r>
          </w:p>
        </w:tc>
      </w:tr>
      <w:tr w:rsidR="00741338" w14:paraId="0979D551" w14:textId="77777777">
        <w:tc>
          <w:tcPr>
            <w:tcW w:w="3120" w:type="dxa"/>
            <w:tcMar>
              <w:top w:w="100" w:type="dxa"/>
              <w:left w:w="100" w:type="dxa"/>
              <w:bottom w:w="100" w:type="dxa"/>
              <w:right w:w="100" w:type="dxa"/>
            </w:tcMar>
          </w:tcPr>
          <w:p w14:paraId="4116C8A0" w14:textId="77777777" w:rsidR="00741338" w:rsidRDefault="00000000">
            <w:r>
              <w:t>REC-036</w:t>
            </w:r>
          </w:p>
        </w:tc>
        <w:tc>
          <w:tcPr>
            <w:tcW w:w="3120" w:type="dxa"/>
            <w:tcMar>
              <w:top w:w="100" w:type="dxa"/>
              <w:left w:w="100" w:type="dxa"/>
              <w:bottom w:w="100" w:type="dxa"/>
              <w:right w:w="100" w:type="dxa"/>
            </w:tcMar>
          </w:tcPr>
          <w:p w14:paraId="221B6710" w14:textId="77777777" w:rsidR="00741338" w:rsidRDefault="00000000">
            <w:r>
              <w:t>Un transportista no permite instalar el equipo que registra la temperatura de su camión</w:t>
            </w:r>
          </w:p>
        </w:tc>
        <w:tc>
          <w:tcPr>
            <w:tcW w:w="3120" w:type="dxa"/>
            <w:tcMar>
              <w:top w:w="100" w:type="dxa"/>
              <w:left w:w="100" w:type="dxa"/>
              <w:bottom w:w="100" w:type="dxa"/>
              <w:right w:w="100" w:type="dxa"/>
            </w:tcMar>
          </w:tcPr>
          <w:p w14:paraId="104D887D" w14:textId="77777777" w:rsidR="00741338" w:rsidRDefault="00000000">
            <w:r>
              <w:t>Operación del cliente</w:t>
            </w:r>
          </w:p>
        </w:tc>
      </w:tr>
      <w:tr w:rsidR="00741338" w14:paraId="6CF06858" w14:textId="77777777">
        <w:tc>
          <w:tcPr>
            <w:tcW w:w="3120" w:type="dxa"/>
            <w:tcMar>
              <w:top w:w="100" w:type="dxa"/>
              <w:left w:w="100" w:type="dxa"/>
              <w:bottom w:w="100" w:type="dxa"/>
              <w:right w:w="100" w:type="dxa"/>
            </w:tcMar>
          </w:tcPr>
          <w:p w14:paraId="21F936DB" w14:textId="77777777" w:rsidR="00741338" w:rsidRDefault="00000000">
            <w:r>
              <w:t>REC-039</w:t>
            </w:r>
          </w:p>
        </w:tc>
        <w:tc>
          <w:tcPr>
            <w:tcW w:w="3120" w:type="dxa"/>
            <w:tcMar>
              <w:top w:w="100" w:type="dxa"/>
              <w:left w:w="100" w:type="dxa"/>
              <w:bottom w:w="100" w:type="dxa"/>
              <w:right w:w="100" w:type="dxa"/>
            </w:tcMar>
          </w:tcPr>
          <w:p w14:paraId="70BA2C66" w14:textId="77777777" w:rsidR="00741338" w:rsidRDefault="00000000">
            <w:r>
              <w:t>Usuarios mantienen el proceso anterior en lugar de registrar en la solución</w:t>
            </w:r>
          </w:p>
        </w:tc>
        <w:tc>
          <w:tcPr>
            <w:tcW w:w="3120" w:type="dxa"/>
            <w:tcMar>
              <w:top w:w="100" w:type="dxa"/>
              <w:left w:w="100" w:type="dxa"/>
              <w:bottom w:w="100" w:type="dxa"/>
              <w:right w:w="100" w:type="dxa"/>
            </w:tcMar>
          </w:tcPr>
          <w:p w14:paraId="314631C7" w14:textId="77777777" w:rsidR="00741338" w:rsidRDefault="00000000">
            <w:r>
              <w:t>Personas y adopción</w:t>
            </w:r>
          </w:p>
        </w:tc>
      </w:tr>
      <w:tr w:rsidR="00741338" w14:paraId="467442BB" w14:textId="77777777">
        <w:tc>
          <w:tcPr>
            <w:tcW w:w="3120" w:type="dxa"/>
            <w:tcMar>
              <w:top w:w="100" w:type="dxa"/>
              <w:left w:w="100" w:type="dxa"/>
              <w:bottom w:w="100" w:type="dxa"/>
              <w:right w:w="100" w:type="dxa"/>
            </w:tcMar>
          </w:tcPr>
          <w:p w14:paraId="5DDFFBFE" w14:textId="77777777" w:rsidR="00741338" w:rsidRDefault="00000000">
            <w:r>
              <w:t>REC-041</w:t>
            </w:r>
          </w:p>
        </w:tc>
        <w:tc>
          <w:tcPr>
            <w:tcW w:w="3120" w:type="dxa"/>
            <w:tcMar>
              <w:top w:w="100" w:type="dxa"/>
              <w:left w:w="100" w:type="dxa"/>
              <w:bottom w:w="100" w:type="dxa"/>
              <w:right w:w="100" w:type="dxa"/>
            </w:tcMar>
          </w:tcPr>
          <w:p w14:paraId="74D31B35" w14:textId="77777777" w:rsidR="00741338" w:rsidRDefault="00000000">
            <w:r>
              <w:t>Planificador deja de estar disponible antes de validar sus excepciones</w:t>
            </w:r>
          </w:p>
        </w:tc>
        <w:tc>
          <w:tcPr>
            <w:tcW w:w="3120" w:type="dxa"/>
            <w:tcMar>
              <w:top w:w="100" w:type="dxa"/>
              <w:left w:w="100" w:type="dxa"/>
              <w:bottom w:w="100" w:type="dxa"/>
              <w:right w:w="100" w:type="dxa"/>
            </w:tcMar>
          </w:tcPr>
          <w:p w14:paraId="61C7BB96" w14:textId="77777777" w:rsidR="00741338" w:rsidRDefault="00000000">
            <w:r>
              <w:t>Personas y adopción</w:t>
            </w:r>
          </w:p>
        </w:tc>
      </w:tr>
      <w:tr w:rsidR="00741338" w14:paraId="44729F16" w14:textId="77777777">
        <w:tc>
          <w:tcPr>
            <w:tcW w:w="3120" w:type="dxa"/>
            <w:tcMar>
              <w:top w:w="100" w:type="dxa"/>
              <w:left w:w="100" w:type="dxa"/>
              <w:bottom w:w="100" w:type="dxa"/>
              <w:right w:w="100" w:type="dxa"/>
            </w:tcMar>
          </w:tcPr>
          <w:p w14:paraId="7530E695" w14:textId="77777777" w:rsidR="00741338" w:rsidRDefault="00000000">
            <w:r>
              <w:t>REC-042</w:t>
            </w:r>
          </w:p>
        </w:tc>
        <w:tc>
          <w:tcPr>
            <w:tcW w:w="3120" w:type="dxa"/>
            <w:tcMar>
              <w:top w:w="100" w:type="dxa"/>
              <w:left w:w="100" w:type="dxa"/>
              <w:bottom w:w="100" w:type="dxa"/>
              <w:right w:w="100" w:type="dxa"/>
            </w:tcMar>
          </w:tcPr>
          <w:p w14:paraId="700ADC7C" w14:textId="77777777" w:rsidR="00741338" w:rsidRDefault="00000000">
            <w:r>
              <w:t>Los usuarios no pueden asistir a la capacitación prevista antes de cerrar una ola</w:t>
            </w:r>
          </w:p>
        </w:tc>
        <w:tc>
          <w:tcPr>
            <w:tcW w:w="3120" w:type="dxa"/>
            <w:tcMar>
              <w:top w:w="100" w:type="dxa"/>
              <w:left w:w="100" w:type="dxa"/>
              <w:bottom w:w="100" w:type="dxa"/>
              <w:right w:w="100" w:type="dxa"/>
            </w:tcMar>
          </w:tcPr>
          <w:p w14:paraId="6BB972B6" w14:textId="77777777" w:rsidR="00741338" w:rsidRDefault="00000000">
            <w:r>
              <w:t>Personas y adopción</w:t>
            </w:r>
          </w:p>
        </w:tc>
      </w:tr>
      <w:tr w:rsidR="00741338" w14:paraId="18F210FB" w14:textId="77777777">
        <w:tc>
          <w:tcPr>
            <w:tcW w:w="3120" w:type="dxa"/>
            <w:tcMar>
              <w:top w:w="100" w:type="dxa"/>
              <w:left w:w="100" w:type="dxa"/>
              <w:bottom w:w="100" w:type="dxa"/>
              <w:right w:w="100" w:type="dxa"/>
            </w:tcMar>
          </w:tcPr>
          <w:p w14:paraId="7C4DE947" w14:textId="77777777" w:rsidR="00741338" w:rsidRDefault="00000000">
            <w:r>
              <w:t>REC-043</w:t>
            </w:r>
          </w:p>
        </w:tc>
        <w:tc>
          <w:tcPr>
            <w:tcW w:w="3120" w:type="dxa"/>
            <w:tcMar>
              <w:top w:w="100" w:type="dxa"/>
              <w:left w:w="100" w:type="dxa"/>
              <w:bottom w:w="100" w:type="dxa"/>
              <w:right w:w="100" w:type="dxa"/>
            </w:tcMar>
          </w:tcPr>
          <w:p w14:paraId="53FB4446" w14:textId="77777777" w:rsidR="00741338" w:rsidRDefault="00000000">
            <w:r>
              <w:t>Contraparte no entrega una validación necesaria en la fecha prevista</w:t>
            </w:r>
          </w:p>
        </w:tc>
        <w:tc>
          <w:tcPr>
            <w:tcW w:w="3120" w:type="dxa"/>
            <w:tcMar>
              <w:top w:w="100" w:type="dxa"/>
              <w:left w:w="100" w:type="dxa"/>
              <w:bottom w:w="100" w:type="dxa"/>
              <w:right w:w="100" w:type="dxa"/>
            </w:tcMar>
          </w:tcPr>
          <w:p w14:paraId="69771874" w14:textId="77777777" w:rsidR="00741338" w:rsidRDefault="00000000">
            <w:r>
              <w:t>Operación del cliente</w:t>
            </w:r>
          </w:p>
        </w:tc>
      </w:tr>
      <w:tr w:rsidR="00741338" w14:paraId="610C0F6A" w14:textId="77777777">
        <w:tc>
          <w:tcPr>
            <w:tcW w:w="3120" w:type="dxa"/>
            <w:tcMar>
              <w:top w:w="100" w:type="dxa"/>
              <w:left w:w="100" w:type="dxa"/>
              <w:bottom w:w="100" w:type="dxa"/>
              <w:right w:w="100" w:type="dxa"/>
            </w:tcMar>
          </w:tcPr>
          <w:p w14:paraId="198223CF" w14:textId="77777777" w:rsidR="00741338" w:rsidRDefault="00000000">
            <w:r>
              <w:lastRenderedPageBreak/>
              <w:t>REC-048</w:t>
            </w:r>
          </w:p>
        </w:tc>
        <w:tc>
          <w:tcPr>
            <w:tcW w:w="3120" w:type="dxa"/>
            <w:tcMar>
              <w:top w:w="100" w:type="dxa"/>
              <w:left w:w="100" w:type="dxa"/>
              <w:bottom w:w="100" w:type="dxa"/>
              <w:right w:w="100" w:type="dxa"/>
            </w:tcMar>
          </w:tcPr>
          <w:p w14:paraId="30A47FA3" w14:textId="77777777" w:rsidR="00741338" w:rsidRDefault="00000000">
            <w:r>
              <w:t>Proveedor de conectividad interrumpe el enlace de un sitio operado</w:t>
            </w:r>
          </w:p>
        </w:tc>
        <w:tc>
          <w:tcPr>
            <w:tcW w:w="3120" w:type="dxa"/>
            <w:tcMar>
              <w:top w:w="100" w:type="dxa"/>
              <w:left w:w="100" w:type="dxa"/>
              <w:bottom w:w="100" w:type="dxa"/>
              <w:right w:w="100" w:type="dxa"/>
            </w:tcMar>
          </w:tcPr>
          <w:p w14:paraId="31C155F9" w14:textId="77777777" w:rsidR="00741338" w:rsidRDefault="00000000">
            <w:r>
              <w:t>Operación del cliente</w:t>
            </w:r>
          </w:p>
        </w:tc>
      </w:tr>
      <w:tr w:rsidR="00741338" w14:paraId="4FC3610A" w14:textId="77777777">
        <w:tc>
          <w:tcPr>
            <w:tcW w:w="3120" w:type="dxa"/>
            <w:tcMar>
              <w:top w:w="100" w:type="dxa"/>
              <w:left w:w="100" w:type="dxa"/>
              <w:bottom w:w="100" w:type="dxa"/>
              <w:right w:w="100" w:type="dxa"/>
            </w:tcMar>
          </w:tcPr>
          <w:p w14:paraId="26B84D2C" w14:textId="77777777" w:rsidR="00741338" w:rsidRDefault="00000000">
            <w:r>
              <w:t>REC-049</w:t>
            </w:r>
          </w:p>
        </w:tc>
        <w:tc>
          <w:tcPr>
            <w:tcW w:w="3120" w:type="dxa"/>
            <w:tcMar>
              <w:top w:w="100" w:type="dxa"/>
              <w:left w:w="100" w:type="dxa"/>
              <w:bottom w:w="100" w:type="dxa"/>
              <w:right w:w="100" w:type="dxa"/>
            </w:tcMar>
          </w:tcPr>
          <w:p w14:paraId="07754789" w14:textId="77777777" w:rsidR="00741338" w:rsidRDefault="00000000">
            <w:r>
              <w:t>Un corte de electricidad supera el tiempo de respaldo de equipos mantenidos por LafroX</w:t>
            </w:r>
          </w:p>
        </w:tc>
        <w:tc>
          <w:tcPr>
            <w:tcW w:w="3120" w:type="dxa"/>
            <w:tcMar>
              <w:top w:w="100" w:type="dxa"/>
              <w:left w:w="100" w:type="dxa"/>
              <w:bottom w:w="100" w:type="dxa"/>
              <w:right w:w="100" w:type="dxa"/>
            </w:tcMar>
          </w:tcPr>
          <w:p w14:paraId="39460F3D" w14:textId="77777777" w:rsidR="00741338" w:rsidRDefault="00000000">
            <w:r>
              <w:t>Operación del cliente</w:t>
            </w:r>
          </w:p>
        </w:tc>
      </w:tr>
      <w:tr w:rsidR="00741338" w14:paraId="7D875E19" w14:textId="77777777">
        <w:tc>
          <w:tcPr>
            <w:tcW w:w="3120" w:type="dxa"/>
            <w:tcMar>
              <w:top w:w="100" w:type="dxa"/>
              <w:left w:w="100" w:type="dxa"/>
              <w:bottom w:w="100" w:type="dxa"/>
              <w:right w:w="100" w:type="dxa"/>
            </w:tcMar>
          </w:tcPr>
          <w:p w14:paraId="156E9A39" w14:textId="77777777" w:rsidR="00741338" w:rsidRDefault="00000000">
            <w:r>
              <w:t>REC-050</w:t>
            </w:r>
          </w:p>
        </w:tc>
        <w:tc>
          <w:tcPr>
            <w:tcW w:w="3120" w:type="dxa"/>
            <w:tcMar>
              <w:top w:w="100" w:type="dxa"/>
              <w:left w:w="100" w:type="dxa"/>
              <w:bottom w:w="100" w:type="dxa"/>
              <w:right w:w="100" w:type="dxa"/>
            </w:tcMar>
          </w:tcPr>
          <w:p w14:paraId="4F1F2B29" w14:textId="77777777" w:rsidR="00741338" w:rsidRDefault="00000000">
            <w:r>
              <w:t>Región primaria de nube queda indisponible durante el servicio</w:t>
            </w:r>
          </w:p>
        </w:tc>
        <w:tc>
          <w:tcPr>
            <w:tcW w:w="3120" w:type="dxa"/>
            <w:tcMar>
              <w:top w:w="100" w:type="dxa"/>
              <w:left w:w="100" w:type="dxa"/>
              <w:bottom w:w="100" w:type="dxa"/>
              <w:right w:w="100" w:type="dxa"/>
            </w:tcMar>
          </w:tcPr>
          <w:p w14:paraId="79C7B568" w14:textId="77777777" w:rsidR="00741338" w:rsidRDefault="00000000">
            <w:r>
              <w:t>Solución y tecnología</w:t>
            </w:r>
          </w:p>
        </w:tc>
      </w:tr>
      <w:tr w:rsidR="00741338" w14:paraId="77E0ACC8" w14:textId="77777777">
        <w:tc>
          <w:tcPr>
            <w:tcW w:w="3120" w:type="dxa"/>
            <w:tcMar>
              <w:top w:w="100" w:type="dxa"/>
              <w:left w:w="100" w:type="dxa"/>
              <w:bottom w:w="100" w:type="dxa"/>
              <w:right w:w="100" w:type="dxa"/>
            </w:tcMar>
          </w:tcPr>
          <w:p w14:paraId="4D31E715" w14:textId="77777777" w:rsidR="00741338" w:rsidRDefault="00000000">
            <w:r>
              <w:t>REC-057</w:t>
            </w:r>
          </w:p>
        </w:tc>
        <w:tc>
          <w:tcPr>
            <w:tcW w:w="3120" w:type="dxa"/>
            <w:tcMar>
              <w:top w:w="100" w:type="dxa"/>
              <w:left w:w="100" w:type="dxa"/>
              <w:bottom w:w="100" w:type="dxa"/>
              <w:right w:w="100" w:type="dxa"/>
            </w:tcMar>
          </w:tcPr>
          <w:p w14:paraId="0E7AF02A" w14:textId="77777777" w:rsidR="00741338" w:rsidRDefault="00000000">
            <w:r>
              <w:t>Falta la aprobación del cliente para tratar y respaldar datos en las regiones propuestas</w:t>
            </w:r>
          </w:p>
        </w:tc>
        <w:tc>
          <w:tcPr>
            <w:tcW w:w="3120" w:type="dxa"/>
            <w:tcMar>
              <w:top w:w="100" w:type="dxa"/>
              <w:left w:w="100" w:type="dxa"/>
              <w:bottom w:w="100" w:type="dxa"/>
              <w:right w:w="100" w:type="dxa"/>
            </w:tcMar>
          </w:tcPr>
          <w:p w14:paraId="1D5C4570" w14:textId="77777777" w:rsidR="00741338" w:rsidRDefault="00000000">
            <w:r>
              <w:t>Regulatorio y externo</w:t>
            </w:r>
          </w:p>
        </w:tc>
      </w:tr>
      <w:tr w:rsidR="00741338" w14:paraId="6ED68534" w14:textId="77777777">
        <w:tc>
          <w:tcPr>
            <w:tcW w:w="3120" w:type="dxa"/>
            <w:tcMar>
              <w:top w:w="100" w:type="dxa"/>
              <w:left w:w="100" w:type="dxa"/>
              <w:bottom w:w="100" w:type="dxa"/>
              <w:right w:w="100" w:type="dxa"/>
            </w:tcMar>
          </w:tcPr>
          <w:p w14:paraId="01515F5C" w14:textId="77777777" w:rsidR="00741338" w:rsidRDefault="00000000">
            <w:r>
              <w:t>REC-058</w:t>
            </w:r>
          </w:p>
        </w:tc>
        <w:tc>
          <w:tcPr>
            <w:tcW w:w="3120" w:type="dxa"/>
            <w:tcMar>
              <w:top w:w="100" w:type="dxa"/>
              <w:left w:w="100" w:type="dxa"/>
              <w:bottom w:w="100" w:type="dxa"/>
              <w:right w:w="100" w:type="dxa"/>
            </w:tcMar>
          </w:tcPr>
          <w:p w14:paraId="29C3F2B6" w14:textId="77777777" w:rsidR="00741338" w:rsidRDefault="00000000">
            <w:r>
              <w:t>Cliente no autoriza la intervención urgente necesaria durante un congelamiento</w:t>
            </w:r>
          </w:p>
        </w:tc>
        <w:tc>
          <w:tcPr>
            <w:tcW w:w="3120" w:type="dxa"/>
            <w:tcMar>
              <w:top w:w="100" w:type="dxa"/>
              <w:left w:w="100" w:type="dxa"/>
              <w:bottom w:w="100" w:type="dxa"/>
              <w:right w:w="100" w:type="dxa"/>
            </w:tcMar>
          </w:tcPr>
          <w:p w14:paraId="5D4302FD" w14:textId="77777777" w:rsidR="00741338" w:rsidRDefault="00000000">
            <w:r>
              <w:t>Operación del cliente</w:t>
            </w:r>
          </w:p>
        </w:tc>
      </w:tr>
      <w:tr w:rsidR="00741338" w14:paraId="573315C3" w14:textId="77777777">
        <w:tc>
          <w:tcPr>
            <w:tcW w:w="3120" w:type="dxa"/>
            <w:tcMar>
              <w:top w:w="100" w:type="dxa"/>
              <w:left w:w="100" w:type="dxa"/>
              <w:bottom w:w="100" w:type="dxa"/>
              <w:right w:w="100" w:type="dxa"/>
            </w:tcMar>
          </w:tcPr>
          <w:p w14:paraId="36C10398" w14:textId="77777777" w:rsidR="00741338" w:rsidRDefault="00000000">
            <w:r>
              <w:t>REC-061</w:t>
            </w:r>
          </w:p>
        </w:tc>
        <w:tc>
          <w:tcPr>
            <w:tcW w:w="3120" w:type="dxa"/>
            <w:tcMar>
              <w:top w:w="100" w:type="dxa"/>
              <w:left w:w="100" w:type="dxa"/>
              <w:bottom w:w="100" w:type="dxa"/>
              <w:right w:w="100" w:type="dxa"/>
            </w:tcMar>
          </w:tcPr>
          <w:p w14:paraId="25B3A0AF" w14:textId="77777777" w:rsidR="00741338" w:rsidRDefault="00000000">
            <w:r>
              <w:t>Una persona intenta usar la identidad de otra para hacer pedidos o entrar a un portal</w:t>
            </w:r>
          </w:p>
        </w:tc>
        <w:tc>
          <w:tcPr>
            <w:tcW w:w="3120" w:type="dxa"/>
            <w:tcMar>
              <w:top w:w="100" w:type="dxa"/>
              <w:left w:w="100" w:type="dxa"/>
              <w:bottom w:w="100" w:type="dxa"/>
              <w:right w:w="100" w:type="dxa"/>
            </w:tcMar>
          </w:tcPr>
          <w:p w14:paraId="77281178" w14:textId="77777777" w:rsidR="00741338" w:rsidRDefault="00000000">
            <w:r>
              <w:t>Solución y tecnología</w:t>
            </w:r>
          </w:p>
        </w:tc>
      </w:tr>
      <w:tr w:rsidR="00741338" w14:paraId="75B951B8" w14:textId="77777777">
        <w:tc>
          <w:tcPr>
            <w:tcW w:w="3120" w:type="dxa"/>
            <w:tcMar>
              <w:top w:w="100" w:type="dxa"/>
              <w:left w:w="100" w:type="dxa"/>
              <w:bottom w:w="100" w:type="dxa"/>
              <w:right w:w="100" w:type="dxa"/>
            </w:tcMar>
          </w:tcPr>
          <w:p w14:paraId="5DD6CCB4" w14:textId="77777777" w:rsidR="00741338" w:rsidRDefault="00000000">
            <w:r>
              <w:t>REC-062</w:t>
            </w:r>
          </w:p>
        </w:tc>
        <w:tc>
          <w:tcPr>
            <w:tcW w:w="3120" w:type="dxa"/>
            <w:tcMar>
              <w:top w:w="100" w:type="dxa"/>
              <w:left w:w="100" w:type="dxa"/>
              <w:bottom w:w="100" w:type="dxa"/>
              <w:right w:w="100" w:type="dxa"/>
            </w:tcMar>
          </w:tcPr>
          <w:p w14:paraId="147800B1" w14:textId="77777777" w:rsidR="00741338" w:rsidRDefault="00000000">
            <w:r>
              <w:t>Llega un mensaje electrónico que aparenta venir de una cadena autorizada o fue alterado</w:t>
            </w:r>
          </w:p>
        </w:tc>
        <w:tc>
          <w:tcPr>
            <w:tcW w:w="3120" w:type="dxa"/>
            <w:tcMar>
              <w:top w:w="100" w:type="dxa"/>
              <w:left w:w="100" w:type="dxa"/>
              <w:bottom w:w="100" w:type="dxa"/>
              <w:right w:w="100" w:type="dxa"/>
            </w:tcMar>
          </w:tcPr>
          <w:p w14:paraId="5ABF3DF9" w14:textId="77777777" w:rsidR="00741338" w:rsidRDefault="00000000">
            <w:r>
              <w:t>Integración y legado</w:t>
            </w:r>
          </w:p>
        </w:tc>
      </w:tr>
      <w:tr w:rsidR="00741338" w14:paraId="5FB9A2E3" w14:textId="77777777">
        <w:tc>
          <w:tcPr>
            <w:tcW w:w="3120" w:type="dxa"/>
            <w:tcMar>
              <w:top w:w="100" w:type="dxa"/>
              <w:left w:w="100" w:type="dxa"/>
              <w:bottom w:w="100" w:type="dxa"/>
              <w:right w:w="100" w:type="dxa"/>
            </w:tcMar>
          </w:tcPr>
          <w:p w14:paraId="6180FEFF" w14:textId="77777777" w:rsidR="00741338" w:rsidRDefault="00000000">
            <w:r>
              <w:t>REC-063</w:t>
            </w:r>
          </w:p>
        </w:tc>
        <w:tc>
          <w:tcPr>
            <w:tcW w:w="3120" w:type="dxa"/>
            <w:tcMar>
              <w:top w:w="100" w:type="dxa"/>
              <w:left w:w="100" w:type="dxa"/>
              <w:bottom w:w="100" w:type="dxa"/>
              <w:right w:w="100" w:type="dxa"/>
            </w:tcMar>
          </w:tcPr>
          <w:p w14:paraId="2CC35FEB" w14:textId="77777777" w:rsidR="00741338" w:rsidRDefault="00000000">
            <w:r>
              <w:t>La integración recibe una posición falsa o antigua como si fuera actual</w:t>
            </w:r>
          </w:p>
        </w:tc>
        <w:tc>
          <w:tcPr>
            <w:tcW w:w="3120" w:type="dxa"/>
            <w:tcMar>
              <w:top w:w="100" w:type="dxa"/>
              <w:left w:w="100" w:type="dxa"/>
              <w:bottom w:w="100" w:type="dxa"/>
              <w:right w:w="100" w:type="dxa"/>
            </w:tcMar>
          </w:tcPr>
          <w:p w14:paraId="5E4387B2" w14:textId="77777777" w:rsidR="00741338" w:rsidRDefault="00000000">
            <w:r>
              <w:t>Integración y legado</w:t>
            </w:r>
          </w:p>
        </w:tc>
      </w:tr>
      <w:tr w:rsidR="00741338" w14:paraId="7AC50D7E" w14:textId="77777777">
        <w:tc>
          <w:tcPr>
            <w:tcW w:w="3120" w:type="dxa"/>
            <w:tcMar>
              <w:top w:w="100" w:type="dxa"/>
              <w:left w:w="100" w:type="dxa"/>
              <w:bottom w:w="100" w:type="dxa"/>
              <w:right w:w="100" w:type="dxa"/>
            </w:tcMar>
          </w:tcPr>
          <w:p w14:paraId="6FAAB587" w14:textId="77777777" w:rsidR="00741338" w:rsidRDefault="00000000">
            <w:r>
              <w:t>REC-064</w:t>
            </w:r>
          </w:p>
        </w:tc>
        <w:tc>
          <w:tcPr>
            <w:tcW w:w="3120" w:type="dxa"/>
            <w:tcMar>
              <w:top w:w="100" w:type="dxa"/>
              <w:left w:w="100" w:type="dxa"/>
              <w:bottom w:w="100" w:type="dxa"/>
              <w:right w:w="100" w:type="dxa"/>
            </w:tcMar>
          </w:tcPr>
          <w:p w14:paraId="0302FECC" w14:textId="77777777" w:rsidR="00741338" w:rsidRDefault="00000000">
            <w:r>
              <w:t>Terminal enrolado se pierde o queda en poder de otra persona</w:t>
            </w:r>
          </w:p>
        </w:tc>
        <w:tc>
          <w:tcPr>
            <w:tcW w:w="3120" w:type="dxa"/>
            <w:tcMar>
              <w:top w:w="100" w:type="dxa"/>
              <w:left w:w="100" w:type="dxa"/>
              <w:bottom w:w="100" w:type="dxa"/>
              <w:right w:w="100" w:type="dxa"/>
            </w:tcMar>
          </w:tcPr>
          <w:p w14:paraId="24F58A3D" w14:textId="77777777" w:rsidR="00741338" w:rsidRDefault="00000000">
            <w:r>
              <w:t>Solución y tecnología</w:t>
            </w:r>
          </w:p>
        </w:tc>
      </w:tr>
      <w:tr w:rsidR="00741338" w14:paraId="17078476" w14:textId="77777777">
        <w:tc>
          <w:tcPr>
            <w:tcW w:w="3120" w:type="dxa"/>
            <w:tcMar>
              <w:top w:w="100" w:type="dxa"/>
              <w:left w:w="100" w:type="dxa"/>
              <w:bottom w:w="100" w:type="dxa"/>
              <w:right w:w="100" w:type="dxa"/>
            </w:tcMar>
          </w:tcPr>
          <w:p w14:paraId="74A3889E" w14:textId="77777777" w:rsidR="00741338" w:rsidRDefault="00000000">
            <w:r>
              <w:t>REC-065</w:t>
            </w:r>
          </w:p>
        </w:tc>
        <w:tc>
          <w:tcPr>
            <w:tcW w:w="3120" w:type="dxa"/>
            <w:tcMar>
              <w:top w:w="100" w:type="dxa"/>
              <w:left w:w="100" w:type="dxa"/>
              <w:bottom w:w="100" w:type="dxa"/>
              <w:right w:w="100" w:type="dxa"/>
            </w:tcMar>
          </w:tcPr>
          <w:p w14:paraId="40BCFA54" w14:textId="77777777" w:rsidR="00741338" w:rsidRDefault="00000000">
            <w:r>
              <w:t>Ráfagas abusivas dirigidas a los canales públicos</w:t>
            </w:r>
          </w:p>
        </w:tc>
        <w:tc>
          <w:tcPr>
            <w:tcW w:w="3120" w:type="dxa"/>
            <w:tcMar>
              <w:top w:w="100" w:type="dxa"/>
              <w:left w:w="100" w:type="dxa"/>
              <w:bottom w:w="100" w:type="dxa"/>
              <w:right w:w="100" w:type="dxa"/>
            </w:tcMar>
          </w:tcPr>
          <w:p w14:paraId="2CDC35C5" w14:textId="77777777" w:rsidR="00741338" w:rsidRDefault="00000000">
            <w:r>
              <w:t>Solución y tecnología</w:t>
            </w:r>
          </w:p>
        </w:tc>
      </w:tr>
      <w:tr w:rsidR="00741338" w14:paraId="57BE4EF8" w14:textId="77777777">
        <w:tc>
          <w:tcPr>
            <w:tcW w:w="3120" w:type="dxa"/>
            <w:tcMar>
              <w:top w:w="100" w:type="dxa"/>
              <w:left w:w="100" w:type="dxa"/>
              <w:bottom w:w="100" w:type="dxa"/>
              <w:right w:w="100" w:type="dxa"/>
            </w:tcMar>
          </w:tcPr>
          <w:p w14:paraId="167157B2" w14:textId="77777777" w:rsidR="00741338" w:rsidRDefault="00000000">
            <w:r>
              <w:lastRenderedPageBreak/>
              <w:t>REC-066</w:t>
            </w:r>
          </w:p>
        </w:tc>
        <w:tc>
          <w:tcPr>
            <w:tcW w:w="3120" w:type="dxa"/>
            <w:tcMar>
              <w:top w:w="100" w:type="dxa"/>
              <w:left w:w="100" w:type="dxa"/>
              <w:bottom w:w="100" w:type="dxa"/>
              <w:right w:w="100" w:type="dxa"/>
            </w:tcMar>
          </w:tcPr>
          <w:p w14:paraId="153DFD51" w14:textId="77777777" w:rsidR="00741338" w:rsidRDefault="00000000">
            <w:r>
              <w:t>Atacante utiliza una cuenta administrativa comprometida contra la evidencia</w:t>
            </w:r>
          </w:p>
        </w:tc>
        <w:tc>
          <w:tcPr>
            <w:tcW w:w="3120" w:type="dxa"/>
            <w:tcMar>
              <w:top w:w="100" w:type="dxa"/>
              <w:left w:w="100" w:type="dxa"/>
              <w:bottom w:w="100" w:type="dxa"/>
              <w:right w:w="100" w:type="dxa"/>
            </w:tcMar>
          </w:tcPr>
          <w:p w14:paraId="062BC201" w14:textId="77777777" w:rsidR="00741338" w:rsidRDefault="00000000">
            <w:r>
              <w:t>Solución y tecnología</w:t>
            </w:r>
          </w:p>
        </w:tc>
      </w:tr>
      <w:tr w:rsidR="00741338" w14:paraId="35FB9351" w14:textId="77777777">
        <w:tc>
          <w:tcPr>
            <w:tcW w:w="3120" w:type="dxa"/>
            <w:tcMar>
              <w:top w:w="100" w:type="dxa"/>
              <w:left w:w="100" w:type="dxa"/>
              <w:bottom w:w="100" w:type="dxa"/>
              <w:right w:w="100" w:type="dxa"/>
            </w:tcMar>
          </w:tcPr>
          <w:p w14:paraId="3AE8592F" w14:textId="77777777" w:rsidR="00741338" w:rsidRDefault="00000000">
            <w:r>
              <w:t>REC-067</w:t>
            </w:r>
          </w:p>
        </w:tc>
        <w:tc>
          <w:tcPr>
            <w:tcW w:w="3120" w:type="dxa"/>
            <w:tcMar>
              <w:top w:w="100" w:type="dxa"/>
              <w:left w:w="100" w:type="dxa"/>
              <w:bottom w:w="100" w:type="dxa"/>
              <w:right w:w="100" w:type="dxa"/>
            </w:tcMar>
          </w:tcPr>
          <w:p w14:paraId="7EB238C9" w14:textId="77777777" w:rsidR="00741338" w:rsidRDefault="00000000">
            <w:r>
              <w:t>Accidente vehicular interrumpe un reparto incluido en pruebas o marcha blanca</w:t>
            </w:r>
          </w:p>
        </w:tc>
        <w:tc>
          <w:tcPr>
            <w:tcW w:w="3120" w:type="dxa"/>
            <w:tcMar>
              <w:top w:w="100" w:type="dxa"/>
              <w:left w:w="100" w:type="dxa"/>
              <w:bottom w:w="100" w:type="dxa"/>
              <w:right w:w="100" w:type="dxa"/>
            </w:tcMar>
          </w:tcPr>
          <w:p w14:paraId="1639799F" w14:textId="77777777" w:rsidR="00741338" w:rsidRDefault="00000000">
            <w:r>
              <w:t>Operación del cliente</w:t>
            </w:r>
          </w:p>
        </w:tc>
      </w:tr>
      <w:tr w:rsidR="00741338" w14:paraId="39446526" w14:textId="77777777">
        <w:tc>
          <w:tcPr>
            <w:tcW w:w="3120" w:type="dxa"/>
            <w:tcMar>
              <w:top w:w="100" w:type="dxa"/>
              <w:left w:w="100" w:type="dxa"/>
              <w:bottom w:w="100" w:type="dxa"/>
              <w:right w:w="100" w:type="dxa"/>
            </w:tcMar>
          </w:tcPr>
          <w:p w14:paraId="0F4F5A01" w14:textId="77777777" w:rsidR="00741338" w:rsidRDefault="00000000">
            <w:r>
              <w:t>REC-068</w:t>
            </w:r>
          </w:p>
        </w:tc>
        <w:tc>
          <w:tcPr>
            <w:tcW w:w="3120" w:type="dxa"/>
            <w:tcMar>
              <w:top w:w="100" w:type="dxa"/>
              <w:left w:w="100" w:type="dxa"/>
              <w:bottom w:w="100" w:type="dxa"/>
              <w:right w:w="100" w:type="dxa"/>
            </w:tcMar>
          </w:tcPr>
          <w:p w14:paraId="723C8817" w14:textId="77777777" w:rsidR="00741338" w:rsidRDefault="00000000">
            <w:r>
              <w:t>Reemplazos de conductores externos sin aviso</w:t>
            </w:r>
          </w:p>
        </w:tc>
        <w:tc>
          <w:tcPr>
            <w:tcW w:w="3120" w:type="dxa"/>
            <w:tcMar>
              <w:top w:w="100" w:type="dxa"/>
              <w:left w:w="100" w:type="dxa"/>
              <w:bottom w:w="100" w:type="dxa"/>
              <w:right w:w="100" w:type="dxa"/>
            </w:tcMar>
          </w:tcPr>
          <w:p w14:paraId="173DCF3F" w14:textId="77777777" w:rsidR="00741338" w:rsidRDefault="00000000">
            <w:r>
              <w:t>Personas y adopción</w:t>
            </w:r>
          </w:p>
        </w:tc>
      </w:tr>
      <w:tr w:rsidR="00741338" w14:paraId="7600D885" w14:textId="77777777">
        <w:tc>
          <w:tcPr>
            <w:tcW w:w="3120" w:type="dxa"/>
            <w:tcMar>
              <w:top w:w="100" w:type="dxa"/>
              <w:left w:w="100" w:type="dxa"/>
              <w:bottom w:w="100" w:type="dxa"/>
              <w:right w:w="100" w:type="dxa"/>
            </w:tcMar>
          </w:tcPr>
          <w:p w14:paraId="0FE944AA" w14:textId="77777777" w:rsidR="00741338" w:rsidRDefault="00000000">
            <w:r>
              <w:t>REC-069</w:t>
            </w:r>
          </w:p>
        </w:tc>
        <w:tc>
          <w:tcPr>
            <w:tcW w:w="3120" w:type="dxa"/>
            <w:tcMar>
              <w:top w:w="100" w:type="dxa"/>
              <w:left w:w="100" w:type="dxa"/>
              <w:bottom w:w="100" w:type="dxa"/>
              <w:right w:w="100" w:type="dxa"/>
            </w:tcMar>
          </w:tcPr>
          <w:p w14:paraId="02FBE9C8" w14:textId="77777777" w:rsidR="00741338" w:rsidRDefault="00000000">
            <w:r>
              <w:t>Solicitudes que amplían el alcance</w:t>
            </w:r>
          </w:p>
        </w:tc>
        <w:tc>
          <w:tcPr>
            <w:tcW w:w="3120" w:type="dxa"/>
            <w:tcMar>
              <w:top w:w="100" w:type="dxa"/>
              <w:left w:w="100" w:type="dxa"/>
              <w:bottom w:w="100" w:type="dxa"/>
              <w:right w:w="100" w:type="dxa"/>
            </w:tcMar>
          </w:tcPr>
          <w:p w14:paraId="15443DBA" w14:textId="77777777" w:rsidR="00741338" w:rsidRDefault="00000000">
            <w:r>
              <w:t>Contrato y licitación</w:t>
            </w:r>
          </w:p>
        </w:tc>
      </w:tr>
      <w:tr w:rsidR="00741338" w14:paraId="23A0F0DB" w14:textId="77777777">
        <w:tc>
          <w:tcPr>
            <w:tcW w:w="3120" w:type="dxa"/>
            <w:tcMar>
              <w:top w:w="100" w:type="dxa"/>
              <w:left w:w="100" w:type="dxa"/>
              <w:bottom w:w="100" w:type="dxa"/>
              <w:right w:w="100" w:type="dxa"/>
            </w:tcMar>
          </w:tcPr>
          <w:p w14:paraId="197F4FE5" w14:textId="77777777" w:rsidR="00741338" w:rsidRDefault="00000000">
            <w:r>
              <w:t>REC-070</w:t>
            </w:r>
          </w:p>
        </w:tc>
        <w:tc>
          <w:tcPr>
            <w:tcW w:w="3120" w:type="dxa"/>
            <w:tcMar>
              <w:top w:w="100" w:type="dxa"/>
              <w:left w:w="100" w:type="dxa"/>
              <w:bottom w:w="100" w:type="dxa"/>
              <w:right w:w="100" w:type="dxa"/>
            </w:tcMar>
          </w:tcPr>
          <w:p w14:paraId="4428B51F" w14:textId="77777777" w:rsidR="00741338" w:rsidRDefault="00000000">
            <w:r>
              <w:t>Cambios normativos</w:t>
            </w:r>
          </w:p>
        </w:tc>
        <w:tc>
          <w:tcPr>
            <w:tcW w:w="3120" w:type="dxa"/>
            <w:tcMar>
              <w:top w:w="100" w:type="dxa"/>
              <w:left w:w="100" w:type="dxa"/>
              <w:bottom w:w="100" w:type="dxa"/>
              <w:right w:w="100" w:type="dxa"/>
            </w:tcMar>
          </w:tcPr>
          <w:p w14:paraId="68B93130" w14:textId="77777777" w:rsidR="00741338" w:rsidRDefault="00000000">
            <w:r>
              <w:t>Regulatorio y externo</w:t>
            </w:r>
          </w:p>
        </w:tc>
      </w:tr>
    </w:tbl>
    <w:p w14:paraId="7044C30B" w14:textId="77777777" w:rsidR="00741338" w:rsidRDefault="00000000">
      <w:pPr>
        <w:pStyle w:val="Ttulo2"/>
      </w:pPr>
      <w:bookmarkStart w:id="4" w:name="_2o2okxdkvq6z" w:colFirst="0" w:colLast="0"/>
      <w:bookmarkEnd w:id="4"/>
      <w:r>
        <w:t>Descripciones auditadas y fundamento de conservación</w:t>
      </w:r>
    </w:p>
    <w:p w14:paraId="18FB73C3" w14:textId="0B01C485" w:rsidR="00741338" w:rsidRDefault="00000000">
      <w:pPr>
        <w:pStyle w:val="Ttulo3"/>
      </w:pPr>
      <w:bookmarkStart w:id="5" w:name="_ri1pjfllq2is" w:colFirst="0" w:colLast="0"/>
      <w:bookmarkEnd w:id="5"/>
      <w:r>
        <w:t>REC-001 — Interfaz del ERP no utilizable al construir la integración</w:t>
      </w:r>
      <w:r w:rsidR="00C61378">
        <w:t xml:space="preserve"> (descartar)</w:t>
      </w:r>
    </w:p>
    <w:p w14:paraId="0194AF93" w14:textId="77777777" w:rsidR="00741338" w:rsidRDefault="00000000">
      <w:r>
        <w:rPr>
          <w:b/>
          <w:bCs/>
        </w:rPr>
        <w:t>Rama RBS:</w:t>
      </w:r>
      <w:r>
        <w:t xml:space="preserve"> Integración y legado.</w:t>
      </w:r>
    </w:p>
    <w:p w14:paraId="40204290" w14:textId="77777777" w:rsidR="00741338" w:rsidRDefault="00741338"/>
    <w:p w14:paraId="30A675F1" w14:textId="77777777" w:rsidR="00741338" w:rsidRDefault="00000000">
      <w:r>
        <w:rPr>
          <w:b/>
          <w:bCs/>
        </w:rPr>
        <w:t>Descripción auditada:</w:t>
      </w:r>
    </w:p>
    <w:p w14:paraId="7D076581" w14:textId="77777777" w:rsidR="00741338" w:rsidRDefault="00741338"/>
    <w:p w14:paraId="1FCE0698" w14:textId="77777777" w:rsidR="00741338" w:rsidRDefault="00000000">
      <w:r>
        <w:rPr>
          <w:b/>
          <w:bCs/>
        </w:rPr>
        <w:t>[Causa]</w:t>
      </w:r>
      <w:r>
        <w:t xml:space="preserve"> Las interfaces del ERP no están documentadas y la integración debe realizarse sin modificar ese sistema.</w:t>
      </w:r>
      <w:r>
        <w:br/>
      </w:r>
      <w:r>
        <w:rPr>
          <w:b/>
          <w:bCs/>
        </w:rPr>
        <w:t>[Evento de riesgo / Incertidumbre]</w:t>
      </w:r>
      <w:r>
        <w:t xml:space="preserve"> Durante el levantamiento y la prueba de intercambio con el ERP, la interfaz disponible podría no permitir las operaciones requeridas sin modificar ese sistema.</w:t>
      </w:r>
      <w:r>
        <w:br/>
      </w:r>
      <w:r>
        <w:rPr>
          <w:b/>
          <w:bCs/>
        </w:rPr>
        <w:t>[Efecto o impacto en el proyecto]</w:t>
      </w:r>
      <w:r>
        <w:t xml:space="preserve"> Esto obligaría a LafroX a rehacer el mecanismo de integración y repetir sus pruebas, comprometiendo el avance de los entregables dependientes.</w:t>
      </w:r>
    </w:p>
    <w:p w14:paraId="3DDFAB18" w14:textId="77777777" w:rsidR="00741338" w:rsidRDefault="00741338"/>
    <w:p w14:paraId="48B38233" w14:textId="77777777" w:rsidR="00741338" w:rsidRDefault="00000000">
      <w:r>
        <w:rPr>
          <w:b/>
          <w:bCs/>
        </w:rPr>
        <w:t>Por qué compete a LafroX:</w:t>
      </w:r>
      <w:r>
        <w:t xml:space="preserve"> LafroX construye y certifica la integración; asume el retrabajo técnico y la repetición de pruebas.</w:t>
      </w:r>
    </w:p>
    <w:p w14:paraId="2996A722" w14:textId="77777777" w:rsidR="00741338" w:rsidRDefault="00741338"/>
    <w:p w14:paraId="13969D91" w14:textId="77777777" w:rsidR="00741338" w:rsidRDefault="00000000">
      <w:r>
        <w:rPr>
          <w:b/>
          <w:bCs/>
        </w:rPr>
        <w:t>Contraste con lo ya definido:</w:t>
      </w:r>
      <w:r>
        <w:t xml:space="preserve"> S-18 ya fija integrar sin modificar el ERP. Lo no comprobado es la capacidad real de la interfaz, no la decisión sobre reemplazar o modificar el sistema.</w:t>
      </w:r>
    </w:p>
    <w:p w14:paraId="142791D4" w14:textId="77777777" w:rsidR="00741338" w:rsidRDefault="00741338"/>
    <w:p w14:paraId="4D1236CD" w14:textId="77777777" w:rsidR="00741338" w:rsidRDefault="00000000">
      <w:r>
        <w:rPr>
          <w:b/>
          <w:bCs/>
        </w:rPr>
        <w:t>Fuentes:</w:t>
      </w:r>
      <w:r>
        <w:t xml:space="preserve"> </w:t>
      </w:r>
      <w:hyperlink r:id="rId5" w:anchor="page=121">
        <w:r w:rsidR="00741338">
          <w:rPr>
            <w:color w:val="1155CC"/>
            <w:u w:val="single"/>
          </w:rPr>
          <w:t>SD3, anexos, p. 121: S-18</w:t>
        </w:r>
      </w:hyperlink>
      <w:r>
        <w:t xml:space="preserve">; </w:t>
      </w:r>
      <w:hyperlink r:id="rId6" w:anchor="page=149">
        <w:r w:rsidR="00741338">
          <w:rPr>
            <w:color w:val="1155CC"/>
            <w:u w:val="single"/>
          </w:rPr>
          <w:t>SD3, anexos, p. 149: V-16</w:t>
        </w:r>
      </w:hyperlink>
      <w:r>
        <w:t xml:space="preserve">; </w:t>
      </w:r>
      <w:hyperlink r:id="rId7" w:anchor="page=9">
        <w:r w:rsidR="00741338">
          <w:rPr>
            <w:color w:val="1155CC"/>
            <w:u w:val="single"/>
          </w:rPr>
          <w:t>SD4, p. 9: §4.1.2</w:t>
        </w:r>
      </w:hyperlink>
      <w:r>
        <w:t>.</w:t>
      </w:r>
    </w:p>
    <w:p w14:paraId="4ECD2692" w14:textId="252F2370" w:rsidR="00741338" w:rsidRDefault="00000000">
      <w:pPr>
        <w:pStyle w:val="Ttulo3"/>
      </w:pPr>
      <w:bookmarkStart w:id="6" w:name="_1sp0z3s5crg8" w:colFirst="0" w:colLast="0"/>
      <w:bookmarkEnd w:id="6"/>
      <w:r>
        <w:lastRenderedPageBreak/>
        <w:t>REC-002 — Proveedor de telemetría no habilita el acceso necesario</w:t>
      </w:r>
      <w:r w:rsidR="00C61378">
        <w:t xml:space="preserve"> (revisar)</w:t>
      </w:r>
    </w:p>
    <w:p w14:paraId="2F4D8F8C" w14:textId="77777777" w:rsidR="00741338" w:rsidRDefault="00000000">
      <w:r>
        <w:rPr>
          <w:b/>
          <w:bCs/>
        </w:rPr>
        <w:t>Rama RBS:</w:t>
      </w:r>
      <w:r>
        <w:t xml:space="preserve"> Integración y legado.</w:t>
      </w:r>
    </w:p>
    <w:p w14:paraId="4D88C5E6" w14:textId="77777777" w:rsidR="00741338" w:rsidRDefault="00741338"/>
    <w:p w14:paraId="131CF2CE" w14:textId="77777777" w:rsidR="00741338" w:rsidRDefault="00000000">
      <w:r>
        <w:rPr>
          <w:b/>
          <w:bCs/>
        </w:rPr>
        <w:t>Descripción auditada:</w:t>
      </w:r>
    </w:p>
    <w:p w14:paraId="589B920A" w14:textId="77777777" w:rsidR="00741338" w:rsidRDefault="00741338"/>
    <w:p w14:paraId="633E753A" w14:textId="77777777" w:rsidR="00741338" w:rsidRDefault="00000000">
      <w:r>
        <w:rPr>
          <w:b/>
          <w:bCs/>
        </w:rPr>
        <w:t>[Causa]</w:t>
      </w:r>
      <w:r>
        <w:t xml:space="preserve"> La integración de la flota propia depende de que el proveedor actual habilite el acceso a posición, velocidad y kilometraje en las condiciones requeridas.</w:t>
      </w:r>
      <w:r>
        <w:br/>
      </w:r>
      <w:r>
        <w:rPr>
          <w:b/>
          <w:bCs/>
        </w:rPr>
        <w:t>[Evento de riesgo / Incertidumbre]</w:t>
      </w:r>
      <w:r>
        <w:t xml:space="preserve"> Al habilitar la integración de la flota propia, el proveedor actual podría negar el acceso a posición, velocidad o kilometraje en las condiciones necesarias para la solución.</w:t>
      </w:r>
      <w:r>
        <w:br/>
      </w:r>
      <w:r>
        <w:rPr>
          <w:b/>
          <w:bCs/>
        </w:rPr>
        <w:t>[Efecto o impacto en el proyecto]</w:t>
      </w:r>
      <w:r>
        <w:t xml:space="preserve"> LafroX tendría que acordar una alternativa autorizada de igual cobertura e integrarla y probarla, afectando el esfuerzo y la secuencia de habilitación de M12.</w:t>
      </w:r>
    </w:p>
    <w:p w14:paraId="6E242BFA" w14:textId="77777777" w:rsidR="00741338" w:rsidRDefault="00741338"/>
    <w:p w14:paraId="7CB803F6" w14:textId="77777777" w:rsidR="00741338" w:rsidRDefault="00000000">
      <w:r>
        <w:rPr>
          <w:b/>
          <w:bCs/>
        </w:rPr>
        <w:t>Por qué compete a LafroX:</w:t>
      </w:r>
      <w:r>
        <w:t xml:space="preserve"> LafroX debe entregar M12 integrado, con la cobertura comprometida; no se trata solo del derecho del cliente a consultar sus datos.</w:t>
      </w:r>
    </w:p>
    <w:p w14:paraId="3A7CF52B" w14:textId="77777777" w:rsidR="00741338" w:rsidRDefault="00741338"/>
    <w:p w14:paraId="66D655C0" w14:textId="77777777" w:rsidR="00741338" w:rsidRDefault="00000000">
      <w:r>
        <w:rPr>
          <w:b/>
          <w:bCs/>
        </w:rPr>
        <w:t>Contraste con lo ya definido:</w:t>
      </w:r>
      <w:r>
        <w:t xml:space="preserve"> S-19 define la cobertura y contempla una alternativa, pero no acredita que el tercero haya habilitado el acceso. La alternativa no permite reducir RF-14.01.</w:t>
      </w:r>
    </w:p>
    <w:p w14:paraId="47A48C81" w14:textId="77777777" w:rsidR="00741338" w:rsidRDefault="00741338"/>
    <w:p w14:paraId="0EAEFDF8" w14:textId="77777777" w:rsidR="00741338" w:rsidRDefault="00000000">
      <w:r>
        <w:rPr>
          <w:b/>
          <w:bCs/>
        </w:rPr>
        <w:t>Fuentes:</w:t>
      </w:r>
      <w:r>
        <w:t xml:space="preserve"> SD3, anexos, p. 122: S-19; SD3, anexos, p. 149: V-15.</w:t>
      </w:r>
    </w:p>
    <w:p w14:paraId="6A51C30C" w14:textId="77777777" w:rsidR="00741338" w:rsidRDefault="00000000">
      <w:pPr>
        <w:pStyle w:val="Ttulo3"/>
      </w:pPr>
      <w:bookmarkStart w:id="7" w:name="_r2fxim83svo0" w:colFirst="0" w:colLast="0"/>
      <w:bookmarkEnd w:id="7"/>
      <w:r>
        <w:t>REC-003 — Cadena comercial no completa oportunamente su certificación EDI</w:t>
      </w:r>
    </w:p>
    <w:p w14:paraId="5DB486CA" w14:textId="77777777" w:rsidR="00741338" w:rsidRDefault="00000000">
      <w:r>
        <w:rPr>
          <w:b/>
          <w:bCs/>
        </w:rPr>
        <w:t>Rama RBS:</w:t>
      </w:r>
      <w:r>
        <w:t xml:space="preserve"> Integración y legado.</w:t>
      </w:r>
    </w:p>
    <w:p w14:paraId="71A3CEA5" w14:textId="77777777" w:rsidR="00741338" w:rsidRDefault="00741338"/>
    <w:p w14:paraId="343B72EC" w14:textId="77777777" w:rsidR="00741338" w:rsidRDefault="00000000">
      <w:r>
        <w:rPr>
          <w:b/>
          <w:bCs/>
        </w:rPr>
        <w:t>Descripción auditada:</w:t>
      </w:r>
    </w:p>
    <w:p w14:paraId="67B49FA0" w14:textId="77777777" w:rsidR="00741338" w:rsidRDefault="00741338"/>
    <w:p w14:paraId="175C9971" w14:textId="77777777" w:rsidR="00741338" w:rsidRDefault="00000000">
      <w:r>
        <w:rPr>
          <w:b/>
          <w:bCs/>
        </w:rPr>
        <w:t>[Causa]</w:t>
      </w:r>
      <w:r>
        <w:t xml:space="preserve"> La habilitación EDI de cada cadena depende de su participación y certificación externa, necesarias antes del período final de evidencia de E2.</w:t>
      </w:r>
      <w:r>
        <w:br/>
      </w:r>
      <w:r>
        <w:rPr>
          <w:b/>
          <w:bCs/>
        </w:rPr>
        <w:t>[Evento de riesgo / Incertidumbre]</w:t>
      </w:r>
      <w:r>
        <w:t xml:space="preserve"> Durante la integración con una cadena incluida en el alcance, su participación o certificación externa podría no concretarse antes de la activación necesaria para las cuatro semanas finales de marcha blanca de E2.</w:t>
      </w:r>
      <w:r>
        <w:br/>
      </w:r>
      <w:r>
        <w:rPr>
          <w:b/>
          <w:bCs/>
        </w:rPr>
        <w:t>[Efecto o impacto en el proyecto]</w:t>
      </w:r>
      <w:r>
        <w:t xml:space="preserve"> LafroX no podría acreditar completo el intercambio electrónico exigido para el cierre de esa etapa y tendría que reprogramar pruebas y coordinación.</w:t>
      </w:r>
    </w:p>
    <w:p w14:paraId="56772F22" w14:textId="77777777" w:rsidR="00741338" w:rsidRDefault="00741338"/>
    <w:p w14:paraId="35581633" w14:textId="77777777" w:rsidR="00741338" w:rsidRDefault="00000000">
      <w:r>
        <w:rPr>
          <w:b/>
          <w:bCs/>
        </w:rPr>
        <w:t>Por qué compete a LafroX:</w:t>
      </w:r>
      <w:r>
        <w:t xml:space="preserve"> Afecta la certificación y aceptación de la entrega de LafroX, no solamente las ventas de Puelche.</w:t>
      </w:r>
    </w:p>
    <w:p w14:paraId="0F587D1E" w14:textId="77777777" w:rsidR="00741338" w:rsidRDefault="00741338"/>
    <w:p w14:paraId="50C4B287" w14:textId="77777777" w:rsidR="00741338" w:rsidRDefault="00000000">
      <w:r>
        <w:rPr>
          <w:b/>
          <w:bCs/>
        </w:rPr>
        <w:lastRenderedPageBreak/>
        <w:t>Contraste con lo ya definido:</w:t>
      </w:r>
      <w:r>
        <w:t xml:space="preserve"> El alcance EDI y la certificación por cadena están definidos. La amenaza es la demora efectiva del tercero; la carga manual no satisface el resultado ni permite retirar una cadena del alcance.</w:t>
      </w:r>
    </w:p>
    <w:p w14:paraId="2501BB96" w14:textId="77777777" w:rsidR="00741338" w:rsidRDefault="00741338"/>
    <w:p w14:paraId="4E863B77" w14:textId="77777777" w:rsidR="00741338" w:rsidRDefault="00000000">
      <w:r>
        <w:rPr>
          <w:b/>
          <w:bCs/>
        </w:rPr>
        <w:t>Fuentes:</w:t>
      </w:r>
      <w:r>
        <w:t xml:space="preserve"> </w:t>
      </w:r>
      <w:hyperlink r:id="rId8" w:anchor="page=154">
        <w:r w:rsidR="00741338">
          <w:rPr>
            <w:color w:val="1155CC"/>
            <w:u w:val="single"/>
          </w:rPr>
          <w:t>SD3, anexos, p. 154: Canal moderno</w:t>
        </w:r>
      </w:hyperlink>
      <w:r>
        <w:t xml:space="preserve">; </w:t>
      </w:r>
      <w:hyperlink r:id="rId9" w:anchor="page=14">
        <w:r w:rsidR="00741338">
          <w:rPr>
            <w:color w:val="1155CC"/>
            <w:u w:val="single"/>
          </w:rPr>
          <w:t>T-18, p. 14: §7.3.1</w:t>
        </w:r>
      </w:hyperlink>
      <w:r>
        <w:t xml:space="preserve">; </w:t>
      </w:r>
      <w:hyperlink r:id="rId10" w:anchor="page=15">
        <w:r w:rsidR="00741338">
          <w:rPr>
            <w:color w:val="1155CC"/>
            <w:u w:val="single"/>
          </w:rPr>
          <w:t>T-18, p. 15: Tabla 7.7</w:t>
        </w:r>
      </w:hyperlink>
      <w:r>
        <w:t>.</w:t>
      </w:r>
    </w:p>
    <w:p w14:paraId="0EA41322" w14:textId="77777777" w:rsidR="00741338" w:rsidRDefault="00000000">
      <w:pPr>
        <w:pStyle w:val="Ttulo3"/>
      </w:pPr>
      <w:bookmarkStart w:id="8" w:name="_dky0hlehupjj" w:colFirst="0" w:colLast="0"/>
      <w:bookmarkEnd w:id="8"/>
      <w:r>
        <w:t>REC-004 — Defectos de historia sanitaria de origen impiden cerrar una carga</w:t>
      </w:r>
    </w:p>
    <w:p w14:paraId="477EBD18" w14:textId="77777777" w:rsidR="00741338" w:rsidRDefault="00000000">
      <w:r>
        <w:rPr>
          <w:b/>
          <w:bCs/>
        </w:rPr>
        <w:t>Rama RBS:</w:t>
      </w:r>
      <w:r>
        <w:t xml:space="preserve"> Solución y tecnología.</w:t>
      </w:r>
    </w:p>
    <w:p w14:paraId="64290EF8" w14:textId="77777777" w:rsidR="00741338" w:rsidRDefault="00741338"/>
    <w:p w14:paraId="1630245A" w14:textId="77777777" w:rsidR="00741338" w:rsidRDefault="00000000">
      <w:r>
        <w:rPr>
          <w:b/>
          <w:bCs/>
        </w:rPr>
        <w:t>Descripción auditada:</w:t>
      </w:r>
    </w:p>
    <w:p w14:paraId="4FEF4585" w14:textId="77777777" w:rsidR="00741338" w:rsidRDefault="00741338"/>
    <w:p w14:paraId="294ADB54" w14:textId="77777777" w:rsidR="00741338" w:rsidRDefault="00000000">
      <w:r>
        <w:rPr>
          <w:b/>
          <w:bCs/>
        </w:rPr>
        <w:t>[Causa]</w:t>
      </w:r>
      <w:r>
        <w:t xml:space="preserve"> La migración sanitaria utiliza antecedentes del ERP, WMS y planillas cuya completitud y vinculación histórica deben comprobarse con evidencia de origen.</w:t>
      </w:r>
      <w:r>
        <w:br/>
      </w:r>
      <w:r>
        <w:rPr>
          <w:b/>
          <w:bCs/>
        </w:rPr>
        <w:t>[Evento de riesgo / Incertidumbre]</w:t>
      </w:r>
      <w:r>
        <w:t xml:space="preserve"> Al preparar una carga de historia sanitaria del ERP, WMS o planillas, los datos recibidos podrían contener faltantes de lote o vínculos históricos que no sea posible resolver con evidencia de origen.</w:t>
      </w:r>
      <w:r>
        <w:br/>
      </w:r>
      <w:r>
        <w:rPr>
          <w:b/>
          <w:bCs/>
        </w:rPr>
        <w:t>[Efecto o impacto en el proyecto]</w:t>
      </w:r>
      <w:r>
        <w:t xml:space="preserve"> Los conjuntos afectados quedarían pendientes de decisión documentada y conciliación, añadiendo trabajo de saneamiento a LafroX y condicionando la aceptación de esa carga.</w:t>
      </w:r>
    </w:p>
    <w:p w14:paraId="37CD0174" w14:textId="77777777" w:rsidR="00741338" w:rsidRDefault="00741338"/>
    <w:p w14:paraId="4EBD941C" w14:textId="77777777" w:rsidR="00741338" w:rsidRDefault="00000000">
      <w:r>
        <w:rPr>
          <w:b/>
          <w:bCs/>
        </w:rPr>
        <w:t>Por qué compete a LafroX:</w:t>
      </w:r>
      <w:r>
        <w:t xml:space="preserve"> El saneamiento, la trazabilidad de lo migrado y la evidencia de aceptación son entregables del equipo de datos de LafroX.</w:t>
      </w:r>
    </w:p>
    <w:p w14:paraId="59E7CF43" w14:textId="77777777" w:rsidR="00741338" w:rsidRDefault="00741338"/>
    <w:p w14:paraId="2D07160E" w14:textId="77777777" w:rsidR="00741338" w:rsidRDefault="00000000">
      <w:r>
        <w:rPr>
          <w:b/>
          <w:bCs/>
        </w:rPr>
        <w:t>Contraste con lo ya definido:</w:t>
      </w:r>
      <w:r>
        <w:t xml:space="preserve"> Están definidos la unidad de trazabilidad, el perfilado y la prohibición de inventar hechos. No está acreditada la disponibilidad efectiva de toda la historia; la ausencia ya conocida se trata como antecedente, no como incidente futuro.</w:t>
      </w:r>
    </w:p>
    <w:p w14:paraId="03E5F354" w14:textId="77777777" w:rsidR="00741338" w:rsidRDefault="00741338"/>
    <w:p w14:paraId="27B481A2" w14:textId="77777777" w:rsidR="00741338" w:rsidRDefault="00000000">
      <w:r>
        <w:rPr>
          <w:b/>
          <w:bCs/>
        </w:rPr>
        <w:t>Fuentes:</w:t>
      </w:r>
      <w:r>
        <w:t xml:space="preserve"> </w:t>
      </w:r>
      <w:hyperlink r:id="rId11" w:anchor="page=115">
        <w:r w:rsidR="00741338">
          <w:rPr>
            <w:color w:val="1155CC"/>
            <w:u w:val="single"/>
          </w:rPr>
          <w:t>SD3, anexos, p. 115: S-02</w:t>
        </w:r>
      </w:hyperlink>
      <w:r>
        <w:t xml:space="preserve">; </w:t>
      </w:r>
      <w:hyperlink r:id="rId12" w:anchor="page=35">
        <w:r w:rsidR="00741338">
          <w:rPr>
            <w:color w:val="1155CC"/>
            <w:u w:val="single"/>
          </w:rPr>
          <w:t>SD5, p. 35: §5.3.2</w:t>
        </w:r>
      </w:hyperlink>
      <w:r>
        <w:t xml:space="preserve">; </w:t>
      </w:r>
      <w:hyperlink r:id="rId13" w:anchor="page=37">
        <w:r w:rsidR="00741338">
          <w:rPr>
            <w:color w:val="1155CC"/>
            <w:u w:val="single"/>
          </w:rPr>
          <w:t>SD5, p. 37: §5.3.5</w:t>
        </w:r>
      </w:hyperlink>
      <w:r>
        <w:t>.</w:t>
      </w:r>
    </w:p>
    <w:p w14:paraId="52DDEC75" w14:textId="77777777" w:rsidR="00741338" w:rsidRDefault="00000000">
      <w:pPr>
        <w:pStyle w:val="Ttulo3"/>
      </w:pPr>
      <w:bookmarkStart w:id="9" w:name="_k871tex4tg6l" w:colFirst="0" w:colLast="0"/>
      <w:bookmarkEnd w:id="9"/>
      <w:r>
        <w:t>REC-005 — Historial de ventas no utilizable para la carga y reposición previstas</w:t>
      </w:r>
    </w:p>
    <w:p w14:paraId="26C51EB8" w14:textId="77777777" w:rsidR="00741338" w:rsidRDefault="00000000">
      <w:r>
        <w:rPr>
          <w:b/>
          <w:bCs/>
        </w:rPr>
        <w:t>Rama RBS:</w:t>
      </w:r>
      <w:r>
        <w:t xml:space="preserve"> Integración y legado.</w:t>
      </w:r>
    </w:p>
    <w:p w14:paraId="733846FE" w14:textId="77777777" w:rsidR="00741338" w:rsidRDefault="00741338"/>
    <w:p w14:paraId="5108696C" w14:textId="77777777" w:rsidR="00741338" w:rsidRDefault="00000000">
      <w:r>
        <w:rPr>
          <w:b/>
          <w:bCs/>
        </w:rPr>
        <w:t>Descripción auditada:</w:t>
      </w:r>
    </w:p>
    <w:p w14:paraId="4AC1247B" w14:textId="77777777" w:rsidR="00741338" w:rsidRDefault="00741338"/>
    <w:p w14:paraId="6EA17120" w14:textId="77777777" w:rsidR="00741338" w:rsidRDefault="00000000">
      <w:r>
        <w:rPr>
          <w:b/>
          <w:bCs/>
        </w:rPr>
        <w:t>[Causa]</w:t>
      </w:r>
      <w:r>
        <w:t xml:space="preserve"> La migración y la reposición dependen de la extensión y calidad efectiva del historial de ventas disponible en el ERP.</w:t>
      </w:r>
      <w:r>
        <w:br/>
      </w:r>
      <w:r>
        <w:rPr>
          <w:b/>
          <w:bCs/>
        </w:rPr>
        <w:t>[Evento de riesgo / Incertidumbre]</w:t>
      </w:r>
      <w:r>
        <w:t xml:space="preserve"> Al extraer del ERP el historial requerido para migración y reposición, podrían recibirse períodos incompletos o datos cuya calidad no permita utilizarlos directamente.</w:t>
      </w:r>
      <w:r>
        <w:br/>
      </w:r>
      <w:r>
        <w:rPr>
          <w:b/>
          <w:bCs/>
        </w:rPr>
        <w:t>[Efecto o impacto en el proyecto]</w:t>
      </w:r>
      <w:r>
        <w:t xml:space="preserve"> LafroX tendría que ampliar la preparación y conciliación de </w:t>
      </w:r>
      <w:r>
        <w:lastRenderedPageBreak/>
        <w:t>la carga y el tratamiento de las excepciones de reposición antes de demostrar los resultados requeridos.</w:t>
      </w:r>
    </w:p>
    <w:p w14:paraId="427DCEC9" w14:textId="77777777" w:rsidR="00741338" w:rsidRDefault="00741338"/>
    <w:p w14:paraId="6F72E017" w14:textId="77777777" w:rsidR="00741338" w:rsidRDefault="00000000">
      <w:r>
        <w:rPr>
          <w:b/>
          <w:bCs/>
        </w:rPr>
        <w:t>Por qué compete a LafroX:</w:t>
      </w:r>
      <w:r>
        <w:t xml:space="preserve"> Afecta el trabajo de migración y la verificación funcional de reposición a cargo de LafroX.</w:t>
      </w:r>
    </w:p>
    <w:p w14:paraId="250BC1DA" w14:textId="77777777" w:rsidR="00741338" w:rsidRDefault="00741338"/>
    <w:p w14:paraId="4F188676" w14:textId="77777777" w:rsidR="00741338" w:rsidRDefault="00000000">
      <w:r>
        <w:rPr>
          <w:b/>
          <w:bCs/>
        </w:rPr>
        <w:t>Contraste con lo ya definido:</w:t>
      </w:r>
      <w:r>
        <w:t xml:space="preserve"> V-09 distingue expresamente el requisito de migrar tres años de ventas de la prueba de que esos datos existan y sean utilizables. No se reabre la decisión sobre cuánto se exige migrar.</w:t>
      </w:r>
    </w:p>
    <w:p w14:paraId="7AEB3488" w14:textId="77777777" w:rsidR="00741338" w:rsidRDefault="00741338"/>
    <w:p w14:paraId="2C4B332D" w14:textId="77777777" w:rsidR="00741338" w:rsidRDefault="00000000">
      <w:r>
        <w:rPr>
          <w:b/>
          <w:bCs/>
        </w:rPr>
        <w:t>Fuentes:</w:t>
      </w:r>
      <w:r>
        <w:t xml:space="preserve"> SD3, anexos, p. 124: S-25; SD3, anexos, p. 147: V-09; SD5, p. 35: Perfilado.</w:t>
      </w:r>
    </w:p>
    <w:p w14:paraId="5BF7233B" w14:textId="77777777" w:rsidR="00741338" w:rsidRDefault="00000000">
      <w:pPr>
        <w:pStyle w:val="Ttulo3"/>
      </w:pPr>
      <w:bookmarkStart w:id="10" w:name="_atcttsmip7io" w:colFirst="0" w:colLast="0"/>
      <w:bookmarkEnd w:id="10"/>
      <w:r>
        <w:t>REC-006 — Diferencias de inventario sin resolver antes del corte de migración</w:t>
      </w:r>
    </w:p>
    <w:p w14:paraId="330F7F20" w14:textId="77777777" w:rsidR="00741338" w:rsidRDefault="00000000">
      <w:r>
        <w:rPr>
          <w:b/>
          <w:bCs/>
        </w:rPr>
        <w:t>Rama RBS:</w:t>
      </w:r>
      <w:r>
        <w:t xml:space="preserve"> Operación del cliente.</w:t>
      </w:r>
    </w:p>
    <w:p w14:paraId="748CCFA7" w14:textId="77777777" w:rsidR="00741338" w:rsidRDefault="00741338"/>
    <w:p w14:paraId="5907427C" w14:textId="77777777" w:rsidR="00741338" w:rsidRDefault="00000000">
      <w:r>
        <w:rPr>
          <w:b/>
          <w:bCs/>
        </w:rPr>
        <w:t>Descripción auditada:</w:t>
      </w:r>
    </w:p>
    <w:p w14:paraId="068E82F7" w14:textId="77777777" w:rsidR="00741338" w:rsidRDefault="00741338"/>
    <w:p w14:paraId="2442F122" w14:textId="77777777" w:rsidR="00741338" w:rsidRDefault="00000000">
      <w:r>
        <w:rPr>
          <w:b/>
          <w:bCs/>
        </w:rPr>
        <w:t>[Causa]</w:t>
      </w:r>
      <w:r>
        <w:t xml:space="preserve"> La aceptación del inventario migrado requiere conciliar los saldos legados con el conteo físico y contar con explicaciones y ajustes aprobados antes del corte.</w:t>
      </w:r>
      <w:r>
        <w:br/>
      </w:r>
      <w:r>
        <w:rPr>
          <w:b/>
          <w:bCs/>
        </w:rPr>
        <w:t>[Evento de riesgo / Incertidumbre]</w:t>
      </w:r>
      <w:r>
        <w:t xml:space="preserve"> Antes de un corte, la conciliación del saldo legado con el conteo físico podría detectar diferencias que no cuenten con explicación y ajuste aprobados a tiempo.</w:t>
      </w:r>
      <w:r>
        <w:br/>
      </w:r>
      <w:r>
        <w:rPr>
          <w:b/>
          <w:bCs/>
        </w:rPr>
        <w:t>[Efecto o impacto en el proyecto]</w:t>
      </w:r>
      <w:r>
        <w:t xml:space="preserve"> LafroX tendría que repetir saneamiento y validación, y la carga afectada no podría superar su condición de aceptación hasta resolverlas.</w:t>
      </w:r>
    </w:p>
    <w:p w14:paraId="3729700E" w14:textId="77777777" w:rsidR="00741338" w:rsidRDefault="00741338"/>
    <w:p w14:paraId="4BBCA699" w14:textId="77777777" w:rsidR="00741338" w:rsidRDefault="00000000">
      <w:r>
        <w:rPr>
          <w:b/>
          <w:bCs/>
        </w:rPr>
        <w:t>Por qué compete a LafroX:</w:t>
      </w:r>
      <w:r>
        <w:t xml:space="preserve"> La conciliación y el acta de corte forman parte de la implantación y migración que entrega LafroX.</w:t>
      </w:r>
    </w:p>
    <w:p w14:paraId="1F50096F" w14:textId="77777777" w:rsidR="00741338" w:rsidRDefault="00741338"/>
    <w:p w14:paraId="5C86B699" w14:textId="77777777" w:rsidR="00741338" w:rsidRDefault="00000000">
      <w:r>
        <w:rPr>
          <w:b/>
          <w:bCs/>
        </w:rPr>
        <w:t>Contraste con lo ya definido:</w:t>
      </w:r>
      <w:r>
        <w:t xml:space="preserve"> S-29 ya establece investigar y justificar diferencias. El evento adverso es no disponer de esa conciliación resuelta antes del corte, no que el porcentaje medido sea simplemente distinto o que deba elegirse una tolerancia.</w:t>
      </w:r>
    </w:p>
    <w:p w14:paraId="3717EC2A" w14:textId="77777777" w:rsidR="00741338" w:rsidRDefault="00741338"/>
    <w:p w14:paraId="2BCBE645" w14:textId="77777777" w:rsidR="00741338" w:rsidRDefault="00000000">
      <w:r>
        <w:rPr>
          <w:b/>
          <w:bCs/>
        </w:rPr>
        <w:t>Fuentes:</w:t>
      </w:r>
      <w:r>
        <w:t xml:space="preserve"> SD3, anexos, p. 126: S-29; SD5, p. 36: Saneamiento; SD5, p. 37: Criterios de corte.</w:t>
      </w:r>
    </w:p>
    <w:p w14:paraId="484DA4D5" w14:textId="77777777" w:rsidR="00741338" w:rsidRDefault="00000000">
      <w:pPr>
        <w:pStyle w:val="Ttulo3"/>
      </w:pPr>
      <w:bookmarkStart w:id="11" w:name="_ctku7xp9k2j7" w:colFirst="0" w:colLast="0"/>
      <w:bookmarkEnd w:id="11"/>
      <w:r>
        <w:t>REC-007 — Saldo inicial de envases no conciliable al preparar la carga de M8</w:t>
      </w:r>
    </w:p>
    <w:p w14:paraId="65B948F5" w14:textId="77777777" w:rsidR="00741338" w:rsidRDefault="00000000">
      <w:r>
        <w:rPr>
          <w:b/>
          <w:bCs/>
        </w:rPr>
        <w:t>Rama RBS:</w:t>
      </w:r>
      <w:r>
        <w:t xml:space="preserve"> Operación del cliente.</w:t>
      </w:r>
    </w:p>
    <w:p w14:paraId="1030C715" w14:textId="77777777" w:rsidR="00741338" w:rsidRDefault="00741338"/>
    <w:p w14:paraId="3A522F92" w14:textId="77777777" w:rsidR="00741338" w:rsidRDefault="00000000">
      <w:r>
        <w:rPr>
          <w:b/>
          <w:bCs/>
        </w:rPr>
        <w:t>Descripción auditada:</w:t>
      </w:r>
    </w:p>
    <w:p w14:paraId="7DF7BDB1" w14:textId="77777777" w:rsidR="00741338" w:rsidRDefault="00741338"/>
    <w:p w14:paraId="24351E59" w14:textId="77777777" w:rsidR="00741338" w:rsidRDefault="00000000">
      <w:r>
        <w:rPr>
          <w:b/>
          <w:bCs/>
        </w:rPr>
        <w:lastRenderedPageBreak/>
        <w:t>[Causa]</w:t>
      </w:r>
      <w:r>
        <w:t xml:space="preserve"> La carga inicial de M8 requiere saldos de envases por cliente y transportista sustentados en antecedentes conciliables del cliente.</w:t>
      </w:r>
      <w:r>
        <w:br/>
      </w:r>
      <w:r>
        <w:rPr>
          <w:b/>
          <w:bCs/>
        </w:rPr>
        <w:t>[Evento de riesgo / Incertidumbre]</w:t>
      </w:r>
      <w:r>
        <w:t xml:space="preserve"> Al preparar la carga inicial de M8, los antecedentes entregados por el cliente podrían no permitir determinar un saldo conciliado de envases por cliente y transportista.</w:t>
      </w:r>
      <w:r>
        <w:br/>
      </w:r>
      <w:r>
        <w:rPr>
          <w:b/>
          <w:bCs/>
        </w:rPr>
        <w:t>[Efecto o impacto en el proyecto]</w:t>
      </w:r>
      <w:r>
        <w:t xml:space="preserve"> LafroX tendría que repetir preparación y validación de la carga con Finanzas y no podría demostrar el funcionamiento con saldos iniciales aceptados mientras ese dato de partida siga pendiente.</w:t>
      </w:r>
    </w:p>
    <w:p w14:paraId="24D9F74D" w14:textId="77777777" w:rsidR="00741338" w:rsidRDefault="00741338"/>
    <w:p w14:paraId="58F11CF0" w14:textId="77777777" w:rsidR="00741338" w:rsidRDefault="00000000">
      <w:r>
        <w:rPr>
          <w:b/>
          <w:bCs/>
        </w:rPr>
        <w:t>Por qué compete a LafroX:</w:t>
      </w:r>
      <w:r>
        <w:t xml:space="preserve"> Compromete la preparación y prueba del dominio de envases que debe habilitar LafroX.</w:t>
      </w:r>
    </w:p>
    <w:p w14:paraId="34F00678" w14:textId="77777777" w:rsidR="00741338" w:rsidRDefault="00741338"/>
    <w:p w14:paraId="7734F6EB" w14:textId="77777777" w:rsidR="00741338" w:rsidRDefault="00000000">
      <w:r>
        <w:rPr>
          <w:b/>
          <w:bCs/>
        </w:rPr>
        <w:t>Contraste con lo ya definido:</w:t>
      </w:r>
      <w:r>
        <w:t xml:space="preserve"> S-10 y RNG-07 fijan el control por saldos. V-08 no confirma la calidad de los saldos iniciales; la consulta abierta no se convierte por sí sola en riesgo: aquí se delimita el resultado adverso de la preparación de la carga.</w:t>
      </w:r>
    </w:p>
    <w:p w14:paraId="45F18098" w14:textId="77777777" w:rsidR="00741338" w:rsidRDefault="00741338"/>
    <w:p w14:paraId="5CDF1E5C" w14:textId="77777777" w:rsidR="00741338" w:rsidRDefault="00000000">
      <w:r>
        <w:rPr>
          <w:b/>
          <w:bCs/>
        </w:rPr>
        <w:t>Fuentes:</w:t>
      </w:r>
      <w:r>
        <w:t xml:space="preserve"> SD3, anexos, p. 147: V-08; SD3, anexos, p. 141: RNG-07.</w:t>
      </w:r>
    </w:p>
    <w:p w14:paraId="769C92C6" w14:textId="77777777" w:rsidR="00741338" w:rsidRDefault="00000000">
      <w:pPr>
        <w:pStyle w:val="Ttulo3"/>
      </w:pPr>
      <w:bookmarkStart w:id="12" w:name="_rvko5m4go070" w:colFirst="0" w:colLast="0"/>
      <w:bookmarkEnd w:id="12"/>
      <w:r>
        <w:t>REC-008 — Historia de origen insuficiente para sustentar las líneas base de aceptación</w:t>
      </w:r>
    </w:p>
    <w:p w14:paraId="6FB7B096" w14:textId="77777777" w:rsidR="00741338" w:rsidRDefault="00000000">
      <w:r>
        <w:rPr>
          <w:b/>
          <w:bCs/>
        </w:rPr>
        <w:t>Rama RBS:</w:t>
      </w:r>
      <w:r>
        <w:t xml:space="preserve"> Operación del cliente.</w:t>
      </w:r>
    </w:p>
    <w:p w14:paraId="74FE51AA" w14:textId="77777777" w:rsidR="00741338" w:rsidRDefault="00741338"/>
    <w:p w14:paraId="5B8FEB9B" w14:textId="77777777" w:rsidR="00741338" w:rsidRDefault="00000000">
      <w:r>
        <w:rPr>
          <w:b/>
          <w:bCs/>
        </w:rPr>
        <w:t>Descripción auditada:</w:t>
      </w:r>
    </w:p>
    <w:p w14:paraId="3B4E7519" w14:textId="77777777" w:rsidR="00741338" w:rsidRDefault="00741338"/>
    <w:p w14:paraId="4BEF071D" w14:textId="77777777" w:rsidR="00741338" w:rsidRDefault="00000000">
      <w:r>
        <w:rPr>
          <w:b/>
          <w:bCs/>
        </w:rPr>
        <w:t>[Causa]</w:t>
      </w:r>
      <w:r>
        <w:t xml:space="preserve"> Las comparaciones históricas de aceptación dependen de horas verificables de entrega y montos esperados de rendición que la captura futura no reconstruye.</w:t>
      </w:r>
      <w:r>
        <w:br/>
      </w:r>
      <w:r>
        <w:rPr>
          <w:b/>
          <w:bCs/>
        </w:rPr>
        <w:t>[Evento de riesgo / Incertidumbre]</w:t>
      </w:r>
      <w:r>
        <w:t xml:space="preserve"> Al validar los antecedentes históricos que se usarán en la aceptación, podrían faltar horas verificables de entrega o montos esperados de rendición.</w:t>
      </w:r>
      <w:r>
        <w:br/>
      </w:r>
      <w:r>
        <w:rPr>
          <w:b/>
          <w:bCs/>
        </w:rPr>
        <w:t>[Efecto o impacto en el proyecto]</w:t>
      </w:r>
      <w:r>
        <w:t xml:space="preserve"> LafroX no podría respaldar con esos registros las comparaciones de OTIF o cuadratura y tendría que repetir la validación del conjunto y período de referencia con las áreas del cliente.</w:t>
      </w:r>
    </w:p>
    <w:p w14:paraId="2BF0C4DE" w14:textId="77777777" w:rsidR="00741338" w:rsidRDefault="00741338"/>
    <w:p w14:paraId="4EBD509D" w14:textId="77777777" w:rsidR="00741338" w:rsidRDefault="00000000">
      <w:r>
        <w:rPr>
          <w:b/>
          <w:bCs/>
        </w:rPr>
        <w:t>Por qué compete a LafroX:</w:t>
      </w:r>
      <w:r>
        <w:t xml:space="preserve"> Afecta las evidencias y mediciones que LafroX necesita presentar para demostrar los resultados de la solución.</w:t>
      </w:r>
    </w:p>
    <w:p w14:paraId="4FCA7A51" w14:textId="77777777" w:rsidR="00741338" w:rsidRDefault="00741338"/>
    <w:p w14:paraId="25C342C1" w14:textId="77777777" w:rsidR="00741338" w:rsidRDefault="00000000">
      <w:r>
        <w:rPr>
          <w:b/>
          <w:bCs/>
        </w:rPr>
        <w:t>Contraste con lo ya definido:</w:t>
      </w:r>
      <w:r>
        <w:t xml:space="preserve"> La fórmula de OTIF y la captura futura ya están definidas. V-10 mantiene pendiente la confiabilidad de los antecedentes históricos; no se propone cambiar la fórmula ni fabricar registros anteriores.</w:t>
      </w:r>
    </w:p>
    <w:p w14:paraId="4EE4AAF9" w14:textId="77777777" w:rsidR="00741338" w:rsidRDefault="00741338"/>
    <w:p w14:paraId="357FE986" w14:textId="77777777" w:rsidR="00741338" w:rsidRDefault="00000000">
      <w:r>
        <w:rPr>
          <w:b/>
          <w:bCs/>
        </w:rPr>
        <w:t>Fuentes:</w:t>
      </w:r>
      <w:r>
        <w:t xml:space="preserve"> SD3, anexos, p. 147: V-10; SD3, p. 15: Línea base; SD3, anexos, p. 141: RNG-09.</w:t>
      </w:r>
    </w:p>
    <w:p w14:paraId="072E9612" w14:textId="77777777" w:rsidR="00741338" w:rsidRDefault="00000000">
      <w:pPr>
        <w:pStyle w:val="Ttulo3"/>
      </w:pPr>
      <w:bookmarkStart w:id="13" w:name="_g9thdd4fontf" w:colFirst="0" w:colLast="0"/>
      <w:bookmarkEnd w:id="13"/>
      <w:r>
        <w:lastRenderedPageBreak/>
        <w:t>REC-009 — Deuda viva adicional a la cartera incluida en la volumetría provisional</w:t>
      </w:r>
    </w:p>
    <w:p w14:paraId="213FE298" w14:textId="77777777" w:rsidR="00741338" w:rsidRDefault="00000000">
      <w:r>
        <w:rPr>
          <w:b/>
          <w:bCs/>
        </w:rPr>
        <w:t>Rama RBS:</w:t>
      </w:r>
      <w:r>
        <w:t xml:space="preserve"> Integración y legado.</w:t>
      </w:r>
    </w:p>
    <w:p w14:paraId="2AE4A195" w14:textId="77777777" w:rsidR="00741338" w:rsidRDefault="00741338"/>
    <w:p w14:paraId="2017AC18" w14:textId="77777777" w:rsidR="00741338" w:rsidRDefault="00000000">
      <w:r>
        <w:rPr>
          <w:b/>
          <w:bCs/>
        </w:rPr>
        <w:t>Descripción auditada:</w:t>
      </w:r>
    </w:p>
    <w:p w14:paraId="4731DBD3" w14:textId="77777777" w:rsidR="00741338" w:rsidRDefault="00741338"/>
    <w:p w14:paraId="5ECB15F3" w14:textId="77777777" w:rsidR="00741338" w:rsidRDefault="00000000">
      <w:r>
        <w:rPr>
          <w:b/>
          <w:bCs/>
        </w:rPr>
        <w:t>[Causa]</w:t>
      </w:r>
      <w:r>
        <w:t xml:space="preserve"> El volumen histórico utilizado para estimar la carga de cartera no acredita que incluya todos los documentos de deuda todavía vigente.</w:t>
      </w:r>
      <w:r>
        <w:br/>
      </w:r>
      <w:r>
        <w:rPr>
          <w:b/>
          <w:bCs/>
        </w:rPr>
        <w:t>[Evento de riesgo / Incertidumbre]</w:t>
      </w:r>
      <w:r>
        <w:t xml:space="preserve"> Durante el perfilado de la cartera, podrían identificarse documentos de deuda todavía vigente que no estén comprendidos en el volumen histórico usado para estimar la carga.</w:t>
      </w:r>
      <w:r>
        <w:br/>
      </w:r>
      <w:r>
        <w:rPr>
          <w:b/>
          <w:bCs/>
        </w:rPr>
        <w:t>[Efecto o impacto en el proyecto]</w:t>
      </w:r>
      <w:r>
        <w:t xml:space="preserve"> LafroX tendría que extraer, transformar y conciliar ese conjunto adicional, aumentando el trabajo y el volumen de transferencia antes de cerrar la migración de cartera.</w:t>
      </w:r>
    </w:p>
    <w:p w14:paraId="3016057D" w14:textId="77777777" w:rsidR="00741338" w:rsidRDefault="00741338"/>
    <w:p w14:paraId="57DD49B3" w14:textId="77777777" w:rsidR="00741338" w:rsidRDefault="00000000">
      <w:r>
        <w:rPr>
          <w:b/>
          <w:bCs/>
        </w:rPr>
        <w:t>Por qué compete a LafroX:</w:t>
      </w:r>
      <w:r>
        <w:t xml:space="preserve"> Afecta la carga completa de cartera y las tareas de datos y ensayo de LafroX.</w:t>
      </w:r>
    </w:p>
    <w:p w14:paraId="5F614832" w14:textId="77777777" w:rsidR="00741338" w:rsidRDefault="00741338"/>
    <w:p w14:paraId="321B7CC8" w14:textId="77777777" w:rsidR="00741338" w:rsidRDefault="00000000">
      <w:r>
        <w:rPr>
          <w:b/>
          <w:bCs/>
        </w:rPr>
        <w:t>Contraste con lo ya definido:</w:t>
      </w:r>
      <w:r>
        <w:t xml:space="preserve"> El requisito de migrar toda la deuda viva está decidido. El riesgo se limita a que aparezca volumen de origen adicional al contabilizado; no se plantea como una elección de alcance. Se acota a cartera para evitar repetir la historia sanitaria de REC-004.</w:t>
      </w:r>
    </w:p>
    <w:p w14:paraId="638EDD98" w14:textId="77777777" w:rsidR="00741338" w:rsidRDefault="00741338"/>
    <w:p w14:paraId="7AD8015B" w14:textId="77777777" w:rsidR="00741338" w:rsidRDefault="00000000">
      <w:r>
        <w:rPr>
          <w:b/>
          <w:bCs/>
        </w:rPr>
        <w:t>Fuentes:</w:t>
      </w:r>
      <w:r>
        <w:t xml:space="preserve"> SD5, p. 35: §5.3.1 y tabla 5.2; SD5, p. 37: Conciliación de cartera.</w:t>
      </w:r>
    </w:p>
    <w:p w14:paraId="4BB90AE6" w14:textId="473BD5F4" w:rsidR="00741338" w:rsidRDefault="00000000">
      <w:pPr>
        <w:pStyle w:val="Ttulo3"/>
      </w:pPr>
      <w:bookmarkStart w:id="14" w:name="_wyz0bkuugz0w" w:colFirst="0" w:colLast="0"/>
      <w:bookmarkEnd w:id="14"/>
      <w:r>
        <w:t>REC-011 — ERP legado indisponible cuando se requiere emitir una guía nueva</w:t>
      </w:r>
      <w:r w:rsidR="0005753D">
        <w:t xml:space="preserve"> (descartar)</w:t>
      </w:r>
    </w:p>
    <w:p w14:paraId="14E409BA" w14:textId="77777777" w:rsidR="00741338" w:rsidRDefault="00000000">
      <w:r>
        <w:rPr>
          <w:b/>
          <w:bCs/>
        </w:rPr>
        <w:t>Rama RBS:</w:t>
      </w:r>
      <w:r>
        <w:t xml:space="preserve"> Integración y legado.</w:t>
      </w:r>
    </w:p>
    <w:p w14:paraId="0B55D4D4" w14:textId="77777777" w:rsidR="00741338" w:rsidRDefault="00741338"/>
    <w:p w14:paraId="76D27B97" w14:textId="77777777" w:rsidR="00741338" w:rsidRDefault="00000000">
      <w:r>
        <w:rPr>
          <w:b/>
          <w:bCs/>
        </w:rPr>
        <w:t>Descripción auditada:</w:t>
      </w:r>
    </w:p>
    <w:p w14:paraId="03DC4100" w14:textId="77777777" w:rsidR="00741338" w:rsidRDefault="00741338"/>
    <w:p w14:paraId="33B65B44" w14:textId="77777777" w:rsidR="00741338" w:rsidRDefault="00000000">
      <w:r>
        <w:rPr>
          <w:b/>
          <w:bCs/>
        </w:rPr>
        <w:t>[Causa]</w:t>
      </w:r>
      <w:r>
        <w:t xml:space="preserve"> El ERP del cliente se mantiene como único emisor de guías nuevas y de las reemisiones exigidas por cambios de carga.</w:t>
      </w:r>
      <w:r>
        <w:br/>
      </w:r>
      <w:r>
        <w:rPr>
          <w:b/>
          <w:bCs/>
        </w:rPr>
        <w:t>[Evento de riesgo / Incertidumbre]</w:t>
      </w:r>
      <w:r>
        <w:t xml:space="preserve"> Durante un ensayo integrado o la operación, el ERP del cliente podría estar indisponible cuando se solicite una guía nueva o la reemisión necesaria por un cambio de carga.</w:t>
      </w:r>
      <w:r>
        <w:br/>
      </w:r>
      <w:r>
        <w:rPr>
          <w:b/>
          <w:bCs/>
        </w:rPr>
        <w:t>[Efecto o impacto en el proyecto]</w:t>
      </w:r>
      <w:r>
        <w:t xml:space="preserve"> Quedaría pendiente el intercambio documental y LafroX tendría que gestionar la incidencia de integración y su recuperación antes de completar ese flujo.</w:t>
      </w:r>
    </w:p>
    <w:p w14:paraId="75D8175E" w14:textId="77777777" w:rsidR="00741338" w:rsidRDefault="00741338"/>
    <w:p w14:paraId="7E055EEA" w14:textId="77777777" w:rsidR="00741338" w:rsidRDefault="00000000">
      <w:r>
        <w:rPr>
          <w:b/>
          <w:bCs/>
        </w:rPr>
        <w:t>Por qué compete a LafroX:</w:t>
      </w:r>
      <w:r>
        <w:t xml:space="preserve"> LafroX integra y soporta el flujo documental; la indisponibilidad del legado afecta sus pruebas o su servicio integrado.</w:t>
      </w:r>
    </w:p>
    <w:p w14:paraId="2F173B42" w14:textId="77777777" w:rsidR="00741338" w:rsidRDefault="00741338"/>
    <w:p w14:paraId="29491D62" w14:textId="77777777" w:rsidR="00741338" w:rsidRDefault="00000000">
      <w:r>
        <w:rPr>
          <w:b/>
          <w:bCs/>
        </w:rPr>
        <w:lastRenderedPageBreak/>
        <w:t>Contraste con lo ya definido:</w:t>
      </w:r>
      <w:r>
        <w:t xml:space="preserve"> El ERP como único emisor y la obligación de contar con una guía válida están decididos. Se conserva la indisponibilidad externa; no se conserva una duda sobre quién emite ni se permite salir sin documento.</w:t>
      </w:r>
    </w:p>
    <w:p w14:paraId="74F8FA3C" w14:textId="77777777" w:rsidR="00741338" w:rsidRDefault="00741338"/>
    <w:p w14:paraId="0EA4D480" w14:textId="77777777" w:rsidR="00741338" w:rsidRDefault="00000000">
      <w:r>
        <w:rPr>
          <w:b/>
          <w:bCs/>
        </w:rPr>
        <w:t>Fuentes:</w:t>
      </w:r>
      <w:r>
        <w:t xml:space="preserve"> SD4, p. 72: Tabla 3: ERP y emisión DTE; SD4, p. 73: Continuidad documental; T-14, p. 87: 8.1.2.</w:t>
      </w:r>
    </w:p>
    <w:p w14:paraId="6478D9FC" w14:textId="77777777" w:rsidR="00741338" w:rsidRDefault="00000000">
      <w:pPr>
        <w:pStyle w:val="Ttulo3"/>
      </w:pPr>
      <w:bookmarkStart w:id="15" w:name="_6qvfg05hr6zf" w:colFirst="0" w:colLast="0"/>
      <w:bookmarkEnd w:id="15"/>
      <w:r>
        <w:t>REC-012 — El Servicio de Impuestos Internos no responde y deja pendiente un trámite tributario</w:t>
      </w:r>
    </w:p>
    <w:p w14:paraId="0B4F8E30" w14:textId="77777777" w:rsidR="00741338" w:rsidRDefault="00000000">
      <w:r>
        <w:rPr>
          <w:b/>
          <w:bCs/>
        </w:rPr>
        <w:t>Rama RBS:</w:t>
      </w:r>
      <w:r>
        <w:t xml:space="preserve"> Integración y legado.</w:t>
      </w:r>
    </w:p>
    <w:p w14:paraId="060E81A9" w14:textId="77777777" w:rsidR="00741338" w:rsidRDefault="00741338"/>
    <w:p w14:paraId="7590E90A" w14:textId="77777777" w:rsidR="00741338" w:rsidRDefault="00000000">
      <w:r>
        <w:rPr>
          <w:b/>
          <w:bCs/>
        </w:rPr>
        <w:t>Descripción auditada:</w:t>
      </w:r>
    </w:p>
    <w:p w14:paraId="53490AC2" w14:textId="77777777" w:rsidR="00741338" w:rsidRDefault="00741338"/>
    <w:p w14:paraId="342EA47F" w14:textId="77777777" w:rsidR="00741338" w:rsidRDefault="00000000">
      <w:r>
        <w:rPr>
          <w:b/>
          <w:bCs/>
        </w:rPr>
        <w:t>[Causa]</w:t>
      </w:r>
      <w:r>
        <w:t xml:space="preserve"> La solución envía trámites tributarios por el sistema de gestión actual del cliente y necesita la respuesta del Servicio de Impuestos Internos (SII) para conocer su resultado.</w:t>
      </w:r>
      <w:r>
        <w:br/>
      </w:r>
      <w:r>
        <w:rPr>
          <w:b/>
          <w:bCs/>
        </w:rPr>
        <w:t>[Evento de riesgo / Incertidumbre]</w:t>
      </w:r>
      <w:r>
        <w:t xml:space="preserve"> Mientras se tramita uno de esos documentos, el SII podría no responder.</w:t>
      </w:r>
      <w:r>
        <w:br/>
      </w:r>
      <w:r>
        <w:rPr>
          <w:b/>
          <w:bCs/>
        </w:rPr>
        <w:t>[Efecto o impacto en el proyecto]</w:t>
      </w:r>
      <w:r>
        <w:t xml:space="preserve"> El trámite quedaría sin confirmación. LafroX tendría que mantenerlo identificado como pendiente, seguir la incidencia y comprobar su resultado al reintentar la comunicación. Esto podría retrasar el cierre del proceso, pero la falta de respuesta no equivale a una aprobación.</w:t>
      </w:r>
    </w:p>
    <w:p w14:paraId="7C6964D0" w14:textId="77777777" w:rsidR="00741338" w:rsidRDefault="00741338"/>
    <w:p w14:paraId="724D871B" w14:textId="77777777" w:rsidR="00741338" w:rsidRDefault="00000000">
      <w:r>
        <w:rPr>
          <w:b/>
          <w:bCs/>
        </w:rPr>
        <w:t>Por qué compete a LafroX:</w:t>
      </w:r>
      <w:r>
        <w:t xml:space="preserve"> LafroX debe dar seguimiento a los trámites que pasan por la integración y verificar su resultado antes de cerrar el proceso.</w:t>
      </w:r>
    </w:p>
    <w:p w14:paraId="23450747" w14:textId="77777777" w:rsidR="00741338" w:rsidRDefault="00741338"/>
    <w:p w14:paraId="2A34FAFF" w14:textId="77777777" w:rsidR="00741338" w:rsidRDefault="00000000">
      <w:r>
        <w:rPr>
          <w:b/>
          <w:bCs/>
        </w:rPr>
        <w:t>Contraste con lo ya definido:</w:t>
      </w:r>
      <w:r>
        <w:t xml:space="preserve"> Ya está decidido que el sistema actual del cliente emite los documentos tributarios. El riesgo no cuestiona esa decisión: se refiere a una falta de respuesta del SII durante el trámite.</w:t>
      </w:r>
    </w:p>
    <w:p w14:paraId="4D8DD80F" w14:textId="77777777" w:rsidR="00741338" w:rsidRDefault="00741338"/>
    <w:p w14:paraId="55A6A5F8" w14:textId="77777777" w:rsidR="00741338" w:rsidRDefault="00000000">
      <w:r>
        <w:rPr>
          <w:b/>
          <w:bCs/>
        </w:rPr>
        <w:t>Fuentes:</w:t>
      </w:r>
      <w:r>
        <w:t xml:space="preserve"> SD4, p. 72: Tabla 3: SII y pasarela de pago; SD4, p. 144: Fallas en integraciones; T-14, p. 87: 8.1.2.</w:t>
      </w:r>
    </w:p>
    <w:p w14:paraId="7539F1DC" w14:textId="77777777" w:rsidR="00741338" w:rsidRDefault="00000000">
      <w:pPr>
        <w:pStyle w:val="Ttulo3"/>
      </w:pPr>
      <w:bookmarkStart w:id="16" w:name="_dvphh1p7jfbs" w:colFirst="0" w:colLast="0"/>
      <w:bookmarkEnd w:id="16"/>
      <w:r>
        <w:t>REC-013 — POS deja un pago sin resultado externo comprobable</w:t>
      </w:r>
    </w:p>
    <w:p w14:paraId="4B006BCC" w14:textId="77777777" w:rsidR="00741338" w:rsidRDefault="00000000">
      <w:r>
        <w:rPr>
          <w:b/>
          <w:bCs/>
        </w:rPr>
        <w:t>Rama RBS:</w:t>
      </w:r>
      <w:r>
        <w:t xml:space="preserve"> Integración y legado.</w:t>
      </w:r>
    </w:p>
    <w:p w14:paraId="6A345A15" w14:textId="77777777" w:rsidR="00741338" w:rsidRDefault="00741338"/>
    <w:p w14:paraId="7570C3D3" w14:textId="77777777" w:rsidR="00741338" w:rsidRDefault="00000000">
      <w:r>
        <w:rPr>
          <w:b/>
          <w:bCs/>
        </w:rPr>
        <w:t>Descripción auditada:</w:t>
      </w:r>
    </w:p>
    <w:p w14:paraId="02155A96" w14:textId="77777777" w:rsidR="00741338" w:rsidRDefault="00741338"/>
    <w:p w14:paraId="0840D362" w14:textId="77777777" w:rsidR="00741338" w:rsidRDefault="00000000">
      <w:r>
        <w:rPr>
          <w:b/>
          <w:bCs/>
        </w:rPr>
        <w:t>[Causa]</w:t>
      </w:r>
      <w:r>
        <w:t xml:space="preserve"> La integración de pagos depende de la respuesta del POS del tercero; un timeout no permite concluir que el cargo fue rechazado.</w:t>
      </w:r>
      <w:r>
        <w:br/>
      </w:r>
      <w:r>
        <w:rPr>
          <w:b/>
          <w:bCs/>
        </w:rPr>
        <w:t>[Evento de riesgo / Incertidumbre]</w:t>
      </w:r>
      <w:r>
        <w:t xml:space="preserve"> Después de enviar una autorización de pago, el POS del tercero podría agotar el tiempo de respuesta sin permitir comprobar si hubo cargo.</w:t>
      </w:r>
      <w:r>
        <w:br/>
      </w:r>
      <w:r>
        <w:rPr>
          <w:b/>
          <w:bCs/>
        </w:rPr>
        <w:t>[Efecto o impacto en el proyecto]</w:t>
      </w:r>
      <w:r>
        <w:t xml:space="preserve"> El intercambio quedaría incierto y LafroX tendría que </w:t>
      </w:r>
      <w:r>
        <w:lastRenderedPageBreak/>
        <w:t>investigar y conciliar el estado de la integración con la contraparte financiera antes de dar por resuelta la incidencia.</w:t>
      </w:r>
    </w:p>
    <w:p w14:paraId="39FA147F" w14:textId="77777777" w:rsidR="00741338" w:rsidRDefault="00741338"/>
    <w:p w14:paraId="49F117F4" w14:textId="77777777" w:rsidR="00741338" w:rsidRDefault="00000000">
      <w:r>
        <w:rPr>
          <w:b/>
          <w:bCs/>
        </w:rPr>
        <w:t>Por qué compete a LafroX:</w:t>
      </w:r>
      <w:r>
        <w:t xml:space="preserve"> Concierne al estado técnico y trazabilidad del flujo POS integrado por LafroX; no se le atribuye la custodia del dinero ni la autorización financiera.</w:t>
      </w:r>
    </w:p>
    <w:p w14:paraId="4130D5AA" w14:textId="77777777" w:rsidR="00741338" w:rsidRDefault="00741338"/>
    <w:p w14:paraId="0981B56D" w14:textId="77777777" w:rsidR="00741338" w:rsidRDefault="00000000">
      <w:r>
        <w:rPr>
          <w:b/>
          <w:bCs/>
        </w:rPr>
        <w:t>Contraste con lo ya definido:</w:t>
      </w:r>
      <w:r>
        <w:t xml:space="preserve"> La regla de no equiparar timeout con rechazo y la segregación financiera ya están definidas. Se conserva la ausencia real de respuesta externa; no se plantea como elección libre el volver a cobrar.</w:t>
      </w:r>
    </w:p>
    <w:p w14:paraId="5019C1D5" w14:textId="77777777" w:rsidR="00741338" w:rsidRDefault="00741338"/>
    <w:p w14:paraId="072DDACE" w14:textId="77777777" w:rsidR="00741338" w:rsidRDefault="00000000">
      <w:r>
        <w:rPr>
          <w:b/>
          <w:bCs/>
        </w:rPr>
        <w:t>Fuentes:</w:t>
      </w:r>
      <w:r>
        <w:t xml:space="preserve"> SD5, p. 19: §5.1.8: POS; SD4, p. 72: Pasarela de pago.</w:t>
      </w:r>
    </w:p>
    <w:p w14:paraId="052FBCD3" w14:textId="36BE35BA" w:rsidR="00741338" w:rsidRDefault="00000000">
      <w:pPr>
        <w:pStyle w:val="Ttulo3"/>
      </w:pPr>
      <w:bookmarkStart w:id="17" w:name="_u74zgpqll0uh" w:colFirst="0" w:colLast="0"/>
      <w:bookmarkEnd w:id="17"/>
      <w:r>
        <w:t>REC-014 — El proveedor de mensajes falla y un aviso operativo queda pendiente</w:t>
      </w:r>
      <w:r w:rsidR="0005753D">
        <w:t xml:space="preserve"> (eliminar, es parte de solución)</w:t>
      </w:r>
    </w:p>
    <w:p w14:paraId="136B8FAC" w14:textId="77777777" w:rsidR="00741338" w:rsidRDefault="00000000">
      <w:r>
        <w:rPr>
          <w:b/>
          <w:bCs/>
        </w:rPr>
        <w:t>Rama RBS:</w:t>
      </w:r>
      <w:r>
        <w:t xml:space="preserve"> Integración y legado.</w:t>
      </w:r>
    </w:p>
    <w:p w14:paraId="2073629F" w14:textId="77777777" w:rsidR="00741338" w:rsidRDefault="00741338"/>
    <w:p w14:paraId="059B3CE4" w14:textId="77777777" w:rsidR="00741338" w:rsidRDefault="00000000">
      <w:r>
        <w:rPr>
          <w:b/>
          <w:bCs/>
        </w:rPr>
        <w:t>Descripción auditada:</w:t>
      </w:r>
    </w:p>
    <w:p w14:paraId="2F7BA31D" w14:textId="77777777" w:rsidR="00741338" w:rsidRDefault="00741338"/>
    <w:p w14:paraId="352D506D" w14:textId="77777777" w:rsidR="00741338" w:rsidRDefault="00000000">
      <w:r>
        <w:rPr>
          <w:b/>
          <w:bCs/>
        </w:rPr>
        <w:t>[Causa]</w:t>
      </w:r>
      <w:r>
        <w:t xml:space="preserve"> La solución utiliza servicios externos para enviar avisos operativos por los canales habilitados, como correo o mensajería.</w:t>
      </w:r>
      <w:r>
        <w:br/>
      </w:r>
      <w:r>
        <w:rPr>
          <w:b/>
          <w:bCs/>
        </w:rPr>
        <w:t>[Evento de riesgo / Incertidumbre]</w:t>
      </w:r>
      <w:r>
        <w:t xml:space="preserve"> Al enviar un aviso operativo, el proveedor del canal podría no responder o informar que el envío falló.</w:t>
      </w:r>
      <w:r>
        <w:br/>
      </w:r>
      <w:r>
        <w:rPr>
          <w:b/>
          <w:bCs/>
        </w:rPr>
        <w:t>[Efecto o impacto en el proyecto]</w:t>
      </w:r>
      <w:r>
        <w:t xml:space="preserve"> El aviso quedaría pendiente o sin entrega comprobada. LafroX tendría que registrar el fallo, reintentar el envío según la política definida y verificar el resultado; esto podría retrasar la comunicación de la operación.</w:t>
      </w:r>
    </w:p>
    <w:p w14:paraId="2673249D" w14:textId="77777777" w:rsidR="00741338" w:rsidRDefault="00741338"/>
    <w:p w14:paraId="2A506BA9" w14:textId="77777777" w:rsidR="00741338" w:rsidRDefault="00000000">
      <w:r>
        <w:rPr>
          <w:b/>
          <w:bCs/>
        </w:rPr>
        <w:t>Por qué compete a LafroX:</w:t>
      </w:r>
      <w:r>
        <w:t xml:space="preserve"> LafroX integra los canales de aviso y debe conservar evidencia del estado de cada envío. No puede garantizar que una persona lea el mensaje.</w:t>
      </w:r>
    </w:p>
    <w:p w14:paraId="6A3EF6F4" w14:textId="77777777" w:rsidR="00741338" w:rsidRDefault="00741338"/>
    <w:p w14:paraId="0C94D033" w14:textId="77777777" w:rsidR="00741338" w:rsidRDefault="00000000">
      <w:r>
        <w:rPr>
          <w:b/>
          <w:bCs/>
        </w:rPr>
        <w:t>Contraste con lo ya definido:</w:t>
      </w:r>
      <w:r>
        <w:t xml:space="preserve"> Los canales y la diferencia entre entrega y lectura ya están definidos. El riesgo es un fallo concreto del proveedor al enviar el aviso, no una decisión pendiente sobre qué canal usar.</w:t>
      </w:r>
    </w:p>
    <w:p w14:paraId="4403FB09" w14:textId="77777777" w:rsidR="00741338" w:rsidRDefault="00741338"/>
    <w:p w14:paraId="67C25F2F" w14:textId="77777777" w:rsidR="00741338" w:rsidRDefault="00000000">
      <w:r>
        <w:rPr>
          <w:b/>
          <w:bCs/>
        </w:rPr>
        <w:t>Fuentes:</w:t>
      </w:r>
      <w:r>
        <w:t xml:space="preserve"> SD4, p. 144: Fallas de notificaciones; SD5, p. 19: §5.1.9; SD5, p. 20: Evidencia de apertura.</w:t>
      </w:r>
    </w:p>
    <w:p w14:paraId="26CA82E4" w14:textId="7F8CB83F" w:rsidR="00741338" w:rsidRDefault="00000000">
      <w:pPr>
        <w:pStyle w:val="Ttulo3"/>
      </w:pPr>
      <w:bookmarkStart w:id="18" w:name="_uet603j6brk4" w:colFirst="0" w:colLast="0"/>
      <w:bookmarkEnd w:id="18"/>
      <w:r>
        <w:t>REC-015 — El servicio externo de mapas limita las consultas y deja una planificación incompleta</w:t>
      </w:r>
      <w:r w:rsidR="0005753D">
        <w:t xml:space="preserve"> (reformular, el servicio externo se cae)</w:t>
      </w:r>
    </w:p>
    <w:p w14:paraId="420C1F1F" w14:textId="77777777" w:rsidR="00741338" w:rsidRDefault="00000000">
      <w:r>
        <w:rPr>
          <w:b/>
          <w:bCs/>
        </w:rPr>
        <w:t>Rama RBS:</w:t>
      </w:r>
      <w:r>
        <w:t xml:space="preserve"> Integración y legado.</w:t>
      </w:r>
    </w:p>
    <w:p w14:paraId="6612CE3D" w14:textId="77777777" w:rsidR="00741338" w:rsidRDefault="00741338"/>
    <w:p w14:paraId="7A7EDC2A" w14:textId="77777777" w:rsidR="00741338" w:rsidRDefault="00000000">
      <w:r>
        <w:rPr>
          <w:b/>
          <w:bCs/>
        </w:rPr>
        <w:t>Descripción auditada:</w:t>
      </w:r>
    </w:p>
    <w:p w14:paraId="6FD12793" w14:textId="77777777" w:rsidR="00741338" w:rsidRDefault="00741338"/>
    <w:p w14:paraId="45E81708" w14:textId="77777777" w:rsidR="00741338" w:rsidRDefault="00000000">
      <w:r>
        <w:rPr>
          <w:b/>
          <w:bCs/>
        </w:rPr>
        <w:lastRenderedPageBreak/>
        <w:t>[Causa]</w:t>
      </w:r>
      <w:r>
        <w:t xml:space="preserve"> La solución consulta un servicio externo de mapas para mostrar ubicaciones y apoyar la planificación de rutas. Ese servicio aplica límites de uso.</w:t>
      </w:r>
      <w:r>
        <w:br/>
      </w:r>
      <w:r>
        <w:rPr>
          <w:b/>
          <w:bCs/>
        </w:rPr>
        <w:t>[Evento de riesgo / Incertidumbre]</w:t>
      </w:r>
      <w:r>
        <w:t xml:space="preserve"> Durante una consulta, el proveedor podría rechazar nuevas solicitudes porque se alcanzó su límite permitido.</w:t>
      </w:r>
      <w:r>
        <w:br/>
      </w:r>
      <w:r>
        <w:rPr>
          <w:b/>
          <w:bCs/>
        </w:rPr>
        <w:t>[Efecto o impacto en el proyecto]</w:t>
      </w:r>
      <w:r>
        <w:t xml:space="preserve"> Las consultas afectadas no se completarían y la planificación que depende de ellas podría quedar pendiente. LafroX tendría que atender el incidente, comprobar cuándo se recupera el acceso y aplicar la continuidad ya prevista cuando corresponda.</w:t>
      </w:r>
    </w:p>
    <w:p w14:paraId="73C865A5" w14:textId="77777777" w:rsidR="00741338" w:rsidRDefault="00741338"/>
    <w:p w14:paraId="69F05FAD" w14:textId="77777777" w:rsidR="00741338" w:rsidRDefault="00000000">
      <w:r>
        <w:rPr>
          <w:b/>
          <w:bCs/>
        </w:rPr>
        <w:t>Por qué compete a LafroX:</w:t>
      </w:r>
      <w:r>
        <w:t xml:space="preserve"> LafroX mantiene la integración con el servicio de mapas y debe atender sus fallos; el efecto no se limita a una decisión de ruta del cliente.</w:t>
      </w:r>
    </w:p>
    <w:p w14:paraId="4593700D" w14:textId="77777777" w:rsidR="00741338" w:rsidRDefault="00741338"/>
    <w:p w14:paraId="443E7465" w14:textId="77777777" w:rsidR="00741338" w:rsidRDefault="00000000">
      <w:r>
        <w:rPr>
          <w:b/>
          <w:bCs/>
        </w:rPr>
        <w:t>Contraste con lo ya definido:</w:t>
      </w:r>
      <w:r>
        <w:t xml:space="preserve"> La arquitectura ya contempla límites de uso y tiempos máximos de espera. El riesgo es que el proveedor aplique efectivamente una restricción durante el uso, no que LafroX aún deba decidir cómo integrar el servicio.</w:t>
      </w:r>
    </w:p>
    <w:p w14:paraId="2B042015" w14:textId="77777777" w:rsidR="00741338" w:rsidRDefault="00741338"/>
    <w:p w14:paraId="584F93DA" w14:textId="77777777" w:rsidR="00741338" w:rsidRDefault="00000000">
      <w:r>
        <w:rPr>
          <w:b/>
          <w:bCs/>
        </w:rPr>
        <w:t>Fuentes:</w:t>
      </w:r>
      <w:r>
        <w:t xml:space="preserve"> SD4, anexos, p. 65: Tabla A.24: INT-10/GIS; T-14, p. 87: 8.1.2.</w:t>
      </w:r>
    </w:p>
    <w:p w14:paraId="7FE8044F" w14:textId="77777777" w:rsidR="00741338" w:rsidRDefault="00000000">
      <w:pPr>
        <w:pStyle w:val="Ttulo3"/>
      </w:pPr>
      <w:bookmarkStart w:id="19" w:name="_g8k9zdz8fr11" w:colFirst="0" w:colLast="0"/>
      <w:bookmarkEnd w:id="19"/>
      <w:r>
        <w:t>REC-027 — Calidad no entrega la matriz térmica aprobada antes de certificar</w:t>
      </w:r>
    </w:p>
    <w:p w14:paraId="02FA3D0B" w14:textId="77777777" w:rsidR="00741338" w:rsidRDefault="00000000">
      <w:r>
        <w:rPr>
          <w:b/>
          <w:bCs/>
        </w:rPr>
        <w:t>Rama RBS:</w:t>
      </w:r>
      <w:r>
        <w:t xml:space="preserve"> Operación del cliente.</w:t>
      </w:r>
    </w:p>
    <w:p w14:paraId="550489AA" w14:textId="77777777" w:rsidR="00741338" w:rsidRDefault="00741338"/>
    <w:p w14:paraId="2A222138" w14:textId="77777777" w:rsidR="00741338" w:rsidRDefault="00000000">
      <w:r>
        <w:rPr>
          <w:b/>
          <w:bCs/>
        </w:rPr>
        <w:t>Descripción auditada:</w:t>
      </w:r>
    </w:p>
    <w:p w14:paraId="7A611F62" w14:textId="77777777" w:rsidR="00741338" w:rsidRDefault="00741338"/>
    <w:p w14:paraId="7AFDDBB9" w14:textId="77777777" w:rsidR="00741338" w:rsidRDefault="00000000">
      <w:r>
        <w:rPr>
          <w:b/>
          <w:bCs/>
        </w:rPr>
        <w:t>[Causa]</w:t>
      </w:r>
      <w:r>
        <w:t xml:space="preserve"> La certificación de la parametrización térmica requiere una matriz de umbrales y duraciones por producto aprobada por Calidad del cliente.</w:t>
      </w:r>
      <w:r>
        <w:br/>
      </w:r>
      <w:r>
        <w:rPr>
          <w:b/>
          <w:bCs/>
        </w:rPr>
        <w:t>[Evento de riesgo / Incertidumbre]</w:t>
      </w:r>
      <w:r>
        <w:t xml:space="preserve"> Antes de cerrar las pruebas y la marcha blanca de los productos afectados, Calidad del cliente podría no haber aprobado la matriz de umbrales y duraciones por producto.</w:t>
      </w:r>
      <w:r>
        <w:br/>
      </w:r>
      <w:r>
        <w:rPr>
          <w:b/>
          <w:bCs/>
        </w:rPr>
        <w:t>[Efecto o impacto en el proyecto]</w:t>
      </w:r>
      <w:r>
        <w:t xml:space="preserve"> LafroX no podría completar la evidencia de parametrización y aceptación de ese alcance y tendría que reprogramar sus validaciones.</w:t>
      </w:r>
    </w:p>
    <w:p w14:paraId="77E34269" w14:textId="77777777" w:rsidR="00741338" w:rsidRDefault="00741338"/>
    <w:p w14:paraId="6477C03C" w14:textId="77777777" w:rsidR="00741338" w:rsidRDefault="00000000">
      <w:r>
        <w:rPr>
          <w:b/>
          <w:bCs/>
        </w:rPr>
        <w:t>Por qué compete a LafroX:</w:t>
      </w:r>
      <w:r>
        <w:t xml:space="preserve"> La matriz es una entrada necesaria para las pruebas y la aceptación del alcance que entrega LafroX.</w:t>
      </w:r>
    </w:p>
    <w:p w14:paraId="6116B502" w14:textId="77777777" w:rsidR="00741338" w:rsidRDefault="00741338"/>
    <w:p w14:paraId="3F2AE731" w14:textId="77777777" w:rsidR="00741338" w:rsidRDefault="00000000">
      <w:r>
        <w:rPr>
          <w:b/>
          <w:bCs/>
        </w:rPr>
        <w:t>Contraste con lo ya definido:</w:t>
      </w:r>
      <w:r>
        <w:t xml:space="preserve"> RNG-04 ya fija quién decide y el bloqueo preventivo aplicable. No se reabre esa regla: V-11 mantiene expresamente pendientes los valores aprobados y condiciona a ellos el cierre.</w:t>
      </w:r>
    </w:p>
    <w:p w14:paraId="6BF417FE" w14:textId="77777777" w:rsidR="00741338" w:rsidRDefault="00741338"/>
    <w:p w14:paraId="0E495946" w14:textId="77777777" w:rsidR="00741338" w:rsidRDefault="00000000">
      <w:r>
        <w:rPr>
          <w:b/>
          <w:bCs/>
        </w:rPr>
        <w:t>Fuentes:</w:t>
      </w:r>
      <w:r>
        <w:t xml:space="preserve"> SD3, anexos, p. 140: RNG-04; SD3, anexos, p. 148: V-11.</w:t>
      </w:r>
    </w:p>
    <w:p w14:paraId="2EF2786B" w14:textId="77777777" w:rsidR="00741338" w:rsidRDefault="00000000">
      <w:pPr>
        <w:pStyle w:val="Ttulo3"/>
      </w:pPr>
      <w:bookmarkStart w:id="20" w:name="_kgshs6d7v9yr" w:colFirst="0" w:colLast="0"/>
      <w:bookmarkEnd w:id="20"/>
      <w:r>
        <w:lastRenderedPageBreak/>
        <w:t>REC-034 — Equipos que compra el cliente no llegan antes de la ola prevista</w:t>
      </w:r>
    </w:p>
    <w:p w14:paraId="27027E3C" w14:textId="77777777" w:rsidR="00741338" w:rsidRDefault="00000000">
      <w:r>
        <w:rPr>
          <w:b/>
          <w:bCs/>
        </w:rPr>
        <w:t>Rama RBS:</w:t>
      </w:r>
      <w:r>
        <w:t xml:space="preserve"> Operación del cliente.</w:t>
      </w:r>
    </w:p>
    <w:p w14:paraId="25B183B6" w14:textId="77777777" w:rsidR="00741338" w:rsidRDefault="00741338"/>
    <w:p w14:paraId="2616B4A3" w14:textId="77777777" w:rsidR="00741338" w:rsidRDefault="00000000">
      <w:r>
        <w:rPr>
          <w:b/>
          <w:bCs/>
        </w:rPr>
        <w:t>Descripción auditada:</w:t>
      </w:r>
    </w:p>
    <w:p w14:paraId="501C8AAF" w14:textId="77777777" w:rsidR="00741338" w:rsidRDefault="00741338"/>
    <w:p w14:paraId="720141A0" w14:textId="77777777" w:rsidR="00741338" w:rsidRDefault="00000000">
      <w:r>
        <w:rPr>
          <w:b/>
          <w:bCs/>
        </w:rPr>
        <w:t>[Causa]</w:t>
      </w:r>
      <w:r>
        <w:t xml:space="preserve"> El cliente compra el equipamiento de terreno conforme a la especificación de LafroX y debe disponer de él antes de cada ola.</w:t>
      </w:r>
      <w:r>
        <w:br/>
      </w:r>
      <w:r>
        <w:rPr>
          <w:b/>
          <w:bCs/>
        </w:rPr>
        <w:t>[Evento de riesgo / Incertidumbre]</w:t>
      </w:r>
      <w:r>
        <w:t xml:space="preserve"> Pese a contar con la especificación de LafroX, el cliente o su proveedor podrían no entregar el equipamiento de terreno antes de la ola programada.</w:t>
      </w:r>
      <w:r>
        <w:br/>
      </w:r>
      <w:r>
        <w:rPr>
          <w:b/>
          <w:bCs/>
        </w:rPr>
        <w:t>[Efecto o impacto en el proyecto]</w:t>
      </w:r>
      <w:r>
        <w:t xml:space="preserve"> LafroX no podría ejecutar con esos equipos la instalación y las pruebas previstas, teniendo que reprogramar despliegue y acompañamiento dentro de los hitos vigentes.</w:t>
      </w:r>
    </w:p>
    <w:p w14:paraId="353F801A" w14:textId="77777777" w:rsidR="00741338" w:rsidRDefault="00741338"/>
    <w:p w14:paraId="60222B5A" w14:textId="77777777" w:rsidR="00741338" w:rsidRDefault="00000000">
      <w:r>
        <w:rPr>
          <w:b/>
          <w:bCs/>
        </w:rPr>
        <w:t>Por qué compete a LafroX:</w:t>
      </w:r>
      <w:r>
        <w:t xml:space="preserve"> Afecta directamente instalación, pruebas y planificación de recursos de LafroX, aunque el comprador sea el cliente.</w:t>
      </w:r>
    </w:p>
    <w:p w14:paraId="19E60798" w14:textId="77777777" w:rsidR="00741338" w:rsidRDefault="00741338"/>
    <w:p w14:paraId="28BE1B47" w14:textId="77777777" w:rsidR="00741338" w:rsidRDefault="00000000">
      <w:r>
        <w:rPr>
          <w:b/>
          <w:bCs/>
        </w:rPr>
        <w:t>Contraste con lo ya definido:</w:t>
      </w:r>
      <w:r>
        <w:t xml:space="preserve"> S-20 y la exclusión de compra de hardware de terreno ya fijan al comprador. Se elimina esa ambigüedad del enunciado y se conserva solo la entrega tardía externa; no se presupone mover hitos.</w:t>
      </w:r>
    </w:p>
    <w:p w14:paraId="20292A18" w14:textId="77777777" w:rsidR="00741338" w:rsidRDefault="00741338"/>
    <w:p w14:paraId="66409024" w14:textId="77777777" w:rsidR="00741338" w:rsidRDefault="00000000">
      <w:r>
        <w:rPr>
          <w:b/>
          <w:bCs/>
        </w:rPr>
        <w:t>Fuentes:</w:t>
      </w:r>
      <w:r>
        <w:t xml:space="preserve"> SD3, anexos, p. 122: S-20; SD6, anexos, p. 6: Equipamiento de terreno; T-18, p. 5: Calendario de olas.</w:t>
      </w:r>
    </w:p>
    <w:p w14:paraId="55E6A279" w14:textId="77777777" w:rsidR="00741338" w:rsidRDefault="00000000">
      <w:pPr>
        <w:pStyle w:val="Ttulo3"/>
      </w:pPr>
      <w:bookmarkStart w:id="21" w:name="_wbd59xe5yk57" w:colFirst="0" w:colLast="0"/>
      <w:bookmarkEnd w:id="21"/>
      <w:r>
        <w:t>REC-035 — Un transportista no firma a tiempo el acuerdo necesario para incorporarlo al reparto</w:t>
      </w:r>
    </w:p>
    <w:p w14:paraId="0BF3DD4B" w14:textId="77777777" w:rsidR="00741338" w:rsidRDefault="00000000">
      <w:r>
        <w:rPr>
          <w:b/>
          <w:bCs/>
        </w:rPr>
        <w:t>Rama RBS:</w:t>
      </w:r>
      <w:r>
        <w:t xml:space="preserve"> Personas y adopción.</w:t>
      </w:r>
    </w:p>
    <w:p w14:paraId="257D37DA" w14:textId="77777777" w:rsidR="00741338" w:rsidRDefault="00741338"/>
    <w:p w14:paraId="4FD4631D" w14:textId="77777777" w:rsidR="00741338" w:rsidRDefault="00000000">
      <w:r>
        <w:rPr>
          <w:b/>
          <w:bCs/>
        </w:rPr>
        <w:t>Descripción auditada:</w:t>
      </w:r>
    </w:p>
    <w:p w14:paraId="21EB1CDD" w14:textId="77777777" w:rsidR="00741338" w:rsidRDefault="00741338"/>
    <w:p w14:paraId="53BF0F25" w14:textId="77777777" w:rsidR="00741338" w:rsidRDefault="00000000">
      <w:r>
        <w:rPr>
          <w:b/>
          <w:bCs/>
        </w:rPr>
        <w:t>[Causa]</w:t>
      </w:r>
      <w:r>
        <w:t xml:space="preserve"> Antes de incorporar a una empresa transportista al nuevo proceso de reparto, debe estar firmado su acuerdo operativo.</w:t>
      </w:r>
      <w:r>
        <w:br/>
      </w:r>
      <w:r>
        <w:rPr>
          <w:b/>
          <w:bCs/>
        </w:rPr>
        <w:t>[Evento de riesgo / Incertidumbre]</w:t>
      </w:r>
      <w:r>
        <w:t xml:space="preserve"> Una de las empresas transportistas podría no firmar el acuerdo antes de la ola de implantación en la que estaba prevista.</w:t>
      </w:r>
      <w:r>
        <w:br/>
      </w:r>
      <w:r>
        <w:rPr>
          <w:b/>
          <w:bCs/>
        </w:rPr>
        <w:t>[Efecto o impacto en el proyecto]</w:t>
      </w:r>
      <w:r>
        <w:t xml:space="preserve"> Sus conductores no podrían incorporarse ni completar las pruebas en esa ola. LafroX tendría que reorganizar la capacitación y las pruebas, y quedaría pendiente demostrar la cobertura de ese transportista.</w:t>
      </w:r>
    </w:p>
    <w:p w14:paraId="63B4D582" w14:textId="77777777" w:rsidR="00741338" w:rsidRDefault="00741338"/>
    <w:p w14:paraId="2B6FB89D" w14:textId="77777777" w:rsidR="00741338" w:rsidRDefault="00000000">
      <w:r>
        <w:rPr>
          <w:b/>
          <w:bCs/>
        </w:rPr>
        <w:t>Por qué compete a LafroX:</w:t>
      </w:r>
      <w:r>
        <w:t xml:space="preserve"> El acuerdo firmado permite que LafroX incorpore, capacite y pruebe a los conductores de esa empresa.</w:t>
      </w:r>
    </w:p>
    <w:p w14:paraId="780A3773" w14:textId="77777777" w:rsidR="00741338" w:rsidRDefault="00741338"/>
    <w:p w14:paraId="3AFE1D81" w14:textId="77777777" w:rsidR="00741338" w:rsidRDefault="00000000">
      <w:r>
        <w:rPr>
          <w:b/>
          <w:bCs/>
        </w:rPr>
        <w:lastRenderedPageBreak/>
        <w:t>Contraste con lo ya definido:</w:t>
      </w:r>
      <w:r>
        <w:t xml:space="preserve"> La obligación de firmar antes de incorporar al transportista ya está definida. El riesgo es la demora de una empresa concreta; dejarla fuera de una ola no elimina el alcance que debe acreditarse al cierre.</w:t>
      </w:r>
    </w:p>
    <w:p w14:paraId="41BEB8E7" w14:textId="77777777" w:rsidR="00741338" w:rsidRDefault="00741338"/>
    <w:p w14:paraId="4CC843FE" w14:textId="77777777" w:rsidR="00741338" w:rsidRDefault="00000000">
      <w:r>
        <w:rPr>
          <w:b/>
          <w:bCs/>
        </w:rPr>
        <w:t>Fuentes:</w:t>
      </w:r>
      <w:r>
        <w:t xml:space="preserve"> SD3, anexos, p. 153: Empresas transportistas; T-18, p. 13: Incorporación de transportistas; SD6, anexos, p. 7: Acuerdos con transportistas.</w:t>
      </w:r>
    </w:p>
    <w:p w14:paraId="39E54B74" w14:textId="77777777" w:rsidR="00741338" w:rsidRDefault="00000000">
      <w:pPr>
        <w:pStyle w:val="Ttulo3"/>
      </w:pPr>
      <w:bookmarkStart w:id="22" w:name="_2tpdbflkqcpa" w:colFirst="0" w:colLast="0"/>
      <w:bookmarkEnd w:id="22"/>
      <w:r>
        <w:t>REC-036 — Un transportista no permite instalar el equipo que registra la temperatura de su camión</w:t>
      </w:r>
    </w:p>
    <w:p w14:paraId="2C8C755D" w14:textId="77777777" w:rsidR="00741338" w:rsidRDefault="00000000">
      <w:r>
        <w:rPr>
          <w:b/>
          <w:bCs/>
        </w:rPr>
        <w:t>Rama RBS:</w:t>
      </w:r>
      <w:r>
        <w:t xml:space="preserve"> Operación del cliente.</w:t>
      </w:r>
    </w:p>
    <w:p w14:paraId="237F2A8F" w14:textId="77777777" w:rsidR="00741338" w:rsidRDefault="00741338"/>
    <w:p w14:paraId="60906526" w14:textId="77777777" w:rsidR="00741338" w:rsidRDefault="00000000">
      <w:r>
        <w:rPr>
          <w:b/>
          <w:bCs/>
        </w:rPr>
        <w:t>Descripción auditada:</w:t>
      </w:r>
    </w:p>
    <w:p w14:paraId="1E853B4C" w14:textId="77777777" w:rsidR="00741338" w:rsidRDefault="00741338"/>
    <w:p w14:paraId="784099F0" w14:textId="77777777" w:rsidR="00741338" w:rsidRDefault="00000000">
      <w:r>
        <w:rPr>
          <w:b/>
          <w:bCs/>
        </w:rPr>
        <w:t>[Causa]</w:t>
      </w:r>
      <w:r>
        <w:t xml:space="preserve"> La solución prevé instalar un termógrafo, equipo que registra la temperatura, en camiones refrigerados de terceros. Para hacerlo se necesita acceso al vehículo y autorización de su propietario.</w:t>
      </w:r>
      <w:r>
        <w:br/>
      </w:r>
      <w:r>
        <w:rPr>
          <w:b/>
          <w:bCs/>
        </w:rPr>
        <w:t>[Evento de riesgo / Incertidumbre]</w:t>
      </w:r>
      <w:r>
        <w:t xml:space="preserve"> Al preparar una ruta refrigerada, la empresa dueña del camión podría negar el acceso o la autorización para instalar ese equipo.</w:t>
      </w:r>
      <w:r>
        <w:br/>
      </w:r>
      <w:r>
        <w:rPr>
          <w:b/>
          <w:bCs/>
        </w:rPr>
        <w:t>[Efecto o impacto en el proyecto]</w:t>
      </w:r>
      <w:r>
        <w:t xml:space="preserve"> LafroX no podría instalarlo ni integrarlo antes de incorporar esa ruta. La evidencia de temperatura que debía obtenerse mediante el equipo quedaría pendiente de una solución acordada y comprobada.</w:t>
      </w:r>
    </w:p>
    <w:p w14:paraId="615E8964" w14:textId="77777777" w:rsidR="00741338" w:rsidRDefault="00741338"/>
    <w:p w14:paraId="02C9AF41" w14:textId="77777777" w:rsidR="00741338" w:rsidRDefault="00000000">
      <w:r>
        <w:rPr>
          <w:b/>
          <w:bCs/>
        </w:rPr>
        <w:t>Por qué compete a LafroX:</w:t>
      </w:r>
      <w:r>
        <w:t xml:space="preserve"> LafroX especifica e integra el equipo, aunque su compra corresponde al cliente. La negativa del transportista impide ejecutar y verificar esa parte de la implantación.</w:t>
      </w:r>
    </w:p>
    <w:p w14:paraId="0E54EFA3" w14:textId="77777777" w:rsidR="00741338" w:rsidRDefault="00741338"/>
    <w:p w14:paraId="6B79FB55" w14:textId="77777777" w:rsidR="00741338" w:rsidRDefault="00000000">
      <w:r>
        <w:rPr>
          <w:b/>
          <w:bCs/>
        </w:rPr>
        <w:t>Contraste con lo ya definido:</w:t>
      </w:r>
      <w:r>
        <w:t xml:space="preserve"> La responsabilidad de compra e integración ya está definida. Lo incierto es la autorización del dueño del camión; no se presupone que otro dato de temperatura cumpla automáticamente el requisito.</w:t>
      </w:r>
    </w:p>
    <w:p w14:paraId="41ABE8C9" w14:textId="77777777" w:rsidR="00741338" w:rsidRDefault="00741338"/>
    <w:p w14:paraId="7B0E3910" w14:textId="77777777" w:rsidR="00741338" w:rsidRDefault="00000000">
      <w:r>
        <w:rPr>
          <w:b/>
          <w:bCs/>
        </w:rPr>
        <w:t>Fuentes:</w:t>
      </w:r>
      <w:r>
        <w:t xml:space="preserve"> SD3, anexos, p. 126: S-28; SD6, anexos, p. 6: Equipos y registro de frío.</w:t>
      </w:r>
    </w:p>
    <w:p w14:paraId="6BB0170B" w14:textId="77777777" w:rsidR="00741338" w:rsidRDefault="00000000">
      <w:pPr>
        <w:pStyle w:val="Ttulo3"/>
      </w:pPr>
      <w:bookmarkStart w:id="23" w:name="_ovb4vvll7xgq" w:colFirst="0" w:colLast="0"/>
      <w:bookmarkEnd w:id="23"/>
      <w:r>
        <w:t>REC-039 — Usuarios mantienen el proceso anterior en lugar de registrar en la solución</w:t>
      </w:r>
    </w:p>
    <w:p w14:paraId="5D70E121" w14:textId="77777777" w:rsidR="00741338" w:rsidRDefault="00000000">
      <w:r>
        <w:rPr>
          <w:b/>
          <w:bCs/>
        </w:rPr>
        <w:t>Rama RBS:</w:t>
      </w:r>
      <w:r>
        <w:t xml:space="preserve"> Personas y adopción.</w:t>
      </w:r>
    </w:p>
    <w:p w14:paraId="4E798AA0" w14:textId="77777777" w:rsidR="00741338" w:rsidRDefault="00741338"/>
    <w:p w14:paraId="27C7FB96" w14:textId="77777777" w:rsidR="00741338" w:rsidRDefault="00000000">
      <w:r>
        <w:rPr>
          <w:b/>
          <w:bCs/>
        </w:rPr>
        <w:t>Descripción auditada:</w:t>
      </w:r>
    </w:p>
    <w:p w14:paraId="3E0B6CB4" w14:textId="77777777" w:rsidR="00741338" w:rsidRDefault="00741338"/>
    <w:p w14:paraId="57560C9B" w14:textId="77777777" w:rsidR="00741338" w:rsidRDefault="00000000">
      <w:r>
        <w:rPr>
          <w:b/>
          <w:bCs/>
        </w:rPr>
        <w:t>[Causa]</w:t>
      </w:r>
      <w:r>
        <w:t xml:space="preserve"> La implantación cambia hábitos de trabajo y exige que los usuarios incorporen sus transacciones al registro oficial de la solución.</w:t>
      </w:r>
      <w:r>
        <w:br/>
      </w:r>
      <w:r>
        <w:rPr>
          <w:b/>
          <w:bCs/>
        </w:rPr>
        <w:t>[Evento de riesgo / Incertidumbre]</w:t>
      </w:r>
      <w:r>
        <w:t xml:space="preserve"> Durante una ola, parte de los usuarios podría resistirse al cambio y continuar registrando exclusivamente en el procedimiento anterior, sin incorporar sus </w:t>
      </w:r>
      <w:r>
        <w:lastRenderedPageBreak/>
        <w:t>transacciones al registro oficial de la solución.</w:t>
      </w:r>
      <w:r>
        <w:br/>
      </w:r>
      <w:r>
        <w:rPr>
          <w:b/>
          <w:bCs/>
        </w:rPr>
        <w:t>[Efecto o impacto en el proyecto]</w:t>
      </w:r>
      <w:r>
        <w:t xml:space="preserve"> LafroX no podría acreditar la cobertura de adopción requerida para cerrar esa ola y tendría que extender la intervención de implantación.</w:t>
      </w:r>
    </w:p>
    <w:p w14:paraId="1B2E80A2" w14:textId="77777777" w:rsidR="00741338" w:rsidRDefault="00741338"/>
    <w:p w14:paraId="62099706" w14:textId="77777777" w:rsidR="00741338" w:rsidRDefault="00000000">
      <w:r>
        <w:rPr>
          <w:b/>
          <w:bCs/>
        </w:rPr>
        <w:t>Por qué compete a LafroX:</w:t>
      </w:r>
      <w:r>
        <w:t xml:space="preserve"> La cobertura de usuarios y transacciones es condición de aceptación del trabajo de LafroX, además de afectar la operación del cliente.</w:t>
      </w:r>
    </w:p>
    <w:p w14:paraId="24F3A8A8" w14:textId="77777777" w:rsidR="00741338" w:rsidRDefault="00741338"/>
    <w:p w14:paraId="329A08F4" w14:textId="77777777" w:rsidR="00741338" w:rsidRDefault="00000000">
      <w:r>
        <w:rPr>
          <w:b/>
          <w:bCs/>
        </w:rPr>
        <w:t>Contraste con lo ya definido:</w:t>
      </w:r>
      <w:r>
        <w:t xml:space="preserve"> La obligación de registrar la operación y certificar usuarios ya está definida. Se identifica un comportamiento de resistencia, no una duda sobre cuál es la meta ni una admisión de incapacidad de capacitación.</w:t>
      </w:r>
    </w:p>
    <w:p w14:paraId="5A563CE6" w14:textId="77777777" w:rsidR="00741338" w:rsidRDefault="00741338"/>
    <w:p w14:paraId="396B2F9A" w14:textId="77777777" w:rsidR="00741338" w:rsidRDefault="00000000">
      <w:r>
        <w:rPr>
          <w:b/>
          <w:bCs/>
        </w:rPr>
        <w:t>Fuentes:</w:t>
      </w:r>
      <w:r>
        <w:t xml:space="preserve"> T-14, p. 84: Gestión del cambio; T-18, p. 13: §7.2.8.</w:t>
      </w:r>
    </w:p>
    <w:p w14:paraId="600DFDEF" w14:textId="77777777" w:rsidR="00741338" w:rsidRDefault="00000000">
      <w:pPr>
        <w:pStyle w:val="Ttulo3"/>
      </w:pPr>
      <w:bookmarkStart w:id="24" w:name="_eyv6tyspzuqm" w:colFirst="0" w:colLast="0"/>
      <w:bookmarkEnd w:id="24"/>
      <w:r>
        <w:t>REC-041 — Planificador deja de estar disponible antes de validar sus excepciones</w:t>
      </w:r>
    </w:p>
    <w:p w14:paraId="13D3B59C" w14:textId="77777777" w:rsidR="00741338" w:rsidRDefault="00000000">
      <w:r>
        <w:rPr>
          <w:b/>
          <w:bCs/>
        </w:rPr>
        <w:t>Rama RBS:</w:t>
      </w:r>
      <w:r>
        <w:t xml:space="preserve"> Personas y adopción.</w:t>
      </w:r>
    </w:p>
    <w:p w14:paraId="3BEAD7D8" w14:textId="77777777" w:rsidR="00741338" w:rsidRDefault="00741338"/>
    <w:p w14:paraId="3B675FD2" w14:textId="77777777" w:rsidR="00741338" w:rsidRDefault="00000000">
      <w:r>
        <w:rPr>
          <w:b/>
          <w:bCs/>
        </w:rPr>
        <w:t>Descripción auditada:</w:t>
      </w:r>
    </w:p>
    <w:p w14:paraId="07D3D9C7" w14:textId="77777777" w:rsidR="00741338" w:rsidRDefault="00741338"/>
    <w:p w14:paraId="65565CA4" w14:textId="77777777" w:rsidR="00741338" w:rsidRDefault="00000000">
      <w:r>
        <w:rPr>
          <w:b/>
          <w:bCs/>
        </w:rPr>
        <w:t>[Causa]</w:t>
      </w:r>
      <w:r>
        <w:t xml:space="preserve"> Parte de las reglas y excepciones de rutas reside en el planificador del cliente y debe transferirse y validarse mientras esté disponible.</w:t>
      </w:r>
      <w:r>
        <w:br/>
      </w:r>
      <w:r>
        <w:rPr>
          <w:b/>
          <w:bCs/>
        </w:rPr>
        <w:t>[Evento de riesgo / Incertidumbre]</w:t>
      </w:r>
      <w:r>
        <w:t xml:space="preserve"> Durante la captura y validación temprana de reglas de rutas, el planificador del cliente podría retirarse o dejar de estar disponible antes de transferir las excepciones que aún no estén documentadas.</w:t>
      </w:r>
      <w:r>
        <w:br/>
      </w:r>
      <w:r>
        <w:rPr>
          <w:b/>
          <w:bCs/>
        </w:rPr>
        <w:t>[Efecto o impacto en el proyecto]</w:t>
      </w:r>
      <w:r>
        <w:t xml:space="preserve"> LafroX tendría que reconstruir y validar ese conocimiento con el ayudante y antecedentes históricos, afectando sus talleres y pruebas de rutas.</w:t>
      </w:r>
    </w:p>
    <w:p w14:paraId="3D2CE601" w14:textId="77777777" w:rsidR="00741338" w:rsidRDefault="00741338"/>
    <w:p w14:paraId="7E8099D0" w14:textId="77777777" w:rsidR="00741338" w:rsidRDefault="00000000">
      <w:r>
        <w:rPr>
          <w:b/>
          <w:bCs/>
        </w:rPr>
        <w:t>Por qué compete a LafroX:</w:t>
      </w:r>
      <w:r>
        <w:t xml:space="preserve"> Los talleres, la parametrización y la validación del módulo de rutas son actividades de LafroX.</w:t>
      </w:r>
    </w:p>
    <w:p w14:paraId="2699BE85" w14:textId="77777777" w:rsidR="00741338" w:rsidRDefault="00741338"/>
    <w:p w14:paraId="732EB4D4" w14:textId="77777777" w:rsidR="00741338" w:rsidRDefault="00000000">
      <w:r>
        <w:rPr>
          <w:b/>
          <w:bCs/>
        </w:rPr>
        <w:t>Contraste con lo ya definido:</w:t>
      </w:r>
      <w:r>
        <w:t xml:space="preserve"> S-16 ya fija transferencia temprana y una fuente alternativa. V-14 no confirma la disponibilidad efectiva del experto; una respuesta prevista no garantiza que el conocimiento esté disponible cuando se necesita.</w:t>
      </w:r>
    </w:p>
    <w:p w14:paraId="61DC11EA" w14:textId="77777777" w:rsidR="00741338" w:rsidRDefault="00741338"/>
    <w:p w14:paraId="52A8233C" w14:textId="77777777" w:rsidR="00741338" w:rsidRDefault="00000000">
      <w:r>
        <w:rPr>
          <w:b/>
          <w:bCs/>
        </w:rPr>
        <w:t>Fuentes:</w:t>
      </w:r>
      <w:r>
        <w:t xml:space="preserve"> SD3, anexos, p. 120: S-16; SD3, anexos, p. 149: V-14; SD4, p. 72: Planificador experto.</w:t>
      </w:r>
    </w:p>
    <w:p w14:paraId="175C9DD9" w14:textId="77777777" w:rsidR="00741338" w:rsidRDefault="00000000">
      <w:pPr>
        <w:pStyle w:val="Ttulo3"/>
      </w:pPr>
      <w:bookmarkStart w:id="25" w:name="_jkgzw42q6i10" w:colFirst="0" w:colLast="0"/>
      <w:bookmarkEnd w:id="25"/>
      <w:r>
        <w:t>REC-042 — Los usuarios no pueden asistir a la capacitación prevista antes de cerrar una ola</w:t>
      </w:r>
    </w:p>
    <w:p w14:paraId="57205AA2" w14:textId="77777777" w:rsidR="00741338" w:rsidRDefault="00000000">
      <w:r>
        <w:rPr>
          <w:b/>
          <w:bCs/>
        </w:rPr>
        <w:t>Rama RBS:</w:t>
      </w:r>
      <w:r>
        <w:t xml:space="preserve"> Personas y adopción.</w:t>
      </w:r>
    </w:p>
    <w:p w14:paraId="0F41D9AA" w14:textId="77777777" w:rsidR="00741338" w:rsidRDefault="00741338"/>
    <w:p w14:paraId="6C47F5F1" w14:textId="77777777" w:rsidR="00741338" w:rsidRDefault="00000000">
      <w:r>
        <w:rPr>
          <w:b/>
          <w:bCs/>
        </w:rPr>
        <w:t>Descripción auditada:</w:t>
      </w:r>
    </w:p>
    <w:p w14:paraId="1FB31EAE" w14:textId="77777777" w:rsidR="00741338" w:rsidRDefault="00741338"/>
    <w:p w14:paraId="35ACC411" w14:textId="77777777" w:rsidR="00741338" w:rsidRDefault="00000000">
      <w:r>
        <w:rPr>
          <w:b/>
          <w:bCs/>
        </w:rPr>
        <w:t>[Causa]</w:t>
      </w:r>
      <w:r>
        <w:t xml:space="preserve"> La capacitación y la certificación de usuarios deben realizarse sin detener la preparación de pedidos, la venta ni el reparto. Para ello, el cliente debe disponer de esas personas en los horarios acordados.</w:t>
      </w:r>
      <w:r>
        <w:br/>
      </w:r>
      <w:r>
        <w:rPr>
          <w:b/>
          <w:bCs/>
        </w:rPr>
        <w:t>[Evento de riesgo / Incertidumbre]</w:t>
      </w:r>
      <w:r>
        <w:t xml:space="preserve"> Las necesidades de la operación podrían impedir que algunos usuarios asistan a las sesiones de formación y evaluación antes del cierre de su ola de implantación.</w:t>
      </w:r>
      <w:r>
        <w:br/>
      </w:r>
      <w:r>
        <w:rPr>
          <w:b/>
          <w:bCs/>
        </w:rPr>
        <w:t>[Efecto o impacto en el proyecto]</w:t>
      </w:r>
      <w:r>
        <w:t xml:space="preserve"> LafroX tendría que reprogramar las sesiones y el acompañamiento. No podría acreditar que esos usuarios están preparados para usar la solución hasta que completen la evaluación.</w:t>
      </w:r>
    </w:p>
    <w:p w14:paraId="3FEA8543" w14:textId="77777777" w:rsidR="00741338" w:rsidRDefault="00741338"/>
    <w:p w14:paraId="230720F3" w14:textId="77777777" w:rsidR="00741338" w:rsidRDefault="00000000">
      <w:r>
        <w:rPr>
          <w:b/>
          <w:bCs/>
        </w:rPr>
        <w:t>Por qué compete a LafroX:</w:t>
      </w:r>
      <w:r>
        <w:t xml:space="preserve"> LafroX debe impartir la formación y presentar la evidencia de certificación de los usuarios de cada ola.</w:t>
      </w:r>
    </w:p>
    <w:p w14:paraId="6387DA4D" w14:textId="77777777" w:rsidR="00741338" w:rsidRDefault="00741338"/>
    <w:p w14:paraId="6DCE9582" w14:textId="77777777" w:rsidR="00741338" w:rsidRDefault="00000000">
      <w:r>
        <w:rPr>
          <w:b/>
          <w:bCs/>
        </w:rPr>
        <w:t>Contraste con lo ya definido:</w:t>
      </w:r>
      <w:r>
        <w:t xml:space="preserve"> Las modalidades de capacitación sin detener la operación ya están definidas. El riesgo es que los usuarios no estén disponibles en las sesiones acordadas, no que falte decidir cómo capacitarlos.</w:t>
      </w:r>
    </w:p>
    <w:p w14:paraId="294A9EC1" w14:textId="77777777" w:rsidR="00741338" w:rsidRDefault="00741338"/>
    <w:p w14:paraId="2EB915C6" w14:textId="77777777" w:rsidR="00741338" w:rsidRDefault="00000000">
      <w:r>
        <w:rPr>
          <w:b/>
          <w:bCs/>
        </w:rPr>
        <w:t>Fuentes:</w:t>
      </w:r>
      <w:r>
        <w:t xml:space="preserve"> T-18, p. 11: §7.2.7; T-18, p. 13: Certificación de usuarios; T-14, p. 81: Capacitación.</w:t>
      </w:r>
    </w:p>
    <w:p w14:paraId="0D852799" w14:textId="77777777" w:rsidR="00741338" w:rsidRDefault="00000000">
      <w:pPr>
        <w:pStyle w:val="Ttulo3"/>
      </w:pPr>
      <w:bookmarkStart w:id="26" w:name="_r20iqy5ndjjp" w:colFirst="0" w:colLast="0"/>
      <w:bookmarkEnd w:id="26"/>
      <w:r>
        <w:t>REC-043 — Contraparte no entrega una validación necesaria en la fecha prevista</w:t>
      </w:r>
    </w:p>
    <w:p w14:paraId="484CC3D1" w14:textId="77777777" w:rsidR="00741338" w:rsidRDefault="00000000">
      <w:r>
        <w:rPr>
          <w:b/>
          <w:bCs/>
        </w:rPr>
        <w:t>Rama RBS:</w:t>
      </w:r>
      <w:r>
        <w:t xml:space="preserve"> Operación del cliente.</w:t>
      </w:r>
    </w:p>
    <w:p w14:paraId="4400FB59" w14:textId="77777777" w:rsidR="00741338" w:rsidRDefault="00741338"/>
    <w:p w14:paraId="74B757AD" w14:textId="77777777" w:rsidR="00741338" w:rsidRDefault="00000000">
      <w:r>
        <w:rPr>
          <w:b/>
          <w:bCs/>
        </w:rPr>
        <w:t>Descripción auditada:</w:t>
      </w:r>
    </w:p>
    <w:p w14:paraId="38AB7997" w14:textId="77777777" w:rsidR="00741338" w:rsidRDefault="00741338"/>
    <w:p w14:paraId="25646582" w14:textId="77777777" w:rsidR="00741338" w:rsidRDefault="00000000">
      <w:r>
        <w:rPr>
          <w:b/>
          <w:bCs/>
        </w:rPr>
        <w:t>[Causa]</w:t>
      </w:r>
      <w:r>
        <w:t xml:space="preserve"> Los diseños, pruebas y aceptaciones incluyen actividades dependientes de validaciones o decisiones de las áreas del cliente.</w:t>
      </w:r>
      <w:r>
        <w:br/>
      </w:r>
      <w:r>
        <w:rPr>
          <w:b/>
          <w:bCs/>
        </w:rPr>
        <w:t>[Evento de riesgo / Incertidumbre]</w:t>
      </w:r>
      <w:r>
        <w:t xml:space="preserve"> Antes de completar un diseño, una prueba o una aceptación programada, el área del cliente requerida podría no entregar la validación o decisión necesaria en la fecha acordada para esa actividad.</w:t>
      </w:r>
      <w:r>
        <w:br/>
      </w:r>
      <w:r>
        <w:rPr>
          <w:b/>
          <w:bCs/>
        </w:rPr>
        <w:t>[Efecto o impacto en el proyecto]</w:t>
      </w:r>
      <w:r>
        <w:t xml:space="preserve"> LafroX tendría que detener o repetir las tareas dependientes, consumir holgura y reprogramar recursos.</w:t>
      </w:r>
    </w:p>
    <w:p w14:paraId="1796E2ED" w14:textId="77777777" w:rsidR="00741338" w:rsidRDefault="00741338"/>
    <w:p w14:paraId="128C6881" w14:textId="77777777" w:rsidR="00741338" w:rsidRDefault="00000000">
      <w:r>
        <w:rPr>
          <w:b/>
          <w:bCs/>
        </w:rPr>
        <w:t>Por qué compete a LafroX:</w:t>
      </w:r>
      <w:r>
        <w:t xml:space="preserve"> Afecta tareas dependientes y compromisos de entrega de LafroX, no solo la agenda del cliente.</w:t>
      </w:r>
    </w:p>
    <w:p w14:paraId="2F91DE80" w14:textId="77777777" w:rsidR="00741338" w:rsidRDefault="00741338"/>
    <w:p w14:paraId="0A11B2D7" w14:textId="77777777" w:rsidR="00741338" w:rsidRDefault="00000000">
      <w:r>
        <w:rPr>
          <w:b/>
          <w:bCs/>
        </w:rPr>
        <w:t>Contraste con lo ya definido:</w:t>
      </w:r>
      <w:r>
        <w:t xml:space="preserve"> Se respetan los plazos de revisión reconocidos al cliente. El evento no es el uso normal de esos plazos ni una aprobación tácita, sino la ausencia de una validación necesaria al agotarse la fecha prevista o acordada.</w:t>
      </w:r>
    </w:p>
    <w:p w14:paraId="64068984" w14:textId="77777777" w:rsidR="00741338" w:rsidRDefault="00741338"/>
    <w:p w14:paraId="69D67B9F" w14:textId="77777777" w:rsidR="00741338" w:rsidRDefault="00000000">
      <w:r>
        <w:rPr>
          <w:b/>
          <w:bCs/>
        </w:rPr>
        <w:t>Fuentes:</w:t>
      </w:r>
      <w:r>
        <w:t xml:space="preserve"> T-15, p. 44: §7.5.5: revisión y validación de entregables.</w:t>
      </w:r>
    </w:p>
    <w:p w14:paraId="64516777" w14:textId="77777777" w:rsidR="00741338" w:rsidRDefault="00000000">
      <w:pPr>
        <w:pStyle w:val="Ttulo3"/>
      </w:pPr>
      <w:bookmarkStart w:id="27" w:name="_7zlga7imzhnk" w:colFirst="0" w:colLast="0"/>
      <w:bookmarkEnd w:id="27"/>
      <w:r>
        <w:lastRenderedPageBreak/>
        <w:t>REC-048 — Proveedor de conectividad interrumpe el enlace de un sitio operado</w:t>
      </w:r>
    </w:p>
    <w:p w14:paraId="21FB1EDE" w14:textId="77777777" w:rsidR="00741338" w:rsidRDefault="00000000">
      <w:r>
        <w:rPr>
          <w:b/>
          <w:bCs/>
        </w:rPr>
        <w:t>Rama RBS:</w:t>
      </w:r>
      <w:r>
        <w:t xml:space="preserve"> Operación del cliente.</w:t>
      </w:r>
    </w:p>
    <w:p w14:paraId="39DBEDEF" w14:textId="77777777" w:rsidR="00741338" w:rsidRDefault="00741338"/>
    <w:p w14:paraId="4543C802" w14:textId="77777777" w:rsidR="00741338" w:rsidRDefault="00000000">
      <w:r>
        <w:rPr>
          <w:b/>
          <w:bCs/>
        </w:rPr>
        <w:t>Descripción auditada:</w:t>
      </w:r>
    </w:p>
    <w:p w14:paraId="545CDAEE" w14:textId="77777777" w:rsidR="00741338" w:rsidRDefault="00741338"/>
    <w:p w14:paraId="0947AD03" w14:textId="77777777" w:rsidR="00741338" w:rsidRDefault="00000000">
      <w:r>
        <w:rPr>
          <w:b/>
          <w:bCs/>
        </w:rPr>
        <w:t>[Causa]</w:t>
      </w:r>
      <w:r>
        <w:t xml:space="preserve"> Los sitios utilizan servicios externos de fibra, LTE o satélite cuya conectividad con servicios centrales forma parte del servicio integrado.</w:t>
      </w:r>
      <w:r>
        <w:br/>
      </w:r>
      <w:r>
        <w:rPr>
          <w:b/>
          <w:bCs/>
        </w:rPr>
        <w:t>[Evento de riesgo / Incertidumbre]</w:t>
      </w:r>
      <w:r>
        <w:t xml:space="preserve"> Durante pruebas u operación de un sitio, el proveedor de fibra, LTE o satélite podría interrumpir el enlace utilizado.</w:t>
      </w:r>
      <w:r>
        <w:br/>
      </w:r>
      <w:r>
        <w:rPr>
          <w:b/>
          <w:bCs/>
        </w:rPr>
        <w:t>[Efecto o impacto en el proyecto]</w:t>
      </w:r>
      <w:r>
        <w:t xml:space="preserve"> La conexión con servicios centrales quedaría limitada y LafroX tendría que gestionar la restitución con el operador y verificar la posterior sincronización, manteniendo la continuidad local comprometida.</w:t>
      </w:r>
    </w:p>
    <w:p w14:paraId="1DC509AF" w14:textId="77777777" w:rsidR="00741338" w:rsidRDefault="00741338"/>
    <w:p w14:paraId="2B113DE4" w14:textId="77777777" w:rsidR="00741338" w:rsidRDefault="00000000">
      <w:r>
        <w:rPr>
          <w:b/>
          <w:bCs/>
        </w:rPr>
        <w:t>Por qué compete a LafroX:</w:t>
      </w:r>
      <w:r>
        <w:t xml:space="preserve"> LafroX contrata conectividad y atiende incidencias y continuidad del servicio; existe afectación directa a su operación SRE.</w:t>
      </w:r>
    </w:p>
    <w:p w14:paraId="4F8019F6" w14:textId="77777777" w:rsidR="00741338" w:rsidRDefault="00741338"/>
    <w:p w14:paraId="0070CCCF" w14:textId="77777777" w:rsidR="00741338" w:rsidRDefault="00000000">
      <w:r>
        <w:rPr>
          <w:b/>
          <w:bCs/>
        </w:rPr>
        <w:t>Contraste con lo ya definido:</w:t>
      </w:r>
      <w:r>
        <w:t xml:space="preserve"> La autonomía local y los caminos alternativos son requisitos definidos. Se conserva la interrupción del servicio externo; no se pone en duda la capacidad de operar sin enlace durante el período comprometido.</w:t>
      </w:r>
    </w:p>
    <w:p w14:paraId="026DDDE5" w14:textId="77777777" w:rsidR="00741338" w:rsidRDefault="00741338"/>
    <w:p w14:paraId="4BE6529D" w14:textId="77777777" w:rsidR="00741338" w:rsidRDefault="00000000">
      <w:r>
        <w:rPr>
          <w:b/>
          <w:bCs/>
        </w:rPr>
        <w:t>Fuentes:</w:t>
      </w:r>
      <w:r>
        <w:t xml:space="preserve"> SD6, anexos, p. 7: Servicios de conectividad; SD4, p. 142: Fallas en enlaces; T-14, p. 87: Servicio e incidentes.</w:t>
      </w:r>
    </w:p>
    <w:p w14:paraId="5DFC2DC1" w14:textId="77777777" w:rsidR="00741338" w:rsidRDefault="00000000">
      <w:pPr>
        <w:pStyle w:val="Ttulo3"/>
      </w:pPr>
      <w:bookmarkStart w:id="28" w:name="_mjz65ad2fooz" w:colFirst="0" w:colLast="0"/>
      <w:bookmarkEnd w:id="28"/>
      <w:r>
        <w:t>REC-049 — Un corte de electricidad supera el tiempo de respaldo de equipos mantenidos por LafroX</w:t>
      </w:r>
    </w:p>
    <w:p w14:paraId="2E74391B" w14:textId="77777777" w:rsidR="00741338" w:rsidRDefault="00000000">
      <w:r>
        <w:rPr>
          <w:b/>
          <w:bCs/>
        </w:rPr>
        <w:t>Rama RBS:</w:t>
      </w:r>
      <w:r>
        <w:t xml:space="preserve"> Operación del cliente.</w:t>
      </w:r>
    </w:p>
    <w:p w14:paraId="3BBF7B2E" w14:textId="77777777" w:rsidR="00741338" w:rsidRDefault="00741338"/>
    <w:p w14:paraId="3BE55A4B" w14:textId="77777777" w:rsidR="00741338" w:rsidRDefault="00000000">
      <w:r>
        <w:rPr>
          <w:b/>
          <w:bCs/>
        </w:rPr>
        <w:t>Descripción auditada:</w:t>
      </w:r>
    </w:p>
    <w:p w14:paraId="68C5CD21" w14:textId="77777777" w:rsidR="00741338" w:rsidRDefault="00741338"/>
    <w:p w14:paraId="075B5BAF" w14:textId="77777777" w:rsidR="00741338" w:rsidRDefault="00000000">
      <w:r>
        <w:rPr>
          <w:b/>
          <w:bCs/>
        </w:rPr>
        <w:t>[Causa]</w:t>
      </w:r>
      <w:r>
        <w:t xml:space="preserve"> Algunos equipos de la infraestructura dependen del suministro eléctrico y cuentan con baterías o generación de respaldo cuya autonomía es limitada.</w:t>
      </w:r>
      <w:r>
        <w:br/>
      </w:r>
      <w:r>
        <w:rPr>
          <w:b/>
          <w:bCs/>
        </w:rPr>
        <w:t>[Evento de riesgo / Incertidumbre]</w:t>
      </w:r>
      <w:r>
        <w:t xml:space="preserve"> En un sitio atendido por LafroX, un corte de electricidad podría durar más que la autonomía del respaldo aplicable a los equipos afectados.</w:t>
      </w:r>
      <w:r>
        <w:br/>
      </w:r>
      <w:r>
        <w:rPr>
          <w:b/>
          <w:bCs/>
        </w:rPr>
        <w:t>[Efecto o impacto en el proyecto]</w:t>
      </w:r>
      <w:r>
        <w:t xml:space="preserve"> Esos equipos podrían dejar de prestar servicio hasta que se restablezca la energía o se recupere la infraestructura. LafroX tendría que atender la incidencia y comprobar la restitución de los componentes bajo su mantenimiento.</w:t>
      </w:r>
    </w:p>
    <w:p w14:paraId="56D9033E" w14:textId="77777777" w:rsidR="00741338" w:rsidRDefault="00741338"/>
    <w:p w14:paraId="5E5E43FA" w14:textId="77777777" w:rsidR="00741338" w:rsidRDefault="00000000">
      <w:r>
        <w:rPr>
          <w:b/>
          <w:bCs/>
        </w:rPr>
        <w:t>Por qué compete a LafroX:</w:t>
      </w:r>
      <w:r>
        <w:t xml:space="preserve"> El riesgo se limita a la sala técnica, los racks, los equipos de borde u otros componentes que LafroX mantiene; no atribuye a LafroX todas las pérdidas del negocio del cliente por un corte.</w:t>
      </w:r>
    </w:p>
    <w:p w14:paraId="6162C195" w14:textId="77777777" w:rsidR="00741338" w:rsidRDefault="00741338"/>
    <w:p w14:paraId="24A96352" w14:textId="77777777" w:rsidR="00741338" w:rsidRDefault="00000000">
      <w:r>
        <w:rPr>
          <w:b/>
          <w:bCs/>
        </w:rPr>
        <w:lastRenderedPageBreak/>
        <w:t>Contraste con lo ya definido:</w:t>
      </w:r>
      <w:r>
        <w:t xml:space="preserve"> Los respaldos y sus autonomías ya están definidos. Lo incierto es que un corte externo dure más que el tiempo que esos respaldos pueden cubrir.</w:t>
      </w:r>
    </w:p>
    <w:p w14:paraId="115413BD" w14:textId="77777777" w:rsidR="00741338" w:rsidRDefault="00741338"/>
    <w:p w14:paraId="6185F00E" w14:textId="77777777" w:rsidR="00741338" w:rsidRDefault="00000000">
      <w:r>
        <w:rPr>
          <w:b/>
          <w:bCs/>
        </w:rPr>
        <w:t>Fuentes:</w:t>
      </w:r>
      <w:r>
        <w:t xml:space="preserve"> SD4, p. 143: Corte de energía y autonomías; T-14, p. 90: 8.2.3.</w:t>
      </w:r>
    </w:p>
    <w:p w14:paraId="6A574457" w14:textId="7E38E4D5" w:rsidR="00741338" w:rsidRDefault="00000000">
      <w:pPr>
        <w:pStyle w:val="Ttulo3"/>
      </w:pPr>
      <w:bookmarkStart w:id="29" w:name="_9v3fma8am39p" w:colFirst="0" w:colLast="0"/>
      <w:bookmarkEnd w:id="29"/>
      <w:r>
        <w:t>REC-050 — Región primaria de nube queda indisponible durante el servicio</w:t>
      </w:r>
      <w:r w:rsidR="002C41BF">
        <w:t xml:space="preserve"> (eliminar)</w:t>
      </w:r>
    </w:p>
    <w:p w14:paraId="30E5B617" w14:textId="77777777" w:rsidR="00741338" w:rsidRDefault="00000000">
      <w:r>
        <w:rPr>
          <w:b/>
          <w:bCs/>
        </w:rPr>
        <w:t>Rama RBS:</w:t>
      </w:r>
      <w:r>
        <w:t xml:space="preserve"> Solución y tecnología.</w:t>
      </w:r>
    </w:p>
    <w:p w14:paraId="77876D30" w14:textId="77777777" w:rsidR="00741338" w:rsidRDefault="00741338"/>
    <w:p w14:paraId="2174CCAA" w14:textId="77777777" w:rsidR="00741338" w:rsidRDefault="00000000">
      <w:r>
        <w:rPr>
          <w:b/>
          <w:bCs/>
        </w:rPr>
        <w:t>Descripción auditada:</w:t>
      </w:r>
    </w:p>
    <w:p w14:paraId="18DC63E9" w14:textId="77777777" w:rsidR="00741338" w:rsidRDefault="00741338"/>
    <w:p w14:paraId="59F1A66D" w14:textId="77777777" w:rsidR="00741338" w:rsidRDefault="00000000">
      <w:r>
        <w:rPr>
          <w:b/>
          <w:bCs/>
        </w:rPr>
        <w:t>[Causa]</w:t>
      </w:r>
      <w:r>
        <w:t xml:space="preserve"> Los portales y la analítica centrales se alojan en una región de nube externa y su continuidad ante pérdida regional requiere conmutación.</w:t>
      </w:r>
      <w:r>
        <w:br/>
      </w:r>
      <w:r>
        <w:rPr>
          <w:b/>
          <w:bCs/>
        </w:rPr>
        <w:t>[Evento de riesgo / Incertidumbre]</w:t>
      </w:r>
      <w:r>
        <w:t xml:space="preserve"> Durante la prestación del servicio, una interrupción de la región primaria de nube podría dejar temporalmente sin acceso a los portales y la analítica alojados allí.</w:t>
      </w:r>
      <w:r>
        <w:br/>
      </w:r>
      <w:r>
        <w:rPr>
          <w:b/>
          <w:bCs/>
        </w:rPr>
        <w:t>[Efecto o impacto en el proyecto]</w:t>
      </w:r>
      <w:r>
        <w:t xml:space="preserve"> LafroX tendría que ejecutar y validar la conmutación a la región de recuperación y restituir los canales correspondientes dentro de los objetivos comprometidos.</w:t>
      </w:r>
    </w:p>
    <w:p w14:paraId="268A9A10" w14:textId="77777777" w:rsidR="00741338" w:rsidRDefault="00741338"/>
    <w:p w14:paraId="2E4511F5" w14:textId="77777777" w:rsidR="00741338" w:rsidRDefault="00000000">
      <w:r>
        <w:rPr>
          <w:b/>
          <w:bCs/>
        </w:rPr>
        <w:t>Por qué compete a LafroX:</w:t>
      </w:r>
      <w:r>
        <w:t xml:space="preserve"> LafroX opera la plataforma central y el servicio de recuperación; la incidencia requiere su intervención técnica.</w:t>
      </w:r>
    </w:p>
    <w:p w14:paraId="2ACEBC0C" w14:textId="77777777" w:rsidR="00741338" w:rsidRDefault="00741338"/>
    <w:p w14:paraId="5810DC3E" w14:textId="77777777" w:rsidR="00741338" w:rsidRDefault="00000000">
      <w:r>
        <w:rPr>
          <w:b/>
          <w:bCs/>
        </w:rPr>
        <w:t>Contraste con lo ya definido:</w:t>
      </w:r>
      <w:r>
        <w:t xml:space="preserve"> La arquitectura de recuperación está elegida. Se conserva la falla externa de la región, no una duda sobre la capacidad de recuperar ni una autorización para exceder los objetivos de continuidad.</w:t>
      </w:r>
    </w:p>
    <w:p w14:paraId="19DE2618" w14:textId="77777777" w:rsidR="00741338" w:rsidRDefault="00741338"/>
    <w:p w14:paraId="7A682BF3" w14:textId="77777777" w:rsidR="00741338" w:rsidRDefault="00000000">
      <w:r>
        <w:rPr>
          <w:b/>
          <w:bCs/>
        </w:rPr>
        <w:t>Fuentes:</w:t>
      </w:r>
      <w:r>
        <w:t xml:space="preserve"> SD4, p. 135: Contingencia regional; SD4, p. 144: Falla de región completa; T-14, p. 87: 8.1.3.</w:t>
      </w:r>
    </w:p>
    <w:p w14:paraId="096B0330" w14:textId="768B8D6A" w:rsidR="00741338" w:rsidRDefault="00000000">
      <w:pPr>
        <w:pStyle w:val="Ttulo3"/>
      </w:pPr>
      <w:bookmarkStart w:id="30" w:name="_aw1icd9x2gn" w:colFirst="0" w:colLast="0"/>
      <w:bookmarkEnd w:id="30"/>
      <w:r>
        <w:t>REC-057 — Falta la aprobación del cliente para tratar y respaldar datos en las regiones propuestas</w:t>
      </w:r>
      <w:r w:rsidR="003D7D83">
        <w:t xml:space="preserve"> (revisar)</w:t>
      </w:r>
    </w:p>
    <w:p w14:paraId="6966104B" w14:textId="77777777" w:rsidR="00741338" w:rsidRDefault="00000000">
      <w:r>
        <w:rPr>
          <w:b/>
          <w:bCs/>
        </w:rPr>
        <w:t>Rama RBS:</w:t>
      </w:r>
      <w:r>
        <w:t xml:space="preserve"> Regulatorio y externo.</w:t>
      </w:r>
    </w:p>
    <w:p w14:paraId="0B8BEE82" w14:textId="77777777" w:rsidR="00741338" w:rsidRDefault="00741338"/>
    <w:p w14:paraId="12499BDD" w14:textId="77777777" w:rsidR="00741338" w:rsidRDefault="00000000">
      <w:r>
        <w:rPr>
          <w:b/>
          <w:bCs/>
        </w:rPr>
        <w:t>Descripción auditada:</w:t>
      </w:r>
    </w:p>
    <w:p w14:paraId="2CED2E53" w14:textId="77777777" w:rsidR="00741338" w:rsidRDefault="00741338"/>
    <w:p w14:paraId="2216F31B" w14:textId="77777777" w:rsidR="00741338" w:rsidRDefault="00000000">
      <w:r>
        <w:rPr>
          <w:b/>
          <w:bCs/>
        </w:rPr>
        <w:t>[Causa]</w:t>
      </w:r>
      <w:r>
        <w:t xml:space="preserve"> La solución propone operar y recuperarse usando regiones de nube en Brasil y Estados Unidos. El tratamiento y la transferencia internacional de los datos previstos requieren aprobación del cliente.</w:t>
      </w:r>
      <w:r>
        <w:br/>
      </w:r>
      <w:r>
        <w:rPr>
          <w:b/>
          <w:bCs/>
        </w:rPr>
        <w:t>[Evento de riesgo / Incertidumbre]</w:t>
      </w:r>
      <w:r>
        <w:t xml:space="preserve"> Cuando corresponda habilitar esos entornos, el cliente podría no haber otorgado la aprobación necesaria sobre la residencia y transferencia de los datos.</w:t>
      </w:r>
      <w:r>
        <w:br/>
      </w:r>
      <w:r>
        <w:rPr>
          <w:b/>
          <w:bCs/>
        </w:rPr>
        <w:lastRenderedPageBreak/>
        <w:t>[Efecto o impacto en el proyecto]</w:t>
      </w:r>
      <w:r>
        <w:t xml:space="preserve"> LafroX no podría completar la habilitación o la evidencia de recuperación afectada hasta resolver formalmente esa condición con el cliente.</w:t>
      </w:r>
    </w:p>
    <w:p w14:paraId="65791B30" w14:textId="77777777" w:rsidR="00741338" w:rsidRDefault="00741338"/>
    <w:p w14:paraId="7214EC1B" w14:textId="77777777" w:rsidR="00741338" w:rsidRDefault="00000000">
      <w:r>
        <w:rPr>
          <w:b/>
          <w:bCs/>
        </w:rPr>
        <w:t>Por qué compete a LafroX:</w:t>
      </w:r>
      <w:r>
        <w:t xml:space="preserve"> La aprobación es una condición para desplegar y demostrar los entornos que LafroX debe entregar.</w:t>
      </w:r>
    </w:p>
    <w:p w14:paraId="27B2C8B0" w14:textId="77777777" w:rsidR="00741338" w:rsidRDefault="00741338"/>
    <w:p w14:paraId="10C9CB9A" w14:textId="77777777" w:rsidR="00741338" w:rsidRDefault="00000000">
      <w:r>
        <w:rPr>
          <w:b/>
          <w:bCs/>
        </w:rPr>
        <w:t>Contraste con lo ya definido:</w:t>
      </w:r>
      <w:r>
        <w:t xml:space="preserve"> Las regiones ya están elegidas en el diseño. El riesgo es no contar a tiempo con la aprobación requerida; la elección técnica no reemplaza esa autorización.</w:t>
      </w:r>
    </w:p>
    <w:p w14:paraId="2894873F" w14:textId="77777777" w:rsidR="00741338" w:rsidRDefault="00741338"/>
    <w:p w14:paraId="65154D7B" w14:textId="77777777" w:rsidR="00741338" w:rsidRDefault="00000000">
      <w:r>
        <w:rPr>
          <w:b/>
          <w:bCs/>
        </w:rPr>
        <w:t>Fuentes:</w:t>
      </w:r>
      <w:r>
        <w:t xml:space="preserve"> SD4, anexos, p. 54: ADR-19; SD4, p. 104: Residencia y regiones.</w:t>
      </w:r>
    </w:p>
    <w:p w14:paraId="7D4A6077" w14:textId="77777777" w:rsidR="00741338" w:rsidRDefault="00000000">
      <w:pPr>
        <w:pStyle w:val="Ttulo3"/>
      </w:pPr>
      <w:bookmarkStart w:id="31" w:name="_p9iujxlwyrm3" w:colFirst="0" w:colLast="0"/>
      <w:bookmarkEnd w:id="31"/>
      <w:r>
        <w:t>REC-058 — Cliente no autoriza la intervención urgente necesaria durante un congelamiento</w:t>
      </w:r>
    </w:p>
    <w:p w14:paraId="2963ADF1" w14:textId="77777777" w:rsidR="00741338" w:rsidRDefault="00000000">
      <w:r>
        <w:rPr>
          <w:b/>
          <w:bCs/>
        </w:rPr>
        <w:t>Rama RBS:</w:t>
      </w:r>
      <w:r>
        <w:t xml:space="preserve"> Operación del cliente.</w:t>
      </w:r>
    </w:p>
    <w:p w14:paraId="7014C200" w14:textId="77777777" w:rsidR="00741338" w:rsidRDefault="00741338"/>
    <w:p w14:paraId="676376D4" w14:textId="77777777" w:rsidR="00741338" w:rsidRDefault="00000000">
      <w:r>
        <w:rPr>
          <w:b/>
          <w:bCs/>
        </w:rPr>
        <w:t>Descripción auditada:</w:t>
      </w:r>
    </w:p>
    <w:p w14:paraId="6DD29488" w14:textId="77777777" w:rsidR="00741338" w:rsidRDefault="00741338"/>
    <w:p w14:paraId="4299065D" w14:textId="77777777" w:rsidR="00741338" w:rsidRDefault="00000000">
      <w:r>
        <w:rPr>
          <w:b/>
          <w:bCs/>
        </w:rPr>
        <w:t>[Causa]</w:t>
      </w:r>
      <w:r>
        <w:t xml:space="preserve"> La remediación de un incidente o vulnerabilidad puede requerir una intervención durante un período congelado, sujeta a autorización del cliente.</w:t>
      </w:r>
      <w:r>
        <w:br/>
      </w:r>
      <w:r>
        <w:rPr>
          <w:b/>
          <w:bCs/>
        </w:rPr>
        <w:t>[Evento de riesgo / Incertidumbre]</w:t>
      </w:r>
      <w:r>
        <w:t xml:space="preserve"> Al detectarse una vulnerabilidad o incidente que requiere intervenir durante una fecha prohibida, el cliente podría no autorizar el cambio de emergencia solicitado.</w:t>
      </w:r>
      <w:r>
        <w:br/>
      </w:r>
      <w:r>
        <w:rPr>
          <w:b/>
          <w:bCs/>
        </w:rPr>
        <w:t>[Efecto o impacto en el proyecto]</w:t>
      </w:r>
      <w:r>
        <w:t xml:space="preserve"> LafroX tendría que sostener la contención y gestionar el conflicto entre fecha habilitada y plazo de remediación, sin que esa decisión del cliente acredite por sí sola una exención contractual.</w:t>
      </w:r>
    </w:p>
    <w:p w14:paraId="0395F96D" w14:textId="77777777" w:rsidR="00741338" w:rsidRDefault="00741338"/>
    <w:p w14:paraId="2B8E83B2" w14:textId="77777777" w:rsidR="00741338" w:rsidRDefault="00000000">
      <w:r>
        <w:rPr>
          <w:b/>
          <w:bCs/>
        </w:rPr>
        <w:t>Por qué compete a LafroX:</w:t>
      </w:r>
      <w:r>
        <w:t xml:space="preserve"> Afecta directamente la gestión del incidente y la remediación a cargo de LafroX.</w:t>
      </w:r>
    </w:p>
    <w:p w14:paraId="155F06E1" w14:textId="77777777" w:rsidR="00741338" w:rsidRDefault="00741338"/>
    <w:p w14:paraId="79979697" w14:textId="77777777" w:rsidR="00741338" w:rsidRDefault="00000000">
      <w:r>
        <w:rPr>
          <w:b/>
          <w:bCs/>
        </w:rPr>
        <w:t>Contraste con lo ya definido:</w:t>
      </w:r>
      <w:r>
        <w:t xml:space="preserve"> El calendario y la exigencia de autorización están definidos. Se conserva la denegación efectiva ante una intervención necesaria; no se declara que contención equivalga a remediación ni que el plazo se amplíe automáticamente.</w:t>
      </w:r>
    </w:p>
    <w:p w14:paraId="4779092E" w14:textId="77777777" w:rsidR="00741338" w:rsidRDefault="00741338"/>
    <w:p w14:paraId="0961F9F6" w14:textId="77777777" w:rsidR="00741338" w:rsidRDefault="00000000">
      <w:r>
        <w:rPr>
          <w:b/>
          <w:bCs/>
        </w:rPr>
        <w:t>Fuentes:</w:t>
      </w:r>
      <w:r>
        <w:t xml:space="preserve"> SD4, p. 123: Calendario; SD4, p. 124: Cambio de emergencia; T-14, p. 90: 8.2.2.</w:t>
      </w:r>
    </w:p>
    <w:p w14:paraId="0EBF1A74" w14:textId="0E218E9F" w:rsidR="00741338" w:rsidRDefault="00000000">
      <w:pPr>
        <w:pStyle w:val="Ttulo3"/>
      </w:pPr>
      <w:bookmarkStart w:id="32" w:name="_3xz9gfg4zyc6" w:colFirst="0" w:colLast="0"/>
      <w:bookmarkEnd w:id="32"/>
      <w:r>
        <w:t>REC-061 — Una persona intenta usar la identidad de otra para hacer pedidos o entrar a un portal</w:t>
      </w:r>
      <w:r w:rsidR="003D7D83">
        <w:t xml:space="preserve"> (robo de credenciales)</w:t>
      </w:r>
    </w:p>
    <w:p w14:paraId="54667D93" w14:textId="77777777" w:rsidR="00741338" w:rsidRDefault="00000000">
      <w:r>
        <w:rPr>
          <w:b/>
          <w:bCs/>
        </w:rPr>
        <w:t>Rama RBS:</w:t>
      </w:r>
      <w:r>
        <w:t xml:space="preserve"> Solución y tecnología.</w:t>
      </w:r>
    </w:p>
    <w:p w14:paraId="7AEC5B66" w14:textId="77777777" w:rsidR="00741338" w:rsidRDefault="00741338"/>
    <w:p w14:paraId="587B4094" w14:textId="77777777" w:rsidR="00741338" w:rsidRDefault="00000000">
      <w:r>
        <w:rPr>
          <w:b/>
          <w:bCs/>
        </w:rPr>
        <w:t>Descripción auditada:</w:t>
      </w:r>
    </w:p>
    <w:p w14:paraId="0B695698" w14:textId="77777777" w:rsidR="00741338" w:rsidRDefault="00741338"/>
    <w:p w14:paraId="632BBD1D" w14:textId="77777777" w:rsidR="00741338" w:rsidRDefault="00000000">
      <w:r>
        <w:rPr>
          <w:b/>
          <w:bCs/>
        </w:rPr>
        <w:lastRenderedPageBreak/>
        <w:t>[Causa]</w:t>
      </w:r>
      <w:r>
        <w:t xml:space="preserve"> Los portales y otros accesos públicos permiten operar con credenciales o códigos de acceso personales, que un tercero podría intentar utilizar sin autorización.</w:t>
      </w:r>
      <w:r>
        <w:br/>
      </w:r>
      <w:r>
        <w:rPr>
          <w:b/>
          <w:bCs/>
        </w:rPr>
        <w:t>[Evento de riesgo / Incertidumbre]</w:t>
      </w:r>
      <w:r>
        <w:t xml:space="preserve"> Una persona podría presentar una credencial o un código ajeno para intentar registrar un pedido o acceder como si fuera su titular.</w:t>
      </w:r>
      <w:r>
        <w:br/>
      </w:r>
      <w:r>
        <w:rPr>
          <w:b/>
          <w:bCs/>
        </w:rPr>
        <w:t>[Efecto o impacto en el proyecto]</w:t>
      </w:r>
      <w:r>
        <w:t xml:space="preserve"> LafroX tendría que detectar e investigar el intento, contener el uso indebido y comprobar qué operaciones fueron afectadas. Si el intento tuviera éxito, podrían quedar pedidos o accesos atribuidos a la persona equivocada.</w:t>
      </w:r>
    </w:p>
    <w:p w14:paraId="2002EEB5" w14:textId="77777777" w:rsidR="00741338" w:rsidRDefault="00741338"/>
    <w:p w14:paraId="2B8C622F" w14:textId="77777777" w:rsidR="00741338" w:rsidRDefault="00000000">
      <w:r>
        <w:rPr>
          <w:b/>
          <w:bCs/>
        </w:rPr>
        <w:t>Por qué compete a LafroX:</w:t>
      </w:r>
      <w:r>
        <w:t xml:space="preserve"> La autenticación, los registros de actividad y la respuesta ante incidentes forman parte del servicio de LafroX.</w:t>
      </w:r>
    </w:p>
    <w:p w14:paraId="439F630A" w14:textId="77777777" w:rsidR="00741338" w:rsidRDefault="00741338"/>
    <w:p w14:paraId="54A758CA" w14:textId="77777777" w:rsidR="00741338" w:rsidRDefault="00000000">
      <w:r>
        <w:rPr>
          <w:b/>
          <w:bCs/>
        </w:rPr>
        <w:t>Contraste con lo ya definido:</w:t>
      </w:r>
      <w:r>
        <w:t xml:space="preserve"> Los controles de identidad ya están definidos y aquí no se afirma que hayan fallado. Se conserva el posible intento de suplantación y su efecto condicional.</w:t>
      </w:r>
    </w:p>
    <w:p w14:paraId="33061546" w14:textId="77777777" w:rsidR="00741338" w:rsidRDefault="00741338"/>
    <w:p w14:paraId="0B6AFABF" w14:textId="77777777" w:rsidR="00741338" w:rsidRDefault="00000000">
      <w:r>
        <w:rPr>
          <w:b/>
          <w:bCs/>
        </w:rPr>
        <w:t>Fuentes:</w:t>
      </w:r>
      <w:r>
        <w:t xml:space="preserve"> SD4, anexos, p. 64: M3; SD4, anexos, p. 65: Frontera pública; T-14, p. 88: 8.1.5.</w:t>
      </w:r>
    </w:p>
    <w:p w14:paraId="22221C79" w14:textId="77777777" w:rsidR="00741338" w:rsidRDefault="00000000">
      <w:pPr>
        <w:pStyle w:val="Ttulo3"/>
      </w:pPr>
      <w:bookmarkStart w:id="33" w:name="_blgi63kr9dwa" w:colFirst="0" w:colLast="0"/>
      <w:bookmarkEnd w:id="33"/>
      <w:r>
        <w:t>REC-062 — Llega un mensaje electrónico que aparenta venir de una cadena autorizada o fue alterado</w:t>
      </w:r>
    </w:p>
    <w:p w14:paraId="11AB1272" w14:textId="77777777" w:rsidR="00741338" w:rsidRDefault="00000000">
      <w:r>
        <w:rPr>
          <w:b/>
          <w:bCs/>
        </w:rPr>
        <w:t>Rama RBS:</w:t>
      </w:r>
      <w:r>
        <w:t xml:space="preserve"> Integración y legado.</w:t>
      </w:r>
    </w:p>
    <w:p w14:paraId="6AEF53A3" w14:textId="77777777" w:rsidR="00741338" w:rsidRDefault="00741338"/>
    <w:p w14:paraId="7A688534" w14:textId="77777777" w:rsidR="00741338" w:rsidRDefault="00000000">
      <w:r>
        <w:rPr>
          <w:b/>
          <w:bCs/>
        </w:rPr>
        <w:t>Descripción auditada:</w:t>
      </w:r>
    </w:p>
    <w:p w14:paraId="16CB18CD" w14:textId="77777777" w:rsidR="00741338" w:rsidRDefault="00741338"/>
    <w:p w14:paraId="08831C29" w14:textId="77777777" w:rsidR="00741338" w:rsidRDefault="00000000">
      <w:r>
        <w:rPr>
          <w:b/>
          <w:bCs/>
        </w:rPr>
        <w:t>[Causa]</w:t>
      </w:r>
      <w:r>
        <w:t xml:space="preserve"> La solución recibe de cadenas comerciales mensajes electrónicos de pedidos y avisos de despacho a través de una conexión con sistemas externos.</w:t>
      </w:r>
      <w:r>
        <w:br/>
      </w:r>
      <w:r>
        <w:rPr>
          <w:b/>
          <w:bCs/>
        </w:rPr>
        <w:t>[Evento de riesgo / Incertidumbre]</w:t>
      </w:r>
      <w:r>
        <w:t xml:space="preserve"> Podría llegar un mensaje que aparenta provenir de una cadena autorizada sin serlo, o cuyo contenido haya sido cambiado durante el intercambio.</w:t>
      </w:r>
      <w:r>
        <w:br/>
      </w:r>
      <w:r>
        <w:rPr>
          <w:b/>
          <w:bCs/>
        </w:rPr>
        <w:t>[Efecto o impacto en el proyecto]</w:t>
      </w:r>
      <w:r>
        <w:t xml:space="preserve"> LafroX tendría que separarlo de los mensajes válidos, comprobar su origen y contenido e investigar el incidente antes de procesar las operaciones afectadas. Si un mensaje falso se aceptara, podría alterar el pedido o aviso correspondiente.</w:t>
      </w:r>
    </w:p>
    <w:p w14:paraId="28DC0067" w14:textId="77777777" w:rsidR="00741338" w:rsidRDefault="00741338"/>
    <w:p w14:paraId="1B08290A" w14:textId="77777777" w:rsidR="00741338" w:rsidRDefault="00000000">
      <w:r>
        <w:rPr>
          <w:b/>
          <w:bCs/>
        </w:rPr>
        <w:t>Por qué compete a LafroX:</w:t>
      </w:r>
      <w:r>
        <w:t xml:space="preserve"> LafroX implementa y opera la integración de intercambio electrónico y debe proteger la integridad de los mensajes que recibe.</w:t>
      </w:r>
    </w:p>
    <w:p w14:paraId="231B3243" w14:textId="77777777" w:rsidR="00741338" w:rsidRDefault="00741338"/>
    <w:p w14:paraId="6563EEB5" w14:textId="77777777" w:rsidR="00741338" w:rsidRDefault="00000000">
      <w:r>
        <w:rPr>
          <w:b/>
          <w:bCs/>
        </w:rPr>
        <w:t>Contraste con lo ya definido:</w:t>
      </w:r>
      <w:r>
        <w:t xml:space="preserve"> Ya están definidos los certificados, las firmas y el rechazo de mensajes inválidos. El riesgo es recibir un mensaje hostil, no que aún falte decidir esos controles.</w:t>
      </w:r>
    </w:p>
    <w:p w14:paraId="45C982B3" w14:textId="77777777" w:rsidR="00741338" w:rsidRDefault="00741338"/>
    <w:p w14:paraId="5EA7EAE9" w14:textId="77777777" w:rsidR="00741338" w:rsidRDefault="00000000">
      <w:r>
        <w:rPr>
          <w:b/>
          <w:bCs/>
        </w:rPr>
        <w:t>Fuentes:</w:t>
      </w:r>
      <w:r>
        <w:t xml:space="preserve"> SD4, anexos, p. 65: INT-08/OpenAS2; SD4, p. 47: Amenazas M11.</w:t>
      </w:r>
    </w:p>
    <w:p w14:paraId="574603CC" w14:textId="77777777" w:rsidR="002C41BF" w:rsidRDefault="002C41BF"/>
    <w:p w14:paraId="6083E4E0" w14:textId="77777777" w:rsidR="002C41BF" w:rsidRDefault="002C41BF"/>
    <w:p w14:paraId="6AEBDD56" w14:textId="6903C462" w:rsidR="00741338" w:rsidRDefault="00000000">
      <w:pPr>
        <w:pStyle w:val="Ttulo3"/>
      </w:pPr>
      <w:bookmarkStart w:id="34" w:name="_24nkktpuv17q" w:colFirst="0" w:colLast="0"/>
      <w:bookmarkEnd w:id="34"/>
      <w:r>
        <w:lastRenderedPageBreak/>
        <w:t>REC-063 — La integración recibe una posición falsa</w:t>
      </w:r>
      <w:r w:rsidR="00E61F09">
        <w:t xml:space="preserve"> (fuera)</w:t>
      </w:r>
    </w:p>
    <w:p w14:paraId="75970D45" w14:textId="77777777" w:rsidR="00741338" w:rsidRDefault="00000000">
      <w:r>
        <w:rPr>
          <w:b/>
          <w:bCs/>
        </w:rPr>
        <w:t>Rama RBS:</w:t>
      </w:r>
      <w:r>
        <w:t xml:space="preserve"> Integración y legado.</w:t>
      </w:r>
    </w:p>
    <w:p w14:paraId="3EE518F6" w14:textId="77777777" w:rsidR="00741338" w:rsidRDefault="00741338"/>
    <w:p w14:paraId="75FB69CF" w14:textId="77777777" w:rsidR="00741338" w:rsidRDefault="00000000">
      <w:r>
        <w:rPr>
          <w:b/>
          <w:bCs/>
        </w:rPr>
        <w:t>Descripción auditada:</w:t>
      </w:r>
    </w:p>
    <w:p w14:paraId="49171F3D" w14:textId="77777777" w:rsidR="00741338" w:rsidRDefault="00741338"/>
    <w:p w14:paraId="17163683" w14:textId="067CAC37" w:rsidR="00741338" w:rsidRDefault="00000000">
      <w:r>
        <w:rPr>
          <w:b/>
          <w:bCs/>
        </w:rPr>
        <w:t>[Causa]</w:t>
      </w:r>
      <w:r>
        <w:t xml:space="preserve"> El seguimiento de la flota usa posiciones enviadas por un proveedor externo. Para interpretarlas correctamente se necesita conocer su origen y la fecha de cada muestra.</w:t>
      </w:r>
      <w:r>
        <w:br/>
      </w:r>
      <w:r>
        <w:rPr>
          <w:b/>
          <w:bCs/>
        </w:rPr>
        <w:t>[Evento de riesgo / Incertidumbre]</w:t>
      </w:r>
      <w:r>
        <w:t xml:space="preserve"> Al recibir los datos de seguimiento, podrían recibirse posiciones falsas o fuera de orden presentadas como información actual.</w:t>
      </w:r>
      <w:r>
        <w:br/>
      </w:r>
      <w:r>
        <w:rPr>
          <w:b/>
          <w:bCs/>
        </w:rPr>
        <w:t>[Efecto o impacto en el proyecto]</w:t>
      </w:r>
      <w:r>
        <w:t xml:space="preserve"> El seguimiento podría mostrar una ubicación incorrecta si la muestra no se detecta. LafroX tendría que comprobar su origen y fecha, apartar los datos afectados y resolver la incidencia de integración.</w:t>
      </w:r>
    </w:p>
    <w:p w14:paraId="4A3600C7" w14:textId="77777777" w:rsidR="00741338" w:rsidRDefault="00741338"/>
    <w:p w14:paraId="14C8AD2F" w14:textId="77777777" w:rsidR="00741338" w:rsidRDefault="00000000">
      <w:r>
        <w:rPr>
          <w:b/>
          <w:bCs/>
        </w:rPr>
        <w:t>Por qué compete a LafroX:</w:t>
      </w:r>
      <w:r>
        <w:t xml:space="preserve"> LafroX integra los datos de seguimiento y debe conservar la trazabilidad de las posiciones que incorpora a la solución.</w:t>
      </w:r>
    </w:p>
    <w:p w14:paraId="71A8A436" w14:textId="77777777" w:rsidR="00741338" w:rsidRDefault="00741338"/>
    <w:p w14:paraId="6DB09809" w14:textId="77777777" w:rsidR="00741338" w:rsidRDefault="00000000">
      <w:r>
        <w:rPr>
          <w:b/>
          <w:bCs/>
        </w:rPr>
        <w:t>Contraste con lo ya definido:</w:t>
      </w:r>
      <w:r>
        <w:t xml:space="preserve"> El diseño ya define cómo ordenar y fechar las posiciones. El riesgo se refiere a los datos que efectivamente envíe el tercero, no a una decisión pendiente sobre el tratamiento de esas muestras.</w:t>
      </w:r>
    </w:p>
    <w:p w14:paraId="2AC58B2E" w14:textId="77777777" w:rsidR="00741338" w:rsidRDefault="00741338"/>
    <w:p w14:paraId="77792B90" w14:textId="77777777" w:rsidR="00741338" w:rsidRDefault="00000000">
      <w:r>
        <w:rPr>
          <w:b/>
          <w:bCs/>
        </w:rPr>
        <w:t>Fuentes:</w:t>
      </w:r>
      <w:r>
        <w:t xml:space="preserve"> SD4, anexos, p. 65: INT-15/GPS; SD3, anexos, p. 122: Cobertura de telemetría.</w:t>
      </w:r>
    </w:p>
    <w:p w14:paraId="7E893AEE" w14:textId="77777777" w:rsidR="00741338" w:rsidRDefault="00000000">
      <w:pPr>
        <w:pStyle w:val="Ttulo3"/>
      </w:pPr>
      <w:bookmarkStart w:id="35" w:name="_2fqyxtpphydu" w:colFirst="0" w:colLast="0"/>
      <w:bookmarkEnd w:id="35"/>
      <w:r>
        <w:t>REC-064 — Terminal enrolado se pierde o queda en poder de otra persona</w:t>
      </w:r>
    </w:p>
    <w:p w14:paraId="71A6B3F8" w14:textId="77777777" w:rsidR="00741338" w:rsidRDefault="00000000">
      <w:r>
        <w:rPr>
          <w:b/>
          <w:bCs/>
        </w:rPr>
        <w:t>Rama RBS:</w:t>
      </w:r>
      <w:r>
        <w:t xml:space="preserve"> Solución y tecnología.</w:t>
      </w:r>
    </w:p>
    <w:p w14:paraId="23532682" w14:textId="77777777" w:rsidR="00741338" w:rsidRDefault="00741338"/>
    <w:p w14:paraId="47F914FB" w14:textId="77777777" w:rsidR="00741338" w:rsidRDefault="00000000">
      <w:r>
        <w:rPr>
          <w:b/>
          <w:bCs/>
        </w:rPr>
        <w:t>Descripción auditada:</w:t>
      </w:r>
    </w:p>
    <w:p w14:paraId="39A6AD29" w14:textId="77777777" w:rsidR="00741338" w:rsidRDefault="00741338"/>
    <w:p w14:paraId="4A4DDEC7" w14:textId="77777777" w:rsidR="00741338" w:rsidRDefault="00000000">
      <w:r>
        <w:rPr>
          <w:b/>
          <w:bCs/>
        </w:rPr>
        <w:t>[Causa]</w:t>
      </w:r>
      <w:r>
        <w:t xml:space="preserve"> Los terminales enrolados se utilizan físicamente en ruta y bodega y contienen datos locales asociados a usuarios autorizados.</w:t>
      </w:r>
      <w:r>
        <w:br/>
      </w:r>
      <w:r>
        <w:rPr>
          <w:b/>
          <w:bCs/>
        </w:rPr>
        <w:t>[Evento de riesgo / Incertidumbre]</w:t>
      </w:r>
      <w:r>
        <w:t xml:space="preserve"> Durante su uso en ruta o bodega, un terminal enrolado podría perderse o entregarse a una persona distinta de su usuario autorizado.</w:t>
      </w:r>
      <w:r>
        <w:br/>
      </w:r>
      <w:r>
        <w:rPr>
          <w:b/>
          <w:bCs/>
        </w:rPr>
        <w:t>[Efecto o impacto en el proyecto]</w:t>
      </w:r>
      <w:r>
        <w:t xml:space="preserve"> LafroX tendría que gestionar el incidente de dispositivo e identidad, verificar la exposición de datos locales y contener accesos indebidos dentro del servicio de seguridad y gestión del terminal.</w:t>
      </w:r>
    </w:p>
    <w:p w14:paraId="28684CD0" w14:textId="77777777" w:rsidR="00741338" w:rsidRDefault="00741338"/>
    <w:p w14:paraId="44579D35" w14:textId="77777777" w:rsidR="00741338" w:rsidRDefault="00000000">
      <w:r>
        <w:rPr>
          <w:b/>
          <w:bCs/>
        </w:rPr>
        <w:t>Por qué compete a LafroX:</w:t>
      </w:r>
      <w:r>
        <w:t xml:space="preserve"> La gestión y protección del dispositivo forman parte de las suscripciones e integración que contrata y opera LafroX; la propiedad del equipo no elimina esa responsabilidad.</w:t>
      </w:r>
    </w:p>
    <w:p w14:paraId="7036C554" w14:textId="77777777" w:rsidR="00741338" w:rsidRDefault="00741338"/>
    <w:p w14:paraId="003D27DF" w14:textId="77777777" w:rsidR="00741338" w:rsidRDefault="00000000">
      <w:r>
        <w:rPr>
          <w:b/>
          <w:bCs/>
        </w:rPr>
        <w:t>Contraste con lo ya definido:</w:t>
      </w:r>
      <w:r>
        <w:t xml:space="preserve"> MDM, cifrado y PIN son controles definidos. La pérdida o cesión física del terminal es un evento externo a la elección de esos controles, no una declaración de que resulten ineficaces.</w:t>
      </w:r>
    </w:p>
    <w:p w14:paraId="452F4F55" w14:textId="77777777" w:rsidR="00741338" w:rsidRDefault="00741338"/>
    <w:p w14:paraId="430347FF" w14:textId="77777777" w:rsidR="00741338" w:rsidRDefault="00000000">
      <w:r>
        <w:rPr>
          <w:b/>
          <w:bCs/>
        </w:rPr>
        <w:t>Fuentes:</w:t>
      </w:r>
      <w:r>
        <w:t xml:space="preserve"> SD4, anexos, p. 65: UI-MOV/UI-HHT/DAT-LOCAL; SD6, anexos, p. 7: Gestión de dispositivos; T-14, p. 88: 8.1.5.</w:t>
      </w:r>
    </w:p>
    <w:p w14:paraId="6FEDDAE0" w14:textId="77777777" w:rsidR="00741338" w:rsidRDefault="00000000">
      <w:pPr>
        <w:pStyle w:val="Ttulo3"/>
      </w:pPr>
      <w:bookmarkStart w:id="36" w:name="_i7j09xk48jdp" w:colFirst="0" w:colLast="0"/>
      <w:bookmarkEnd w:id="36"/>
      <w:r>
        <w:t>REC-065 — Ataques DDOS a los canales públicos</w:t>
      </w:r>
    </w:p>
    <w:p w14:paraId="12F2AA08" w14:textId="77777777" w:rsidR="00741338" w:rsidRDefault="00000000">
      <w:r>
        <w:rPr>
          <w:b/>
          <w:bCs/>
        </w:rPr>
        <w:t>Rama RBS:</w:t>
      </w:r>
      <w:r>
        <w:t xml:space="preserve"> Solución y tecnología.</w:t>
      </w:r>
    </w:p>
    <w:p w14:paraId="0271A2B1" w14:textId="77777777" w:rsidR="00741338" w:rsidRDefault="00741338"/>
    <w:p w14:paraId="5C7B131A" w14:textId="77777777" w:rsidR="00741338" w:rsidRDefault="00000000">
      <w:r>
        <w:rPr>
          <w:b/>
          <w:bCs/>
        </w:rPr>
        <w:t>Descripción auditada:</w:t>
      </w:r>
    </w:p>
    <w:p w14:paraId="7898AC21" w14:textId="77777777" w:rsidR="00741338" w:rsidRDefault="00741338"/>
    <w:p w14:paraId="14105D1C" w14:textId="77777777" w:rsidR="00741338" w:rsidRDefault="00000000">
      <w:r>
        <w:rPr>
          <w:b/>
          <w:bCs/>
        </w:rPr>
        <w:t>[Causa]</w:t>
      </w:r>
      <w:r>
        <w:t xml:space="preserve"> Los portales e interfaces públicas están expuestos a solicitudes de actores externos, incluidas posibles ráfagas abusivas.</w:t>
      </w:r>
      <w:r>
        <w:br/>
      </w:r>
      <w:r>
        <w:rPr>
          <w:b/>
          <w:bCs/>
        </w:rPr>
        <w:t>[Evento de riesgo / Incertidumbre]</w:t>
      </w:r>
      <w:r>
        <w:t xml:space="preserve"> Durante la operación, un actor podría dirigir ráfagas de solicitudes abusivas a portales o interfaces públicas para impedir accesos legítimos.</w:t>
      </w:r>
      <w:r>
        <w:br/>
      </w:r>
      <w:r>
        <w:rPr>
          <w:b/>
          <w:bCs/>
        </w:rPr>
        <w:t>[Efecto o impacto en el proyecto]</w:t>
      </w:r>
      <w:r>
        <w:t xml:space="preserve"> LafroX tendría que gestionar la contención y comprobar la disponibilidad del servicio, con atención extraordinaria de operación y seguridad.</w:t>
      </w:r>
    </w:p>
    <w:p w14:paraId="52D0BD08" w14:textId="77777777" w:rsidR="00741338" w:rsidRDefault="00741338"/>
    <w:p w14:paraId="2CF0CF26" w14:textId="77777777" w:rsidR="00741338" w:rsidRDefault="00000000">
      <w:r>
        <w:rPr>
          <w:b/>
          <w:bCs/>
        </w:rPr>
        <w:t>Por qué compete a LafroX:</w:t>
      </w:r>
      <w:r>
        <w:t xml:space="preserve"> La protección de las entradas públicas y la continuidad del servicio son obligaciones operativas de LafroX.</w:t>
      </w:r>
    </w:p>
    <w:p w14:paraId="2D47A638" w14:textId="77777777" w:rsidR="00741338" w:rsidRDefault="00741338"/>
    <w:p w14:paraId="30C07BC6" w14:textId="77777777" w:rsidR="00741338" w:rsidRDefault="00000000">
      <w:r>
        <w:rPr>
          <w:b/>
          <w:bCs/>
        </w:rPr>
        <w:t>Contraste con lo ya definido:</w:t>
      </w:r>
      <w:r>
        <w:t xml:space="preserve"> La protección contra abuso y los límites de tasa ya están especificados. Se conserva el ataque, sin afirmar que el dimensionamiento contratado o esos controles estén fallando.</w:t>
      </w:r>
    </w:p>
    <w:p w14:paraId="63593511" w14:textId="77777777" w:rsidR="00741338" w:rsidRDefault="00741338"/>
    <w:p w14:paraId="7055BAB8" w14:textId="77777777" w:rsidR="00741338" w:rsidRPr="003D7D83" w:rsidRDefault="00000000">
      <w:pPr>
        <w:rPr>
          <w:lang w:val="en-GB"/>
        </w:rPr>
      </w:pPr>
      <w:r w:rsidRPr="003D7D83">
        <w:rPr>
          <w:b/>
          <w:bCs/>
          <w:lang w:val="en-GB"/>
        </w:rPr>
        <w:t>Fuentes:</w:t>
      </w:r>
      <w:r w:rsidRPr="003D7D83">
        <w:rPr>
          <w:lang w:val="en-GB"/>
        </w:rPr>
        <w:t xml:space="preserve"> SD4, anexos, p. 65: BOR-PUB/GW-CENT/AUTH-CENT; SD4, p. 141: Tabla 11; T-14, p. 88: 8.1.5.</w:t>
      </w:r>
    </w:p>
    <w:p w14:paraId="23E9141D" w14:textId="2B35D7EE" w:rsidR="00741338" w:rsidRDefault="00000000">
      <w:pPr>
        <w:pStyle w:val="Ttulo3"/>
      </w:pPr>
      <w:bookmarkStart w:id="37" w:name="_szuu0gsuorgp" w:colFirst="0" w:colLast="0"/>
      <w:bookmarkEnd w:id="37"/>
      <w:r>
        <w:t>REC-066 — Atacante utiliza una cuenta administrativa comprometida contra la evidencia</w:t>
      </w:r>
      <w:r w:rsidR="00E61F09">
        <w:t xml:space="preserve"> (phishing)</w:t>
      </w:r>
    </w:p>
    <w:p w14:paraId="3FB56C56" w14:textId="77777777" w:rsidR="00741338" w:rsidRDefault="00000000">
      <w:r>
        <w:rPr>
          <w:b/>
          <w:bCs/>
        </w:rPr>
        <w:t>Rama RBS:</w:t>
      </w:r>
      <w:r>
        <w:t xml:space="preserve"> Solución y tecnología.</w:t>
      </w:r>
    </w:p>
    <w:p w14:paraId="2E09E3E1" w14:textId="77777777" w:rsidR="00741338" w:rsidRDefault="00741338"/>
    <w:p w14:paraId="4C77F0E6" w14:textId="77777777" w:rsidR="00741338" w:rsidRDefault="00000000">
      <w:r>
        <w:rPr>
          <w:b/>
          <w:bCs/>
        </w:rPr>
        <w:t>Descripción auditada:</w:t>
      </w:r>
    </w:p>
    <w:p w14:paraId="3061904E" w14:textId="77777777" w:rsidR="00741338" w:rsidRDefault="00741338"/>
    <w:p w14:paraId="29E9D7A1" w14:textId="77777777" w:rsidR="00741338" w:rsidRDefault="00000000">
      <w:r>
        <w:rPr>
          <w:b/>
          <w:bCs/>
        </w:rPr>
        <w:t>[Causa]</w:t>
      </w:r>
      <w:r>
        <w:t xml:space="preserve"> Las cuentas administrativas pueden ser objeto de compromiso y los respaldos y la evidencia constituyen objetivos de un atacante que obtenga esas credenciales.</w:t>
      </w:r>
      <w:r>
        <w:br/>
      </w:r>
      <w:r>
        <w:rPr>
          <w:b/>
          <w:bCs/>
        </w:rPr>
        <w:t>[Evento de riesgo / Incertidumbre]</w:t>
      </w:r>
      <w:r>
        <w:t xml:space="preserve"> Durante la operación, un atacante que obtenga credenciales administrativas podría intentar borrar o alterar respaldos o evidencia de la plataforma.</w:t>
      </w:r>
      <w:r>
        <w:br/>
      </w:r>
      <w:r>
        <w:rPr>
          <w:b/>
          <w:bCs/>
        </w:rPr>
        <w:t>[Efecto o impacto en el proyecto]</w:t>
      </w:r>
      <w:r>
        <w:t xml:space="preserve"> LafroX tendría que contener la cuenta, investigar las acciones y verificar la integridad y recuperabilidad de los conjuntos afectados, dentro de sus obligaciones de seguridad y continuidad.</w:t>
      </w:r>
    </w:p>
    <w:p w14:paraId="0B02066C" w14:textId="77777777" w:rsidR="00741338" w:rsidRDefault="00741338"/>
    <w:p w14:paraId="67BD02EC" w14:textId="77777777" w:rsidR="00741338" w:rsidRDefault="00000000">
      <w:r>
        <w:rPr>
          <w:b/>
          <w:bCs/>
        </w:rPr>
        <w:t>Por qué compete a LafroX:</w:t>
      </w:r>
      <w:r>
        <w:t xml:space="preserve"> La respuesta a incidentes y las pruebas de integridad y restauración de la plataforma corresponden al servicio de LafroX.</w:t>
      </w:r>
    </w:p>
    <w:p w14:paraId="5925FF95" w14:textId="77777777" w:rsidR="00741338" w:rsidRDefault="00741338"/>
    <w:p w14:paraId="21CAEDE4" w14:textId="77777777" w:rsidR="00741338" w:rsidRDefault="00000000">
      <w:r>
        <w:rPr>
          <w:b/>
          <w:bCs/>
        </w:rPr>
        <w:t>Contraste con lo ya definido:</w:t>
      </w:r>
      <w:r>
        <w:t xml:space="preserve"> La copia inmutable y la custodia separada ya están definidas. Se conserva la acción hostil con credenciales comprometidas, sin presentar la protección de la evidencia como una capacidad aún por decidir.</w:t>
      </w:r>
    </w:p>
    <w:p w14:paraId="011519DA" w14:textId="77777777" w:rsidR="00741338" w:rsidRDefault="00741338"/>
    <w:p w14:paraId="218D6164" w14:textId="77777777" w:rsidR="00741338" w:rsidRDefault="00000000">
      <w:r>
        <w:rPr>
          <w:b/>
          <w:bCs/>
        </w:rPr>
        <w:t>Fuentes:</w:t>
      </w:r>
      <w:r>
        <w:t xml:space="preserve"> SD4, p. 135: Ataque contra copias; SD4, anexos, p. 66: SEC-SECRETS/AUDIT/SIEM; T-14, p. 88: 8.1.5 y 8.1.6.</w:t>
      </w:r>
    </w:p>
    <w:p w14:paraId="47DDFEB6" w14:textId="77777777" w:rsidR="00741338" w:rsidRDefault="00741338"/>
    <w:p w14:paraId="2A81791A" w14:textId="26B645B2" w:rsidR="00741338" w:rsidRDefault="00000000">
      <w:pPr>
        <w:pStyle w:val="Ttulo3"/>
      </w:pPr>
      <w:bookmarkStart w:id="38" w:name="_yzlyvlt1ihjh" w:colFirst="0" w:colLast="0"/>
      <w:bookmarkEnd w:id="38"/>
      <w:r>
        <w:t>REC-067 — Accidente vehicular interrumpe un reparto incluido en pruebas o marcha blanca</w:t>
      </w:r>
      <w:r w:rsidR="00E61F09">
        <w:t xml:space="preserve"> (separar en distintos casos)</w:t>
      </w:r>
    </w:p>
    <w:p w14:paraId="440FA8AC" w14:textId="77777777" w:rsidR="00741338" w:rsidRDefault="00000000">
      <w:r>
        <w:rPr>
          <w:b/>
          <w:bCs/>
        </w:rPr>
        <w:t>Rama RBS:</w:t>
      </w:r>
      <w:r>
        <w:t xml:space="preserve"> Operación del cliente.</w:t>
      </w:r>
    </w:p>
    <w:p w14:paraId="27C69A3D" w14:textId="77777777" w:rsidR="00741338" w:rsidRDefault="00741338"/>
    <w:p w14:paraId="0917E224" w14:textId="77777777" w:rsidR="00741338" w:rsidRDefault="00000000">
      <w:r>
        <w:rPr>
          <w:b/>
          <w:bCs/>
        </w:rPr>
        <w:t>Descripción auditada:</w:t>
      </w:r>
    </w:p>
    <w:p w14:paraId="744B3998" w14:textId="77777777" w:rsidR="00741338" w:rsidRDefault="00741338"/>
    <w:p w14:paraId="04ED771B" w14:textId="77777777" w:rsidR="00741338" w:rsidRDefault="00000000">
      <w:r>
        <w:rPr>
          <w:b/>
          <w:bCs/>
        </w:rPr>
        <w:t>[Causa]</w:t>
      </w:r>
      <w:r>
        <w:t xml:space="preserve"> Las pruebas en ruta y la marcha blanca de la solución incluyen repartos reales con vehículos expuestos a incidentes durante su circulación.</w:t>
      </w:r>
      <w:r>
        <w:br/>
      </w:r>
      <w:r>
        <w:rPr>
          <w:b/>
          <w:bCs/>
        </w:rPr>
        <w:t>[Evento de riesgo / Incertidumbre]</w:t>
      </w:r>
      <w:r>
        <w:t xml:space="preserve"> Durante un reparto incluido en esas actividades, un vehículo propio del cliente o de un transportista podría sufrir un choque, incendio, volcamiento u otro accidente que interrumpa el recorrido programado.</w:t>
      </w:r>
      <w:r>
        <w:br/>
      </w:r>
      <w:r>
        <w:rPr>
          <w:b/>
          <w:bCs/>
        </w:rPr>
        <w:t>[Efecto o impacto en el proyecto]</w:t>
      </w:r>
      <w:r>
        <w:t xml:space="preserve"> Si el accidente impide completar los casos o reunir la evidencia prevista, LafroX tendría que coordinar con el cliente la reprogramación de las pruebas y repetir las validaciones afectadas, consumiendo tiempo y recursos de implantación y pudiendo demorar el cierre de la actividad correspondiente.</w:t>
      </w:r>
    </w:p>
    <w:p w14:paraId="24FEF617" w14:textId="77777777" w:rsidR="00741338" w:rsidRDefault="00741338"/>
    <w:p w14:paraId="64339B6F" w14:textId="77777777" w:rsidR="00741338" w:rsidRDefault="00000000">
      <w:r>
        <w:rPr>
          <w:b/>
          <w:bCs/>
        </w:rPr>
        <w:t>Por qué compete a LafroX:</w:t>
      </w:r>
      <w:r>
        <w:t xml:space="preserve"> Se conserva por su efecto concreto sobre pruebas, acompañamiento y evidencia de aceptación de LafroX. Las lesiones, daños al vehículo y pérdidas de carga no se atribuyen a LafroX por esta ficha.</w:t>
      </w:r>
    </w:p>
    <w:p w14:paraId="2ADECB51" w14:textId="77777777" w:rsidR="00741338" w:rsidRDefault="00741338"/>
    <w:p w14:paraId="402A9BAC" w14:textId="77777777" w:rsidR="00741338" w:rsidRDefault="00000000">
      <w:r>
        <w:rPr>
          <w:b/>
          <w:bCs/>
        </w:rPr>
        <w:t>Contraste con lo ya definido:</w:t>
      </w:r>
      <w:r>
        <w:t xml:space="preserve"> El evento es un accidente durante un reparto utilizado para validar la solución; no se plantea como una falla del software ni como una decisión pendiente sobre el diseño de rutas. No se presupone una extensión de plazos ni responsabilidad de LafroX por el accidente.</w:t>
      </w:r>
    </w:p>
    <w:p w14:paraId="3DA2E6A2" w14:textId="77777777" w:rsidR="00741338" w:rsidRDefault="00000000">
      <w:pPr>
        <w:pStyle w:val="Ttulo3"/>
      </w:pPr>
      <w:bookmarkStart w:id="39" w:name="_mzy3src3lyc4" w:colFirst="0" w:colLast="0"/>
      <w:bookmarkEnd w:id="39"/>
      <w:r>
        <w:t>REC-068 — Reemplazos de conductores externos sin aviso</w:t>
      </w:r>
    </w:p>
    <w:p w14:paraId="2D76A3D4" w14:textId="77777777" w:rsidR="00741338" w:rsidRDefault="00000000">
      <w:r>
        <w:rPr>
          <w:b/>
          <w:bCs/>
        </w:rPr>
        <w:t>Rama RBS:</w:t>
      </w:r>
      <w:r>
        <w:t xml:space="preserve"> Personas y adopción.</w:t>
      </w:r>
    </w:p>
    <w:p w14:paraId="3B77C0BA" w14:textId="77777777" w:rsidR="00741338" w:rsidRDefault="00741338"/>
    <w:p w14:paraId="7C2968B2" w14:textId="77777777" w:rsidR="00741338" w:rsidRDefault="00000000">
      <w:r>
        <w:rPr>
          <w:b/>
          <w:bCs/>
        </w:rPr>
        <w:t>Descripción auditada:</w:t>
      </w:r>
    </w:p>
    <w:p w14:paraId="5BA27FA8" w14:textId="77777777" w:rsidR="00741338" w:rsidRDefault="00741338"/>
    <w:p w14:paraId="040827C7" w14:textId="77777777" w:rsidR="00741338" w:rsidRDefault="00000000">
      <w:r>
        <w:rPr>
          <w:b/>
          <w:bCs/>
        </w:rPr>
        <w:t>[Causa]</w:t>
      </w:r>
      <w:r>
        <w:t xml:space="preserve"> El reparto incluye conductores de empresas transportistas externas, cuyos reemplazos requieren comunicación, autorización y capacitación para utilizar la solución.</w:t>
      </w:r>
      <w:r>
        <w:br/>
      </w:r>
      <w:r>
        <w:rPr>
          <w:b/>
          <w:bCs/>
        </w:rPr>
        <w:t>[Evento de riesgo / Incertidumbre]</w:t>
      </w:r>
      <w:r>
        <w:t xml:space="preserve"> Durante una ola de implantación, un transportista podría sustituir al conductor sin avisar y presentar un reemplazo que aún no esté autorizado o </w:t>
      </w:r>
      <w:r>
        <w:lastRenderedPageBreak/>
        <w:t>capacitado.</w:t>
      </w:r>
      <w:r>
        <w:br/>
      </w:r>
      <w:r>
        <w:rPr>
          <w:b/>
          <w:bCs/>
        </w:rPr>
        <w:t>[Efecto o impacto en el proyecto]</w:t>
      </w:r>
      <w:r>
        <w:t xml:space="preserve"> LafroX tendría que atender su habilitación y formación y verificar los registros de las entregas afectadas, pudiendo requerirse trabajo adicional de acompañamiento y validación antes de cerrar la evidencia de esa ola.</w:t>
      </w:r>
    </w:p>
    <w:p w14:paraId="47EAA54E" w14:textId="77777777" w:rsidR="00741338" w:rsidRDefault="00741338"/>
    <w:p w14:paraId="0FD47B07" w14:textId="77777777" w:rsidR="00741338" w:rsidRDefault="00000000">
      <w:r>
        <w:rPr>
          <w:b/>
          <w:bCs/>
        </w:rPr>
        <w:t>Por qué compete a LafroX:</w:t>
      </w:r>
      <w:r>
        <w:t xml:space="preserve"> Afecta la incorporación de usuarios, el acompañamiento y la evidencia de implantación a cargo de LafroX.</w:t>
      </w:r>
    </w:p>
    <w:p w14:paraId="65807F47" w14:textId="77777777" w:rsidR="00741338" w:rsidRDefault="00741338"/>
    <w:p w14:paraId="0D9FA86E" w14:textId="77777777" w:rsidR="00741338" w:rsidRDefault="00000000">
      <w:r>
        <w:rPr>
          <w:b/>
          <w:bCs/>
        </w:rPr>
        <w:t>Contraste con lo ya definido:</w:t>
      </w:r>
      <w:r>
        <w:t xml:space="preserve"> El acuerdo y el procedimiento de enrolamiento no garantizan que el transportista comunique cada sustitución. El evento es un reemplazo efectivo sin aviso; se diferencia de REC-035, que trata la formalización inicial del acuerdo.</w:t>
      </w:r>
    </w:p>
    <w:p w14:paraId="410D2B13" w14:textId="77777777" w:rsidR="00741338" w:rsidRDefault="00741338"/>
    <w:p w14:paraId="313A4AB3" w14:textId="77777777" w:rsidR="00741338" w:rsidRDefault="00000000">
      <w:r>
        <w:rPr>
          <w:b/>
          <w:bCs/>
        </w:rPr>
        <w:t>Fuentes:</w:t>
      </w:r>
      <w:r>
        <w:t xml:space="preserve"> Incorporado del registro antiguo a solicitud del usuario: </w:t>
      </w:r>
      <w:hyperlink r:id="rId14" w:anchor="r-018--reemplazos-de-conductores-externos-sin-aviso">
        <w:r w:rsidR="00741338">
          <w:rPr>
            <w:color w:val="1155CC"/>
            <w:u w:val="single"/>
          </w:rPr>
          <w:t>riesgos conservados, R-018</w:t>
        </w:r>
      </w:hyperlink>
      <w:r>
        <w:t xml:space="preserve">; referencias de origen: </w:t>
      </w:r>
      <w:hyperlink r:id="rId15" w:anchor="page=15">
        <w:r w:rsidR="00741338">
          <w:rPr>
            <w:color w:val="1155CC"/>
            <w:u w:val="single"/>
          </w:rPr>
          <w:t>T-16, p. 15</w:t>
        </w:r>
      </w:hyperlink>
      <w:r>
        <w:t xml:space="preserve">; </w:t>
      </w:r>
      <w:hyperlink r:id="rId16" w:anchor="page=18">
        <w:r w:rsidR="00741338">
          <w:rPr>
            <w:color w:val="1155CC"/>
            <w:u w:val="single"/>
          </w:rPr>
          <w:t>Anexo 8.A, p. 18</w:t>
        </w:r>
      </w:hyperlink>
      <w:r>
        <w:t>. La afectación a la implantación es una síntesis interpretativa para esta lista.</w:t>
      </w:r>
    </w:p>
    <w:p w14:paraId="245083DB" w14:textId="77777777" w:rsidR="00741338" w:rsidRDefault="00000000">
      <w:pPr>
        <w:pStyle w:val="Ttulo3"/>
      </w:pPr>
      <w:bookmarkStart w:id="40" w:name="_xbwjnp4k0ojn" w:colFirst="0" w:colLast="0"/>
      <w:bookmarkEnd w:id="40"/>
      <w:r>
        <w:t>REC-069 — Solicitudes que amplían el alcance</w:t>
      </w:r>
    </w:p>
    <w:p w14:paraId="3FDF1F55" w14:textId="77777777" w:rsidR="00741338" w:rsidRDefault="00000000">
      <w:r>
        <w:rPr>
          <w:b/>
          <w:bCs/>
        </w:rPr>
        <w:t>Rama RBS:</w:t>
      </w:r>
      <w:r>
        <w:t xml:space="preserve"> Contrato y licitación.</w:t>
      </w:r>
    </w:p>
    <w:p w14:paraId="6DC1D140" w14:textId="77777777" w:rsidR="00741338" w:rsidRDefault="00741338"/>
    <w:p w14:paraId="3F856821" w14:textId="77777777" w:rsidR="00741338" w:rsidRDefault="00000000">
      <w:r>
        <w:rPr>
          <w:b/>
          <w:bCs/>
        </w:rPr>
        <w:t>Descripción auditada:</w:t>
      </w:r>
    </w:p>
    <w:p w14:paraId="7BF898C5" w14:textId="77777777" w:rsidR="00741338" w:rsidRDefault="00741338"/>
    <w:p w14:paraId="0B09B528" w14:textId="77777777" w:rsidR="00741338" w:rsidRDefault="00000000">
      <w:r>
        <w:rPr>
          <w:b/>
          <w:bCs/>
        </w:rPr>
        <w:t>[Causa]</w:t>
      </w:r>
      <w:r>
        <w:t xml:space="preserve"> La solución tiene un alcance delimitado mediante requisitos, exclusiones y decisiones aprobadas, y las solicitudes posteriores deben contrastarse con esa base.</w:t>
      </w:r>
      <w:r>
        <w:br/>
      </w:r>
      <w:r>
        <w:rPr>
          <w:b/>
          <w:bCs/>
        </w:rPr>
        <w:t>[Evento de riesgo / Incertidumbre]</w:t>
      </w:r>
      <w:r>
        <w:t xml:space="preserve"> Durante la ejecución, la contraparte podría solicitar una función, integración o modificación que exceda el alcance acordado y cuya incorporación requiera trabajo adicional.</w:t>
      </w:r>
      <w:r>
        <w:br/>
      </w:r>
      <w:r>
        <w:rPr>
          <w:b/>
          <w:bCs/>
        </w:rPr>
        <w:t>[Efecto o impacto en el proyecto]</w:t>
      </w:r>
      <w:r>
        <w:t xml:space="preserve"> LafroX tendría que evaluar y tramitar el cambio; si se aprueba su incorporación, sería necesario ajustar el esfuerzo, costo o programación según el impacto acordado.</w:t>
      </w:r>
    </w:p>
    <w:p w14:paraId="0E776F1D" w14:textId="77777777" w:rsidR="00741338" w:rsidRDefault="00741338"/>
    <w:p w14:paraId="16EE6C20" w14:textId="77777777" w:rsidR="00741338" w:rsidRDefault="00000000">
      <w:r>
        <w:rPr>
          <w:b/>
          <w:bCs/>
        </w:rPr>
        <w:t>Por qué compete a LafroX:</w:t>
      </w:r>
      <w:r>
        <w:t xml:space="preserve"> Afecta la estimación, planificación y ejecución del trabajo solicitado a la empresa.</w:t>
      </w:r>
    </w:p>
    <w:p w14:paraId="53B6D121" w14:textId="77777777" w:rsidR="00741338" w:rsidRDefault="00741338"/>
    <w:p w14:paraId="2781C019" w14:textId="77777777" w:rsidR="00741338" w:rsidRDefault="00000000">
      <w:r>
        <w:rPr>
          <w:b/>
          <w:bCs/>
        </w:rPr>
        <w:t>Contraste con lo ya definido:</w:t>
      </w:r>
      <w:r>
        <w:t xml:space="preserve"> No se presenta el alcance como indefinido ni se consideran adicionales las integraciones ya obligatorias. Se conserva la solicitud futura que lo exceda; su presentación no autoriza a ejecutarla ni modifica automáticamente el contrato.</w:t>
      </w:r>
    </w:p>
    <w:p w14:paraId="37B34225" w14:textId="77777777" w:rsidR="00741338" w:rsidRDefault="00741338"/>
    <w:p w14:paraId="72FD4EB8" w14:textId="77777777" w:rsidR="00741338" w:rsidRDefault="00000000">
      <w:r>
        <w:rPr>
          <w:b/>
          <w:bCs/>
        </w:rPr>
        <w:t>Fuentes:</w:t>
      </w:r>
      <w:r>
        <w:t xml:space="preserve"> Incorporado del registro antiguo a solicitud del usuario: </w:t>
      </w:r>
      <w:hyperlink r:id="rId17" w:anchor="r-027--solicitudes-que-ampl%C3%ADan-el-alcance">
        <w:r w:rsidR="00741338">
          <w:rPr>
            <w:color w:val="1155CC"/>
            <w:u w:val="single"/>
          </w:rPr>
          <w:t>riesgos conservados, R-027</w:t>
        </w:r>
      </w:hyperlink>
      <w:r>
        <w:t xml:space="preserve">; referencias de origen: </w:t>
      </w:r>
      <w:hyperlink r:id="rId18" w:anchor="page=20">
        <w:r w:rsidR="00741338">
          <w:rPr>
            <w:color w:val="1155CC"/>
            <w:u w:val="single"/>
          </w:rPr>
          <w:t>T-16, p. 20</w:t>
        </w:r>
      </w:hyperlink>
      <w:r>
        <w:t xml:space="preserve">; </w:t>
      </w:r>
      <w:hyperlink r:id="rId19" w:anchor="page=12">
        <w:r w:rsidR="00741338">
          <w:rPr>
            <w:color w:val="1155CC"/>
            <w:u w:val="single"/>
          </w:rPr>
          <w:t>Anexo 8.A, p. 12</w:t>
        </w:r>
      </w:hyperlink>
      <w:r>
        <w:t>. La descripción es una reformulación del evento original.</w:t>
      </w:r>
    </w:p>
    <w:p w14:paraId="7AC1DB68" w14:textId="77777777" w:rsidR="00741338" w:rsidRDefault="00000000">
      <w:pPr>
        <w:pStyle w:val="Ttulo3"/>
      </w:pPr>
      <w:bookmarkStart w:id="41" w:name="_igkzzuoem7yi" w:colFirst="0" w:colLast="0"/>
      <w:bookmarkEnd w:id="41"/>
      <w:r>
        <w:t>REC-070 — Cambios normativos</w:t>
      </w:r>
    </w:p>
    <w:p w14:paraId="7A0B1AA4" w14:textId="77777777" w:rsidR="00741338" w:rsidRDefault="00000000">
      <w:r>
        <w:rPr>
          <w:b/>
          <w:bCs/>
        </w:rPr>
        <w:t>Rama RBS:</w:t>
      </w:r>
      <w:r>
        <w:t xml:space="preserve"> Regulatorio y externo.</w:t>
      </w:r>
    </w:p>
    <w:p w14:paraId="1709FB25" w14:textId="77777777" w:rsidR="00741338" w:rsidRDefault="00741338"/>
    <w:p w14:paraId="74F46DC4" w14:textId="77777777" w:rsidR="00741338" w:rsidRDefault="00000000">
      <w:r>
        <w:rPr>
          <w:b/>
          <w:bCs/>
        </w:rPr>
        <w:t>Descripción auditada:</w:t>
      </w:r>
    </w:p>
    <w:p w14:paraId="6023E24D" w14:textId="77777777" w:rsidR="00741338" w:rsidRDefault="00741338"/>
    <w:p w14:paraId="5BAD859A" w14:textId="77777777" w:rsidR="00741338" w:rsidRDefault="00000000">
      <w:r>
        <w:rPr>
          <w:b/>
          <w:bCs/>
        </w:rPr>
        <w:t>[Causa]</w:t>
      </w:r>
      <w:r>
        <w:t xml:space="preserve"> La solución trata y conserva documentos, ubicación y evidencia durante una vigencia contractual de varios años, sujeta a exigencias normativas aplicables.</w:t>
      </w:r>
      <w:r>
        <w:br/>
      </w:r>
      <w:r>
        <w:rPr>
          <w:b/>
          <w:bCs/>
        </w:rPr>
        <w:t>[Evento de riesgo / Incertidumbre]</w:t>
      </w:r>
      <w:r>
        <w:t xml:space="preserve"> Durante esa vigencia, una modificación normativa o una nueva interpretación aplicable podría exigir ajustes en los controles, la conservación o la eliminación de datos de la solución.</w:t>
      </w:r>
      <w:r>
        <w:br/>
      </w:r>
      <w:r>
        <w:rPr>
          <w:b/>
          <w:bCs/>
        </w:rPr>
        <w:t>[Efecto o impacto en el proyecto]</w:t>
      </w:r>
      <w:r>
        <w:t xml:space="preserve"> LafroX tendría que evaluar y adaptar los componentes y procedimientos afectados y volver a validar su funcionamiento, generando trabajo adicional y posibles ajustes de programación sujetos al tratamiento contractual correspondiente.</w:t>
      </w:r>
    </w:p>
    <w:p w14:paraId="2AEB58C9" w14:textId="77777777" w:rsidR="00741338" w:rsidRDefault="00741338"/>
    <w:p w14:paraId="21B9E9D1" w14:textId="77777777" w:rsidR="00741338" w:rsidRDefault="00000000">
      <w:r>
        <w:rPr>
          <w:b/>
          <w:bCs/>
        </w:rPr>
        <w:t>Por qué compete a LafroX:</w:t>
      </w:r>
      <w:r>
        <w:t xml:space="preserve"> Afecta los controles y procedimientos de la solución que LafroX implementa u opera.</w:t>
      </w:r>
    </w:p>
    <w:p w14:paraId="744BC5BF" w14:textId="77777777" w:rsidR="00741338" w:rsidRDefault="00741338"/>
    <w:p w14:paraId="19EE33E3" w14:textId="77777777" w:rsidR="00741338" w:rsidRDefault="00000000">
      <w:r>
        <w:rPr>
          <w:b/>
          <w:bCs/>
        </w:rPr>
        <w:t>Contraste con lo ya definido:</w:t>
      </w:r>
      <w:r>
        <w:t xml:space="preserve"> No se cuestiona el cumplimiento de las exigencias vigentes ni se reabre la selección de regiones. Se trata de una exigencia futura que cambie la base aplicable, distinta de la aprobación pendiente de REC-057.</w:t>
      </w:r>
    </w:p>
    <w:p w14:paraId="62495CE9" w14:textId="77777777" w:rsidR="00741338" w:rsidRDefault="00741338"/>
    <w:p w14:paraId="337E417E" w14:textId="77777777" w:rsidR="00741338" w:rsidRDefault="00000000">
      <w:r>
        <w:rPr>
          <w:b/>
          <w:bCs/>
        </w:rPr>
        <w:t>Fuentes:</w:t>
      </w:r>
      <w:r>
        <w:t xml:space="preserve"> Incorporado del registro antiguo a solicitud del usuario: </w:t>
      </w:r>
      <w:hyperlink r:id="rId20" w:anchor="r-042--cambios-normativos">
        <w:r w:rsidR="00741338">
          <w:rPr>
            <w:color w:val="1155CC"/>
            <w:u w:val="single"/>
          </w:rPr>
          <w:t>riesgos conservados, R-042</w:t>
        </w:r>
      </w:hyperlink>
      <w:r>
        <w:t xml:space="preserve">; referencias de origen: </w:t>
      </w:r>
      <w:hyperlink r:id="rId21" w:anchor="page=26">
        <w:r w:rsidR="00741338">
          <w:rPr>
            <w:color w:val="1155CC"/>
            <w:u w:val="single"/>
          </w:rPr>
          <w:t>T-16, p. 26</w:t>
        </w:r>
      </w:hyperlink>
      <w:r>
        <w:t xml:space="preserve">; </w:t>
      </w:r>
      <w:hyperlink r:id="rId22" w:anchor="page=21">
        <w:r w:rsidR="00741338">
          <w:rPr>
            <w:color w:val="1155CC"/>
            <w:u w:val="single"/>
          </w:rPr>
          <w:t>Anexo 8.A, pp. 21–22</w:t>
        </w:r>
      </w:hyperlink>
      <w:r>
        <w:t>. La descripción es una reformulación del evento original; no afirma que exista un cambio normativo concreto.</w:t>
      </w:r>
    </w:p>
    <w:p w14:paraId="0DA3595D" w14:textId="77777777" w:rsidR="00741338" w:rsidRDefault="00000000">
      <w:pPr>
        <w:pStyle w:val="Ttulo2"/>
      </w:pPr>
      <w:bookmarkStart w:id="42" w:name="_wxsovb9qduw4" w:colFirst="0" w:colLast="0"/>
      <w:bookmarkEnd w:id="42"/>
      <w:r>
        <w:t>Distribución de los conservados en la RBS</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41338" w14:paraId="3DFAC0B2" w14:textId="77777777">
        <w:trPr>
          <w:tblHeader/>
        </w:trPr>
        <w:tc>
          <w:tcPr>
            <w:tcW w:w="4680" w:type="dxa"/>
            <w:tcMar>
              <w:top w:w="100" w:type="dxa"/>
              <w:left w:w="100" w:type="dxa"/>
              <w:bottom w:w="100" w:type="dxa"/>
              <w:right w:w="100" w:type="dxa"/>
            </w:tcMar>
          </w:tcPr>
          <w:p w14:paraId="4EA80F6A" w14:textId="77777777" w:rsidR="00741338" w:rsidRDefault="00000000">
            <w:pPr>
              <w:rPr>
                <w:b/>
                <w:bCs/>
              </w:rPr>
            </w:pPr>
            <w:r>
              <w:rPr>
                <w:b/>
                <w:bCs/>
              </w:rPr>
              <w:t>Rama existente</w:t>
            </w:r>
          </w:p>
        </w:tc>
        <w:tc>
          <w:tcPr>
            <w:tcW w:w="4680" w:type="dxa"/>
            <w:tcMar>
              <w:top w:w="100" w:type="dxa"/>
              <w:left w:w="100" w:type="dxa"/>
              <w:bottom w:w="100" w:type="dxa"/>
              <w:right w:w="100" w:type="dxa"/>
            </w:tcMar>
          </w:tcPr>
          <w:p w14:paraId="20642C0D" w14:textId="77777777" w:rsidR="00741338" w:rsidRDefault="00000000">
            <w:pPr>
              <w:jc w:val="right"/>
              <w:rPr>
                <w:b/>
                <w:bCs/>
              </w:rPr>
            </w:pPr>
            <w:r>
              <w:rPr>
                <w:b/>
                <w:bCs/>
              </w:rPr>
              <w:t>Cantidad</w:t>
            </w:r>
          </w:p>
        </w:tc>
      </w:tr>
      <w:tr w:rsidR="00741338" w14:paraId="2D26C120" w14:textId="77777777">
        <w:tc>
          <w:tcPr>
            <w:tcW w:w="4680" w:type="dxa"/>
            <w:tcMar>
              <w:top w:w="100" w:type="dxa"/>
              <w:left w:w="100" w:type="dxa"/>
              <w:bottom w:w="100" w:type="dxa"/>
              <w:right w:w="100" w:type="dxa"/>
            </w:tcMar>
          </w:tcPr>
          <w:p w14:paraId="57BF3B90" w14:textId="77777777" w:rsidR="00741338" w:rsidRDefault="00000000">
            <w:r>
              <w:t>Solución y tecnología</w:t>
            </w:r>
          </w:p>
        </w:tc>
        <w:tc>
          <w:tcPr>
            <w:tcW w:w="4680" w:type="dxa"/>
            <w:tcMar>
              <w:top w:w="100" w:type="dxa"/>
              <w:left w:w="100" w:type="dxa"/>
              <w:bottom w:w="100" w:type="dxa"/>
              <w:right w:w="100" w:type="dxa"/>
            </w:tcMar>
          </w:tcPr>
          <w:p w14:paraId="5E5CE76A" w14:textId="77777777" w:rsidR="00741338" w:rsidRDefault="00000000">
            <w:pPr>
              <w:jc w:val="right"/>
            </w:pPr>
            <w:r>
              <w:t>6</w:t>
            </w:r>
          </w:p>
        </w:tc>
      </w:tr>
      <w:tr w:rsidR="00741338" w14:paraId="7392CE16" w14:textId="77777777">
        <w:tc>
          <w:tcPr>
            <w:tcW w:w="4680" w:type="dxa"/>
            <w:tcMar>
              <w:top w:w="100" w:type="dxa"/>
              <w:left w:w="100" w:type="dxa"/>
              <w:bottom w:w="100" w:type="dxa"/>
              <w:right w:w="100" w:type="dxa"/>
            </w:tcMar>
          </w:tcPr>
          <w:p w14:paraId="42CBA684" w14:textId="77777777" w:rsidR="00741338" w:rsidRDefault="00000000">
            <w:r>
              <w:t>Integración y legado</w:t>
            </w:r>
          </w:p>
        </w:tc>
        <w:tc>
          <w:tcPr>
            <w:tcW w:w="4680" w:type="dxa"/>
            <w:tcMar>
              <w:top w:w="100" w:type="dxa"/>
              <w:left w:w="100" w:type="dxa"/>
              <w:bottom w:w="100" w:type="dxa"/>
              <w:right w:w="100" w:type="dxa"/>
            </w:tcMar>
          </w:tcPr>
          <w:p w14:paraId="19BFF125" w14:textId="77777777" w:rsidR="00741338" w:rsidRDefault="00000000">
            <w:pPr>
              <w:jc w:val="right"/>
            </w:pPr>
            <w:r>
              <w:t>12</w:t>
            </w:r>
          </w:p>
        </w:tc>
      </w:tr>
      <w:tr w:rsidR="00741338" w14:paraId="3DB3C4F1" w14:textId="77777777">
        <w:tc>
          <w:tcPr>
            <w:tcW w:w="4680" w:type="dxa"/>
            <w:tcMar>
              <w:top w:w="100" w:type="dxa"/>
              <w:left w:w="100" w:type="dxa"/>
              <w:bottom w:w="100" w:type="dxa"/>
              <w:right w:w="100" w:type="dxa"/>
            </w:tcMar>
          </w:tcPr>
          <w:p w14:paraId="61F9244A" w14:textId="77777777" w:rsidR="00741338" w:rsidRDefault="00000000">
            <w:r>
              <w:t>Operación del cliente</w:t>
            </w:r>
          </w:p>
        </w:tc>
        <w:tc>
          <w:tcPr>
            <w:tcW w:w="4680" w:type="dxa"/>
            <w:tcMar>
              <w:top w:w="100" w:type="dxa"/>
              <w:left w:w="100" w:type="dxa"/>
              <w:bottom w:w="100" w:type="dxa"/>
              <w:right w:w="100" w:type="dxa"/>
            </w:tcMar>
          </w:tcPr>
          <w:p w14:paraId="2DF2264B" w14:textId="77777777" w:rsidR="00741338" w:rsidRDefault="00000000">
            <w:pPr>
              <w:jc w:val="right"/>
            </w:pPr>
            <w:r>
              <w:t>11</w:t>
            </w:r>
          </w:p>
        </w:tc>
      </w:tr>
      <w:tr w:rsidR="00741338" w14:paraId="67E97E0A" w14:textId="77777777">
        <w:tc>
          <w:tcPr>
            <w:tcW w:w="4680" w:type="dxa"/>
            <w:tcMar>
              <w:top w:w="100" w:type="dxa"/>
              <w:left w:w="100" w:type="dxa"/>
              <w:bottom w:w="100" w:type="dxa"/>
              <w:right w:w="100" w:type="dxa"/>
            </w:tcMar>
          </w:tcPr>
          <w:p w14:paraId="34972625" w14:textId="77777777" w:rsidR="00741338" w:rsidRDefault="00000000">
            <w:r>
              <w:t>Personas y adopción</w:t>
            </w:r>
          </w:p>
        </w:tc>
        <w:tc>
          <w:tcPr>
            <w:tcW w:w="4680" w:type="dxa"/>
            <w:tcMar>
              <w:top w:w="100" w:type="dxa"/>
              <w:left w:w="100" w:type="dxa"/>
              <w:bottom w:w="100" w:type="dxa"/>
              <w:right w:w="100" w:type="dxa"/>
            </w:tcMar>
          </w:tcPr>
          <w:p w14:paraId="259F360E" w14:textId="77777777" w:rsidR="00741338" w:rsidRDefault="00000000">
            <w:pPr>
              <w:jc w:val="right"/>
            </w:pPr>
            <w:r>
              <w:t>5</w:t>
            </w:r>
          </w:p>
        </w:tc>
      </w:tr>
      <w:tr w:rsidR="00741338" w14:paraId="272E4522" w14:textId="77777777">
        <w:tc>
          <w:tcPr>
            <w:tcW w:w="4680" w:type="dxa"/>
            <w:tcMar>
              <w:top w:w="100" w:type="dxa"/>
              <w:left w:w="100" w:type="dxa"/>
              <w:bottom w:w="100" w:type="dxa"/>
              <w:right w:w="100" w:type="dxa"/>
            </w:tcMar>
          </w:tcPr>
          <w:p w14:paraId="0395465D" w14:textId="77777777" w:rsidR="00741338" w:rsidRDefault="00000000">
            <w:r>
              <w:t>Contrato y licitación</w:t>
            </w:r>
          </w:p>
        </w:tc>
        <w:tc>
          <w:tcPr>
            <w:tcW w:w="4680" w:type="dxa"/>
            <w:tcMar>
              <w:top w:w="100" w:type="dxa"/>
              <w:left w:w="100" w:type="dxa"/>
              <w:bottom w:w="100" w:type="dxa"/>
              <w:right w:w="100" w:type="dxa"/>
            </w:tcMar>
          </w:tcPr>
          <w:p w14:paraId="10B91383" w14:textId="77777777" w:rsidR="00741338" w:rsidRDefault="00000000">
            <w:pPr>
              <w:jc w:val="right"/>
            </w:pPr>
            <w:r>
              <w:t>1</w:t>
            </w:r>
          </w:p>
        </w:tc>
      </w:tr>
      <w:tr w:rsidR="00741338" w14:paraId="16169878" w14:textId="77777777">
        <w:tc>
          <w:tcPr>
            <w:tcW w:w="4680" w:type="dxa"/>
            <w:tcMar>
              <w:top w:w="100" w:type="dxa"/>
              <w:left w:w="100" w:type="dxa"/>
              <w:bottom w:w="100" w:type="dxa"/>
              <w:right w:w="100" w:type="dxa"/>
            </w:tcMar>
          </w:tcPr>
          <w:p w14:paraId="351EFA33" w14:textId="77777777" w:rsidR="00741338" w:rsidRDefault="00000000">
            <w:r>
              <w:t>Regulatorio y externo</w:t>
            </w:r>
          </w:p>
        </w:tc>
        <w:tc>
          <w:tcPr>
            <w:tcW w:w="4680" w:type="dxa"/>
            <w:tcMar>
              <w:top w:w="100" w:type="dxa"/>
              <w:left w:w="100" w:type="dxa"/>
              <w:bottom w:w="100" w:type="dxa"/>
              <w:right w:w="100" w:type="dxa"/>
            </w:tcMar>
          </w:tcPr>
          <w:p w14:paraId="00714FFF" w14:textId="77777777" w:rsidR="00741338" w:rsidRDefault="00000000">
            <w:pPr>
              <w:jc w:val="right"/>
            </w:pPr>
            <w:r>
              <w:t>2</w:t>
            </w:r>
          </w:p>
        </w:tc>
      </w:tr>
      <w:tr w:rsidR="00741338" w14:paraId="7F81C4DA" w14:textId="77777777">
        <w:tc>
          <w:tcPr>
            <w:tcW w:w="4680" w:type="dxa"/>
            <w:tcMar>
              <w:top w:w="100" w:type="dxa"/>
              <w:left w:w="100" w:type="dxa"/>
              <w:bottom w:w="100" w:type="dxa"/>
              <w:right w:w="100" w:type="dxa"/>
            </w:tcMar>
          </w:tcPr>
          <w:p w14:paraId="7BE3FB39" w14:textId="77777777" w:rsidR="00741338" w:rsidRDefault="00000000">
            <w:r>
              <w:t>Empresa proveedora</w:t>
            </w:r>
          </w:p>
        </w:tc>
        <w:tc>
          <w:tcPr>
            <w:tcW w:w="4680" w:type="dxa"/>
            <w:tcMar>
              <w:top w:w="100" w:type="dxa"/>
              <w:left w:w="100" w:type="dxa"/>
              <w:bottom w:w="100" w:type="dxa"/>
              <w:right w:w="100" w:type="dxa"/>
            </w:tcMar>
          </w:tcPr>
          <w:p w14:paraId="7429B7EC" w14:textId="77777777" w:rsidR="00741338" w:rsidRDefault="00000000">
            <w:pPr>
              <w:jc w:val="right"/>
            </w:pPr>
            <w:r>
              <w:t>0</w:t>
            </w:r>
          </w:p>
        </w:tc>
      </w:tr>
      <w:tr w:rsidR="00741338" w14:paraId="4D674BB5" w14:textId="77777777">
        <w:tc>
          <w:tcPr>
            <w:tcW w:w="4680" w:type="dxa"/>
            <w:tcMar>
              <w:top w:w="100" w:type="dxa"/>
              <w:left w:w="100" w:type="dxa"/>
              <w:bottom w:w="100" w:type="dxa"/>
              <w:right w:w="100" w:type="dxa"/>
            </w:tcMar>
          </w:tcPr>
          <w:p w14:paraId="3069E398" w14:textId="77777777" w:rsidR="00741338" w:rsidRDefault="00000000">
            <w:r>
              <w:rPr>
                <w:b/>
                <w:bCs/>
              </w:rPr>
              <w:t>Total</w:t>
            </w:r>
          </w:p>
        </w:tc>
        <w:tc>
          <w:tcPr>
            <w:tcW w:w="4680" w:type="dxa"/>
            <w:tcMar>
              <w:top w:w="100" w:type="dxa"/>
              <w:left w:w="100" w:type="dxa"/>
              <w:bottom w:w="100" w:type="dxa"/>
              <w:right w:w="100" w:type="dxa"/>
            </w:tcMar>
          </w:tcPr>
          <w:p w14:paraId="694D168F" w14:textId="77777777" w:rsidR="00741338" w:rsidRDefault="00000000">
            <w:pPr>
              <w:jc w:val="right"/>
            </w:pPr>
            <w:r>
              <w:rPr>
                <w:b/>
                <w:bCs/>
              </w:rPr>
              <w:t>37</w:t>
            </w:r>
          </w:p>
        </w:tc>
      </w:tr>
    </w:tbl>
    <w:p w14:paraId="0ED03DD7" w14:textId="77777777" w:rsidR="00741338" w:rsidRDefault="00741338"/>
    <w:p w14:paraId="65E127D6" w14:textId="77777777" w:rsidR="00741338" w:rsidRDefault="00000000">
      <w:r>
        <w:t>Las ramas sin entradas se mantienen en la taxonomía. La selección no exige cubrirlas todas ni asigna prioridades.</w:t>
      </w:r>
    </w:p>
    <w:p w14:paraId="09C22891" w14:textId="77777777" w:rsidR="00741338" w:rsidRDefault="00000000">
      <w:pPr>
        <w:pStyle w:val="Ttulo2"/>
      </w:pPr>
      <w:bookmarkStart w:id="43" w:name="_uww3o9lpbg75" w:colFirst="0" w:colLast="0"/>
      <w:bookmarkEnd w:id="43"/>
      <w:r>
        <w:lastRenderedPageBreak/>
        <w:t>Evidencia general del filtro de definiciones</w:t>
      </w:r>
    </w:p>
    <w:p w14:paraId="789B04C2" w14:textId="77777777" w:rsidR="00741338" w:rsidRDefault="00000000">
      <w:r>
        <w:t>Además de las referencias individuales, se contrastaron los siguientes bloques para evitar reabrir decisiones de la oferta:</w:t>
      </w:r>
    </w:p>
    <w:p w14:paraId="6E128E9E" w14:textId="77777777" w:rsidR="00741338" w:rsidRDefault="00741338"/>
    <w:p w14:paraId="58F6453F" w14:textId="77777777" w:rsidR="00741338" w:rsidRDefault="00000000">
      <w:pPr>
        <w:numPr>
          <w:ilvl w:val="0"/>
          <w:numId w:val="2"/>
        </w:numPr>
      </w:pPr>
      <w:r>
        <w:t>SD2, Anexo 2.2: supuestos, exclusiones y restricciones, pp. 7–14.</w:t>
      </w:r>
    </w:p>
    <w:p w14:paraId="7ACB79D8" w14:textId="77777777" w:rsidR="00741338" w:rsidRDefault="00000000">
      <w:pPr>
        <w:numPr>
          <w:ilvl w:val="0"/>
          <w:numId w:val="2"/>
        </w:numPr>
      </w:pPr>
      <w:r>
        <w:t>SD3, Anexo 3.C: registro de supuestos, pp. 115–132.</w:t>
      </w:r>
    </w:p>
    <w:p w14:paraId="6B0E4C40" w14:textId="77777777" w:rsidR="00741338" w:rsidRDefault="00000000">
      <w:pPr>
        <w:numPr>
          <w:ilvl w:val="0"/>
          <w:numId w:val="2"/>
        </w:numPr>
      </w:pPr>
      <w:r>
        <w:t>SD3, Anexo 3.G: reglas de negocio, pp. 138–143.</w:t>
      </w:r>
    </w:p>
    <w:p w14:paraId="1E902BF6" w14:textId="77777777" w:rsidR="00741338" w:rsidRDefault="00000000">
      <w:pPr>
        <w:numPr>
          <w:ilvl w:val="0"/>
          <w:numId w:val="2"/>
        </w:numPr>
      </w:pPr>
      <w:r>
        <w:t>SD3, Anexo 3.H: consultas y estado documental, pp. 144–150.</w:t>
      </w:r>
    </w:p>
    <w:p w14:paraId="1BF347D3" w14:textId="77777777" w:rsidR="00741338" w:rsidRDefault="00000000">
      <w:pPr>
        <w:numPr>
          <w:ilvl w:val="0"/>
          <w:numId w:val="2"/>
        </w:numPr>
      </w:pPr>
      <w:r>
        <w:t>T-18: certificación de usuarios y aceptación de etapas, pp. 13–16.</w:t>
      </w:r>
    </w:p>
    <w:p w14:paraId="5F1719C1" w14:textId="77777777" w:rsidR="00741338" w:rsidRDefault="00741338"/>
    <w:p w14:paraId="1443F27C" w14:textId="77777777" w:rsidR="00741338" w:rsidRDefault="00000000">
      <w:r>
        <w:t>Las páginas son posiciones físicas del PDF contadas desde 1. Cada enlace abre la primera página indicada.</w:t>
      </w:r>
    </w:p>
    <w:p w14:paraId="0DBA2BB5" w14:textId="77777777" w:rsidR="00741338" w:rsidRDefault="00000000">
      <w:pPr>
        <w:pStyle w:val="Ttulo2"/>
      </w:pPr>
      <w:bookmarkStart w:id="44" w:name="_irqi9mn2wqdo" w:colFirst="0" w:colLast="0"/>
      <w:bookmarkEnd w:id="44"/>
      <w:r>
        <w:t>Comprobaciones de la entrega</w:t>
      </w:r>
    </w:p>
    <w:p w14:paraId="3A2B7C1F" w14:textId="77777777" w:rsidR="00741338" w:rsidRDefault="00000000">
      <w:pPr>
        <w:numPr>
          <w:ilvl w:val="0"/>
          <w:numId w:val="2"/>
        </w:numPr>
      </w:pPr>
      <w:r>
        <w:t>De los 66 originales, 33 se conservaron y 33 se excluyeron; se añadieron cuatro riesgos después, para un total de 37 fichas vigentes.</w:t>
      </w:r>
    </w:p>
    <w:p w14:paraId="31458209" w14:textId="77777777" w:rsidR="00741338" w:rsidRDefault="00000000">
      <w:pPr>
        <w:numPr>
          <w:ilvl w:val="0"/>
          <w:numId w:val="2"/>
        </w:numPr>
      </w:pPr>
      <w:r>
        <w:t>Se verificaron 37 códigos REC únicos, descripciones completas, una rama por riesgo y la existencia de los archivos y páginas citados.</w:t>
      </w:r>
    </w:p>
    <w:p w14:paraId="529A65C4" w14:textId="77777777" w:rsidR="00741338" w:rsidRDefault="00000000">
      <w:pPr>
        <w:numPr>
          <w:ilvl w:val="0"/>
          <w:numId w:val="2"/>
        </w:numPr>
      </w:pPr>
      <w:r>
        <w:t>Cada conservado identifica una afectación concreta al trabajo o servicio de LafroX y distingue la amenaza de una decisión ya tomada.</w:t>
      </w:r>
    </w:p>
    <w:p w14:paraId="083EE985" w14:textId="77777777" w:rsidR="00741338" w:rsidRDefault="00000000">
      <w:pPr>
        <w:numPr>
          <w:ilvl w:val="0"/>
          <w:numId w:val="2"/>
        </w:numPr>
      </w:pPr>
      <w:r>
        <w:t>Se mantuvieron intactos los Markdown anteriores y los PDF de origen.</w:t>
      </w:r>
    </w:p>
    <w:p w14:paraId="70915A92" w14:textId="77777777" w:rsidR="00741338" w:rsidRDefault="00000000">
      <w:pPr>
        <w:numPr>
          <w:ilvl w:val="0"/>
          <w:numId w:val="2"/>
        </w:numPr>
      </w:pPr>
      <w:r>
        <w:t>La entrega no acredita eficacia de controles ni permite dar por cerrados los riesgos conservados.</w:t>
      </w:r>
    </w:p>
    <w:p w14:paraId="134C8947" w14:textId="77777777" w:rsidR="00741338" w:rsidRDefault="00741338">
      <w:pPr>
        <w:numPr>
          <w:ilvl w:val="0"/>
          <w:numId w:val="1"/>
        </w:numPr>
      </w:pPr>
    </w:p>
    <w:p w14:paraId="7A3B348B" w14:textId="77777777" w:rsidR="00741338" w:rsidRDefault="00741338"/>
    <w:sectPr w:rsidR="0074133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82C260E-2794-4914-8EA0-E212FAA9E2B4}"/>
  </w:font>
  <w:font w:name="Cambria">
    <w:panose1 w:val="02040503050406030204"/>
    <w:charset w:val="00"/>
    <w:family w:val="roman"/>
    <w:pitch w:val="variable"/>
    <w:sig w:usb0="E00006FF" w:usb1="420024FF" w:usb2="02000000" w:usb3="00000000" w:csb0="0000019F" w:csb1="00000000"/>
    <w:embedRegular r:id="rId2" w:fontKey="{5FAAED36-67A7-4D7C-B175-E2A535EC8C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F4F01"/>
    <w:multiLevelType w:val="multilevel"/>
    <w:tmpl w:val="26FA8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C8F4CC1"/>
    <w:multiLevelType w:val="multilevel"/>
    <w:tmpl w:val="8FD2E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7426180">
    <w:abstractNumId w:val="1"/>
  </w:num>
  <w:num w:numId="2" w16cid:durableId="2018849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338"/>
    <w:rsid w:val="0005753D"/>
    <w:rsid w:val="002C41BF"/>
    <w:rsid w:val="003D7D83"/>
    <w:rsid w:val="00741338"/>
    <w:rsid w:val="00751B6F"/>
    <w:rsid w:val="00A62E72"/>
    <w:rsid w:val="00C61378"/>
    <w:rsid w:val="00E61F0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B8F8B"/>
  <w15:docId w15:val="{B0363D32-6CFD-4735-895D-EC2C8085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bdocumento%203/LAFROX-Subdocumento3-Anexos.pdf" TargetMode="External"/><Relationship Id="rId13" Type="http://schemas.openxmlformats.org/officeDocument/2006/relationships/hyperlink" Target="http://../Subdocumento%205/LAFROX-Subdocumento5.pdf" TargetMode="External"/><Relationship Id="rId18" Type="http://schemas.openxmlformats.org/officeDocument/2006/relationships/hyperlink" Target="http://../Subdocumento%208/Lafrox-Formulario-T-16.pdf" TargetMode="External"/><Relationship Id="rId3" Type="http://schemas.openxmlformats.org/officeDocument/2006/relationships/settings" Target="settings.xml"/><Relationship Id="rId21" Type="http://schemas.openxmlformats.org/officeDocument/2006/relationships/hyperlink" Target="http://../Subdocumento%208/Lafrox-Formulario-T-16.pdf" TargetMode="External"/><Relationship Id="rId7" Type="http://schemas.openxmlformats.org/officeDocument/2006/relationships/hyperlink" Target="http://../Subdocumento%204/LAFROX-Subdocumento4.pdf" TargetMode="External"/><Relationship Id="rId12" Type="http://schemas.openxmlformats.org/officeDocument/2006/relationships/hyperlink" Target="http://../Subdocumento%205/LAFROX-Subdocumento5.pdf" TargetMode="External"/><Relationship Id="rId17" Type="http://schemas.openxmlformats.org/officeDocument/2006/relationships/hyperlink" Target="http://riesgos_conservados.md" TargetMode="External"/><Relationship Id="rId2" Type="http://schemas.openxmlformats.org/officeDocument/2006/relationships/styles" Target="styles.xml"/><Relationship Id="rId16" Type="http://schemas.openxmlformats.org/officeDocument/2006/relationships/hyperlink" Target="http://../Subdocumento%208/LafroX-Subdocumento-8-Anexos.pdf" TargetMode="External"/><Relationship Id="rId20" Type="http://schemas.openxmlformats.org/officeDocument/2006/relationships/hyperlink" Target="http://riesgos_conservados.md" TargetMode="External"/><Relationship Id="rId1" Type="http://schemas.openxmlformats.org/officeDocument/2006/relationships/numbering" Target="numbering.xml"/><Relationship Id="rId6" Type="http://schemas.openxmlformats.org/officeDocument/2006/relationships/hyperlink" Target="http://../Subdocumento%203/LAFROX-Subdocumento3-Anexos.pdf" TargetMode="External"/><Relationship Id="rId11" Type="http://schemas.openxmlformats.org/officeDocument/2006/relationships/hyperlink" Target="http://../Subdocumento%203/LAFROX-Subdocumento3-Anexos.pdf" TargetMode="External"/><Relationship Id="rId24" Type="http://schemas.openxmlformats.org/officeDocument/2006/relationships/theme" Target="theme/theme1.xml"/><Relationship Id="rId5" Type="http://schemas.openxmlformats.org/officeDocument/2006/relationships/hyperlink" Target="http://../Subdocumento%203/LAFROX-Subdocumento3-Anexos.pdf" TargetMode="External"/><Relationship Id="rId15" Type="http://schemas.openxmlformats.org/officeDocument/2006/relationships/hyperlink" Target="http://../Subdocumento%208/Lafrox-Formulario-T-16.pdf" TargetMode="External"/><Relationship Id="rId23" Type="http://schemas.openxmlformats.org/officeDocument/2006/relationships/fontTable" Target="fontTable.xml"/><Relationship Id="rId10" Type="http://schemas.openxmlformats.org/officeDocument/2006/relationships/hyperlink" Target="http://../Subdocumento%207/LafroX-Formulario-T-18.pdf" TargetMode="External"/><Relationship Id="rId19" Type="http://schemas.openxmlformats.org/officeDocument/2006/relationships/hyperlink" Target="http://../Subdocumento%208/LafroX-Subdocumento-8-Anexos.pdf" TargetMode="External"/><Relationship Id="rId4" Type="http://schemas.openxmlformats.org/officeDocument/2006/relationships/webSettings" Target="webSettings.xml"/><Relationship Id="rId9" Type="http://schemas.openxmlformats.org/officeDocument/2006/relationships/hyperlink" Target="http://../Subdocumento%207/LafroX-Formulario-T-18.pdf" TargetMode="External"/><Relationship Id="rId14" Type="http://schemas.openxmlformats.org/officeDocument/2006/relationships/hyperlink" Target="http://riesgos_conservados.md" TargetMode="External"/><Relationship Id="rId22" Type="http://schemas.openxmlformats.org/officeDocument/2006/relationships/hyperlink" Target="http://../Subdocumento%208/LafroX-Subdocumento-8-Anexos.pdf"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28</Pages>
  <Words>8427</Words>
  <Characters>46351</Characters>
  <Application>Microsoft Office Word</Application>
  <DocSecurity>0</DocSecurity>
  <Lines>386</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maximiliano miño</cp:lastModifiedBy>
  <cp:revision>3</cp:revision>
  <dcterms:created xsi:type="dcterms:W3CDTF">2026-10-25T02:07:00Z</dcterms:created>
  <dcterms:modified xsi:type="dcterms:W3CDTF">2026-10-25T21:04:00Z</dcterms:modified>
</cp:coreProperties>
</file>