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6x42a6wy3hbe" w:id="0"/>
      <w:bookmarkEnd w:id="0"/>
      <w:r w:rsidDel="00000000" w:rsidR="00000000" w:rsidRPr="00000000">
        <w:rPr>
          <w:rtl w:val="0"/>
        </w:rPr>
        <w:t xml:space="preserve">Auditoría de riesgos de LafroX: aplicación de las cuatro reglas</w:t>
      </w:r>
    </w:p>
    <w:p w:rsidR="00000000" w:rsidDel="00000000" w:rsidP="00000000" w:rsidRDefault="00000000" w:rsidRPr="00000000" w14:paraId="00000002">
      <w:pPr>
        <w:rPr/>
      </w:pPr>
      <w:r w:rsidDel="00000000" w:rsidR="00000000" w:rsidRPr="00000000">
        <w:rPr>
          <w:b w:val="1"/>
          <w:bCs w:val="1"/>
          <w:rtl w:val="0"/>
        </w:rPr>
        <w:t xml:space="preserve">Fecha:</w:t>
      </w:r>
      <w:r w:rsidDel="00000000" w:rsidR="00000000" w:rsidRPr="00000000">
        <w:rPr>
          <w:rtl w:val="0"/>
        </w:rPr>
        <w:t xml:space="preserve"> 24 de octubre de 2026.</w:t>
        <w:br w:type="textWrapping"/>
      </w:r>
      <w:r w:rsidDel="00000000" w:rsidR="00000000" w:rsidRPr="00000000">
        <w:rPr>
          <w:b w:val="1"/>
          <w:bCs w:val="1"/>
          <w:rtl w:val="0"/>
        </w:rPr>
        <w:t xml:space="preserve">Universo:</w:t>
      </w:r>
      <w:r w:rsidDel="00000000" w:rsidR="00000000" w:rsidRPr="00000000">
        <w:rPr>
          <w:rtl w:val="0"/>
        </w:rPr>
        <w:t xml:space="preserve"> 66 enunciados originales REC-001 a REC-066.</w:t>
        <w:br w:type="textWrapping"/>
      </w:r>
      <w:r w:rsidDel="00000000" w:rsidR="00000000" w:rsidRPr="00000000">
        <w:rPr>
          <w:b w:val="1"/>
          <w:bCs w:val="1"/>
          <w:rtl w:val="0"/>
        </w:rPr>
        <w:t xml:space="preserve">Resultado:</w:t>
      </w:r>
      <w:r w:rsidDel="00000000" w:rsidR="00000000" w:rsidRPr="00000000">
        <w:rPr>
          <w:rtl w:val="0"/>
        </w:rPr>
        <w:t xml:space="preserve"> 33 riesgos conservados y precisados; 33 entradas excluidas de esta selección.</w:t>
      </w:r>
    </w:p>
    <w:p w:rsidR="00000000" w:rsidDel="00000000" w:rsidP="00000000" w:rsidRDefault="00000000" w:rsidRPr="00000000" w14:paraId="00000003">
      <w:pPr>
        <w:pStyle w:val="Heading2"/>
        <w:rPr/>
      </w:pPr>
      <w:bookmarkStart w:colFirst="0" w:colLast="0" w:name="_6ehbblurixrh" w:id="1"/>
      <w:bookmarkEnd w:id="1"/>
      <w:r w:rsidDel="00000000" w:rsidR="00000000" w:rsidRPr="00000000">
        <w:rPr>
          <w:rtl w:val="0"/>
        </w:rPr>
        <w:t xml:space="preserve">Resultado y alcance de la auditoría</w:t>
      </w:r>
    </w:p>
    <w:p w:rsidR="00000000" w:rsidDel="00000000" w:rsidP="00000000" w:rsidRDefault="00000000" w:rsidRPr="00000000" w14:paraId="00000004">
      <w:pPr>
        <w:rPr/>
      </w:pPr>
      <w:r w:rsidDel="00000000" w:rsidR="00000000" w:rsidRPr="00000000">
        <w:rPr>
          <w:rtl w:val="0"/>
        </w:rPr>
        <w:t xml:space="preserve">Esta revisión responde a las cuatro reglas solicitadas: proteger la integridad empresarial ante la contraparte técnica; conservar únicamente eventos con afectación concreta a LafroX; retirar dudas sobre decisiones o condiciones de oferta ya fijadas; y aclarar la situación, el evento y la consecuencia de los enunciados ambiguos.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Se recuperaron los 66 enunciados de la </w:t>
      </w:r>
      <w:r w:rsidDel="00000000" w:rsidR="00000000" w:rsidRPr="00000000">
        <w:rPr>
          <w:rtl w:val="0"/>
        </w:rPr>
        <w:t xml:space="preserve">copia del inventario original</w:t>
      </w:r>
      <w:r w:rsidDel="00000000" w:rsidR="00000000" w:rsidRPr="00000000">
        <w:rPr>
          <w:rtl w:val="0"/>
        </w:rPr>
        <w:t xml:space="preserve">. El archivo homónimo de esta carpeta ya contiene una depuración posterior por </w:t>
      </w:r>
      <w:r w:rsidDel="00000000" w:rsidR="00000000" w:rsidRPr="00000000">
        <w:rPr>
          <w:b w:val="1"/>
          <w:bCs w:val="1"/>
          <w:rtl w:val="0"/>
        </w:rPr>
        <w:t xml:space="preserve">novedad</w:t>
      </w:r>
      <w:r w:rsidDel="00000000" w:rsidR="00000000" w:rsidRPr="00000000">
        <w:rPr>
          <w:rtl w:val="0"/>
        </w:rPr>
        <w:t xml:space="preserve"> con resultado de cero entradas. Esta auditoría se guarda separadamente y no reemplaza ese trabajo ni los otros informes existentes. Aquí se evalúa la admisibilidad bajo las cuatro reglas actuales, no si un evento ya figuraba en el T-16.</w:t>
      </w:r>
    </w:p>
    <w:p w:rsidR="00000000" w:rsidDel="00000000" w:rsidP="00000000" w:rsidRDefault="00000000" w:rsidRPr="00000000" w14:paraId="00000007">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Resultado por motivo principal, sin doble conteo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right"/>
              <w:rPr>
                <w:b w:val="1"/>
                <w:bCs w:val="1"/>
              </w:rPr>
            </w:pPr>
            <w:r w:rsidDel="00000000" w:rsidR="00000000" w:rsidRPr="00000000">
              <w:rPr>
                <w:b w:val="1"/>
                <w:bCs w:val="1"/>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Conservados con redacción precisada y afectación explícita a LafroX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right"/>
              <w:rPr/>
            </w:pPr>
            <w:r w:rsidDel="00000000" w:rsidR="00000000" w:rsidRPr="00000000">
              <w:rPr>
                <w:rtl w:val="0"/>
              </w:rPr>
              <w:t xml:space="preserve">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Excluidos por afectación limitada al cliente en el enunciado evaluado — regla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right"/>
              <w:rPr/>
            </w:pPr>
            <w:r w:rsidDel="00000000" w:rsidR="00000000" w:rsidRPr="00000000">
              <w:rPr>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Excluidos por decisión, alcance, supuesto o procedimiento ya declarado, sin evento adverso adicional suficientemente delimitado — regla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righ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Excluidos exclusivamente por admisión de incapacidad empresarial — regla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b w:val="1"/>
                <w:bCs w:val="1"/>
                <w:rtl w:val="0"/>
              </w:rPr>
              <w:t xml:space="preserve">Total de originales evaluados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right"/>
              <w:rPr/>
            </w:pPr>
            <w:r w:rsidDel="00000000" w:rsidR="00000000" w:rsidRPr="00000000">
              <w:rPr>
                <w:b w:val="1"/>
                <w:bCs w:val="1"/>
                <w:rtl w:val="0"/>
              </w:rPr>
              <w:t xml:space="preserve">66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La regla de integridad se comprobó también en los conservados: sus descripciones no afirman insuficiencia de dotación, insolvencia, defectos comprobados ni facultad de relajar compromisos. Reconocer una amenaza externa o una acción hostil no se tomó, por sí solo, como admisión de incapacidad empresarial. No se fuerza un descarte por cada regla para completar una cuota.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Las exclusiones se aplican a esta lista de riesgos: no borran obligaciones, hechos, consultas ni dependencias del proyecto. Las entradas descartadas no se enumeran ni se describen. Ninguna consulta pendiente se declara respondida por excluir una formulación de este inventario.</w:t>
      </w:r>
    </w:p>
    <w:p w:rsidR="00000000" w:rsidDel="00000000" w:rsidP="00000000" w:rsidRDefault="00000000" w:rsidRPr="00000000" w14:paraId="00000018">
      <w:pPr>
        <w:pStyle w:val="Heading2"/>
        <w:rPr/>
      </w:pPr>
      <w:bookmarkStart w:colFirst="0" w:colLast="0" w:name="_22kqlng51iqz" w:id="2"/>
      <w:bookmarkEnd w:id="2"/>
      <w:r w:rsidDel="00000000" w:rsidR="00000000" w:rsidRPr="00000000">
        <w:rPr>
          <w:rtl w:val="0"/>
        </w:rPr>
        <w:t xml:space="preserve">Cómo se aplicaron las reglas</w:t>
      </w:r>
    </w:p>
    <w:p w:rsidR="00000000" w:rsidDel="00000000" w:rsidP="00000000" w:rsidRDefault="00000000" w:rsidRPr="00000000" w14:paraId="00000019">
      <w:pPr>
        <w:numPr>
          <w:ilvl w:val="0"/>
          <w:numId w:val="2"/>
        </w:numPr>
        <w:ind w:left="720" w:hanging="360"/>
      </w:pPr>
      <w:r w:rsidDel="00000000" w:rsidR="00000000" w:rsidRPr="00000000">
        <w:rPr>
          <w:b w:val="1"/>
          <w:bCs w:val="1"/>
          <w:rtl w:val="0"/>
        </w:rPr>
        <w:t xml:space="preserve">Regla 1 — integridad empresarial:</w:t>
      </w:r>
      <w:r w:rsidDel="00000000" w:rsidR="00000000" w:rsidRPr="00000000">
        <w:rPr>
          <w:rtl w:val="0"/>
        </w:rPr>
        <w:t xml:space="preserve"> retirar formulaciones que admitan incapacidad para sostener la oferta o presenten como opcional un compromiso obligatorio. En los conservados se mantiene el alcance exigido, sin trasladar automáticamente a terceros la responsabilidad de LafroX.</w:t>
      </w:r>
    </w:p>
    <w:p w:rsidR="00000000" w:rsidDel="00000000" w:rsidP="00000000" w:rsidRDefault="00000000" w:rsidRPr="00000000" w14:paraId="0000001A">
      <w:pPr>
        <w:numPr>
          <w:ilvl w:val="0"/>
          <w:numId w:val="2"/>
        </w:numPr>
        <w:ind w:left="720" w:hanging="360"/>
      </w:pPr>
      <w:r w:rsidDel="00000000" w:rsidR="00000000" w:rsidRPr="00000000">
        <w:rPr>
          <w:b w:val="1"/>
          <w:bCs w:val="1"/>
          <w:rtl w:val="0"/>
        </w:rPr>
        <w:t xml:space="preserve">Regla 2 — competencia de LafroX:</w:t>
      </w:r>
      <w:r w:rsidDel="00000000" w:rsidR="00000000" w:rsidRPr="00000000">
        <w:rPr>
          <w:rtl w:val="0"/>
        </w:rPr>
        <w:t xml:space="preserve"> exigir una cadena identificable entre evento y trabajo de integración, migración, implantación, certificación, aceptación, soporte o seguridad de LafroX. No basta mencionar una pérdida comercial, física o financiera del cliente.</w:t>
      </w:r>
    </w:p>
    <w:p w:rsidR="00000000" w:rsidDel="00000000" w:rsidP="00000000" w:rsidRDefault="00000000" w:rsidRPr="00000000" w14:paraId="0000001B">
      <w:pPr>
        <w:numPr>
          <w:ilvl w:val="0"/>
          <w:numId w:val="2"/>
        </w:numPr>
        <w:ind w:left="720" w:hanging="360"/>
      </w:pPr>
      <w:r w:rsidDel="00000000" w:rsidR="00000000" w:rsidRPr="00000000">
        <w:rPr>
          <w:b w:val="1"/>
          <w:bCs w:val="1"/>
          <w:rtl w:val="0"/>
        </w:rPr>
        <w:t xml:space="preserve">Regla 3 — decisiones ya definidas:</w:t>
      </w:r>
      <w:r w:rsidDel="00000000" w:rsidR="00000000" w:rsidRPr="00000000">
        <w:rPr>
          <w:rtl w:val="0"/>
        </w:rPr>
        <w:t xml:space="preserve"> no volver a presentar como abiertas las decisiones adoptadas en SD2/SD3, ni convertir el levantamiento normal o una condición ya declarada en una amenaza adicional sin precisar un evento adverso. Una aprobación o un dato de entrada cuya disponibilidad sigue pendiente no se considera obtenido solo porque exista un supuesto o una respuesta prevista.</w:t>
      </w:r>
    </w:p>
    <w:p w:rsidR="00000000" w:rsidDel="00000000" w:rsidP="00000000" w:rsidRDefault="00000000" w:rsidRPr="00000000" w14:paraId="0000001C">
      <w:pPr>
        <w:numPr>
          <w:ilvl w:val="0"/>
          <w:numId w:val="2"/>
        </w:numPr>
        <w:ind w:left="720" w:hanging="360"/>
      </w:pPr>
      <w:r w:rsidDel="00000000" w:rsidR="00000000" w:rsidRPr="00000000">
        <w:rPr>
          <w:b w:val="1"/>
          <w:bCs w:val="1"/>
          <w:rtl w:val="0"/>
        </w:rPr>
        <w:t xml:space="preserve">Regla 4 — claridad:</w:t>
      </w:r>
      <w:r w:rsidDel="00000000" w:rsidR="00000000" w:rsidRPr="00000000">
        <w:rPr>
          <w:rtl w:val="0"/>
        </w:rPr>
        <w:t xml:space="preserve"> precisar en cada entrada conservada el momento o proceso, el evento observable y la afectación a LafroX. No se agregan incidentes ocurridos, probabilidades, pérdidas monetarias ni exenciones contractuales.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 contrastaron las decisiones, supuestos, exclusiones, restricciones, reglas y consultas de SD2/SD3 con los mecanismos concretos de SD4–SD7. El contraste dirigido comprende 91 páginas de evidencia; no constituye una nueva auditoría de todas las obligaciones del expediente. Las formulaciones y clasificaciones son conclusiones de esta revisión, no aceptaciones de la contraparte ni resultados de pruebas ejecutadas.</w:t>
      </w:r>
    </w:p>
    <w:p w:rsidR="00000000" w:rsidDel="00000000" w:rsidP="00000000" w:rsidRDefault="00000000" w:rsidRPr="00000000" w14:paraId="0000001F">
      <w:pPr>
        <w:pStyle w:val="Heading2"/>
        <w:rPr/>
      </w:pPr>
      <w:bookmarkStart w:colFirst="0" w:colLast="0" w:name="_ek9xzcg59u81" w:id="3"/>
      <w:bookmarkEnd w:id="3"/>
      <w:r w:rsidDel="00000000" w:rsidR="00000000" w:rsidRPr="00000000">
        <w:rPr>
          <w:rtl w:val="0"/>
        </w:rPr>
        <w:t xml:space="preserve">Lista de riesgos conservados</w:t>
      </w:r>
    </w:p>
    <w:p w:rsidR="00000000" w:rsidDel="00000000" w:rsidP="00000000" w:rsidRDefault="00000000" w:rsidRPr="00000000" w14:paraId="00000020">
      <w:pPr>
        <w:rPr/>
      </w:pPr>
      <w:r w:rsidDel="00000000" w:rsidR="00000000" w:rsidRPr="00000000">
        <w:rPr>
          <w:rtl w:val="0"/>
        </w:rPr>
        <w:t xml:space="preserve">Se conservan los códigos originales, con saltos donde hubo exclusiones. No se renumeran ni se equiparan automáticamente con el registro de SD8. Cada riesgo mantiene una sola rama principal de la RBS existente.</w:t>
      </w:r>
    </w:p>
    <w:p w:rsidR="00000000" w:rsidDel="00000000" w:rsidP="00000000" w:rsidRDefault="00000000" w:rsidRPr="00000000" w14:paraId="0000002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rPr>
                <w:b w:val="1"/>
                <w:bCs w:val="1"/>
              </w:rPr>
            </w:pPr>
            <w:r w:rsidDel="00000000" w:rsidR="00000000" w:rsidRPr="00000000">
              <w:rPr>
                <w:b w:val="1"/>
                <w:bCs w:val="1"/>
                <w:rtl w:val="0"/>
              </w:rPr>
              <w:t xml:space="preserve">Código original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rPr>
                <w:b w:val="1"/>
                <w:bCs w:val="1"/>
              </w:rPr>
            </w:pPr>
            <w:r w:rsidDel="00000000" w:rsidR="00000000" w:rsidRPr="00000000">
              <w:rPr>
                <w:b w:val="1"/>
                <w:bCs w:val="1"/>
                <w:rtl w:val="0"/>
              </w:rPr>
              <w:t xml:space="preserve">Nombre auditado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b w:val="1"/>
                <w:bCs w:val="1"/>
              </w:rPr>
            </w:pPr>
            <w:r w:rsidDel="00000000" w:rsidR="00000000" w:rsidRPr="00000000">
              <w:rPr>
                <w:b w:val="1"/>
                <w:bCs w:val="1"/>
                <w:rtl w:val="0"/>
              </w:rPr>
              <w:t xml:space="preserve">Rama RBS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REC-001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Interfaz del ERP no utilizable al construir la integración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REC-002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Proveedor de telemetría no habilita el acceso necesario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REC-003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Cadena comercial no completa oportunamente su certificación EDI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REC-004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Defectos de historia sanitaria de origen impiden cerrar una carga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REC-005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Historia de ventas no utilizable para la carga y reposición previstas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REC-006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Diferencias de inventario sin resolver antes del corte de migración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REC-007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Saldo inicial de envases no conciliable al preparar la carga de M8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REC-008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Historia de origen insuficiente para sustentar las líneas base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REC-009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Deuda viva adicional a la cartera incluida en la volumetría provisional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REC-011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ERP legado indisponible cuando se requiere emitir una guía nueva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REC-012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SII sin respuesta durante un intercambio tributario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REC-013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POS deja un pago sin resultado externo comprobable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REC-014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Proveedor de avisos no disponible durante un envío operacional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REC-015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Proveedor GIS rechaza consultas por su límite de cuota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REC-027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Calidad no entrega la matriz térmica aprobada antes de certificar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REC-034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Equipos que compra el cliente no llegan antes de la ola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REC-035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Transportista no firma su acuerdo antes de la ola de reparto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REC-036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Transportista impide instalar el termógrafo antes de incorporar su ruta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REC-039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Usuarios mantienen el proceso anterior en lugar de registrar en la solución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REC-041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Planificador deja de estar disponible antes de validar sus excepciones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REC-042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Usuarios no disponibles en las sesiones acordadas de certificación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Personas y adopción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REC-043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Contraparte no entrega una validación necesaria en la fecha prevista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REC-048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Proveedor de conectividad interrumpe el enlace de un sitio operado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REC-049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Corte eléctrico prolongado en infraestructura mantenida por LafroX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REC-050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Región primaria de nube queda indisponible durante el servicio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REC-057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Aprobación de residencia requerida no disponible al habilitar el entorno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Regulatorio y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REC-058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Cliente no autoriza la intervención urgente necesaria durante un congelamiento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Operación del cliente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REC-061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Uso de credencial ajena contra pedidos o accesos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REC-062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Mensaje EDI con contraparte falsa o contenido alterado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REC-063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Telemetría entrega posiciones falsas o antiguas como información actual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Integración y legado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REC-064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Terminal enrolado se pierde o queda en poder de otra persona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REC-065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Ráfagas abusivas dirigidas a los canales públicos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Solución y tecnología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REC-066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Atacante utiliza una cuenta administrativa comprometida contra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Solución y tecnología</w:t>
            </w:r>
          </w:p>
        </w:tc>
      </w:tr>
    </w:tbl>
    <w:p w:rsidR="00000000" w:rsidDel="00000000" w:rsidP="00000000" w:rsidRDefault="00000000" w:rsidRPr="00000000" w14:paraId="00000088">
      <w:pPr>
        <w:pStyle w:val="Heading2"/>
        <w:rPr/>
      </w:pPr>
      <w:bookmarkStart w:colFirst="0" w:colLast="0" w:name="_2o2okxdkvq6z" w:id="4"/>
      <w:bookmarkEnd w:id="4"/>
      <w:r w:rsidDel="00000000" w:rsidR="00000000" w:rsidRPr="00000000">
        <w:rPr>
          <w:rtl w:val="0"/>
        </w:rPr>
        <w:t xml:space="preserve">Descripciones auditadas y fundamento de conservación</w:t>
      </w:r>
    </w:p>
    <w:p w:rsidR="00000000" w:rsidDel="00000000" w:rsidP="00000000" w:rsidRDefault="00000000" w:rsidRPr="00000000" w14:paraId="00000089">
      <w:pPr>
        <w:pStyle w:val="Heading3"/>
        <w:rPr/>
      </w:pPr>
      <w:bookmarkStart w:colFirst="0" w:colLast="0" w:name="_ri1pjfllq2is" w:id="5"/>
      <w:bookmarkEnd w:id="5"/>
      <w:r w:rsidDel="00000000" w:rsidR="00000000" w:rsidRPr="00000000">
        <w:rPr>
          <w:rtl w:val="0"/>
        </w:rPr>
        <w:t xml:space="preserve">REC-001 — Interfaz del ERP no utilizable al construir la integración</w:t>
      </w:r>
    </w:p>
    <w:p w:rsidR="00000000" w:rsidDel="00000000" w:rsidP="00000000" w:rsidRDefault="00000000" w:rsidRPr="00000000" w14:paraId="0000008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[Causa]</w:t>
      </w:r>
      <w:r w:rsidDel="00000000" w:rsidR="00000000" w:rsidRPr="00000000">
        <w:rPr>
          <w:rtl w:val="0"/>
        </w:rPr>
        <w:t xml:space="preserve"> Las interfaces del ERP no están documentadas y la integración debe realizarse sin modificar ese sistema.</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levantamiento y la prueba de intercambio con el ERP, la interfaz disponible podría no permitir las operaciones requeridas sin modificar ese sistema.</w:t>
        <w:br w:type="textWrapping"/>
      </w:r>
      <w:r w:rsidDel="00000000" w:rsidR="00000000" w:rsidRPr="00000000">
        <w:rPr>
          <w:b w:val="1"/>
          <w:bCs w:val="1"/>
          <w:rtl w:val="0"/>
        </w:rPr>
        <w:t xml:space="preserve">[Efecto o impacto en el proyecto]</w:t>
      </w:r>
      <w:r w:rsidDel="00000000" w:rsidR="00000000" w:rsidRPr="00000000">
        <w:rPr>
          <w:rtl w:val="0"/>
        </w:rPr>
        <w:t xml:space="preserve"> Esto obligaría a LafroX a rehacer el mecanismo de integración y repetir sus pruebas, comprometiendo el avance de los entregables dependientes.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Por qué compete a LafroX:</w:t>
      </w:r>
      <w:r w:rsidDel="00000000" w:rsidR="00000000" w:rsidRPr="00000000">
        <w:rPr>
          <w:rtl w:val="0"/>
        </w:rPr>
        <w:t xml:space="preserve"> LafroX construye y certifica la integración; asume el retrabajo técnico y la repetición de pruebas.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Contraste con lo ya definido:</w:t>
      </w:r>
      <w:r w:rsidDel="00000000" w:rsidR="00000000" w:rsidRPr="00000000">
        <w:rPr>
          <w:rtl w:val="0"/>
        </w:rPr>
        <w:t xml:space="preserve"> S-18 ya fija integrar sin modificar el ERP. Lo no comprobado es la capacidad real de la interfaz, no la decisión sobre reemplazar o modificar el sistema.</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bCs w:val="1"/>
          <w:rtl w:val="0"/>
        </w:rPr>
        <w:t xml:space="preserve">Fuentes:</w:t>
      </w:r>
      <w:r w:rsidDel="00000000" w:rsidR="00000000" w:rsidRPr="00000000">
        <w:rPr>
          <w:rtl w:val="0"/>
        </w:rPr>
        <w:t xml:space="preserve"> </w:t>
      </w:r>
      <w:hyperlink r:id="rId6">
        <w:r w:rsidDel="00000000" w:rsidR="00000000" w:rsidRPr="00000000">
          <w:rPr>
            <w:color w:val="1155cc"/>
            <w:u w:val="single"/>
            <w:rtl w:val="0"/>
          </w:rPr>
          <w:t xml:space="preserve">SD3, anexos, p. 121: S-18</w:t>
        </w:r>
      </w:hyperlink>
      <w:r w:rsidDel="00000000" w:rsidR="00000000" w:rsidRPr="00000000">
        <w:rPr>
          <w:rtl w:val="0"/>
        </w:rPr>
        <w:t xml:space="preserve">; </w:t>
      </w:r>
      <w:hyperlink r:id="rId7">
        <w:r w:rsidDel="00000000" w:rsidR="00000000" w:rsidRPr="00000000">
          <w:rPr>
            <w:color w:val="1155cc"/>
            <w:u w:val="single"/>
            <w:rtl w:val="0"/>
          </w:rPr>
          <w:t xml:space="preserve">SD3, anexos, p. 149: V-16</w:t>
        </w:r>
      </w:hyperlink>
      <w:r w:rsidDel="00000000" w:rsidR="00000000" w:rsidRPr="00000000">
        <w:rPr>
          <w:rtl w:val="0"/>
        </w:rPr>
        <w:t xml:space="preserve">; </w:t>
      </w:r>
      <w:hyperlink r:id="rId8">
        <w:r w:rsidDel="00000000" w:rsidR="00000000" w:rsidRPr="00000000">
          <w:rPr>
            <w:color w:val="1155cc"/>
            <w:u w:val="single"/>
            <w:rtl w:val="0"/>
          </w:rPr>
          <w:t xml:space="preserve">SD4, p. 9: §4.1.2</w:t>
        </w:r>
      </w:hyperlink>
      <w:r w:rsidDel="00000000" w:rsidR="00000000" w:rsidRPr="00000000">
        <w:rPr>
          <w:rtl w:val="0"/>
        </w:rPr>
        <w:t xml:space="preserve">.</w:t>
      </w:r>
    </w:p>
    <w:p w:rsidR="00000000" w:rsidDel="00000000" w:rsidP="00000000" w:rsidRDefault="00000000" w:rsidRPr="00000000" w14:paraId="00000095">
      <w:pPr>
        <w:pStyle w:val="Heading3"/>
        <w:rPr/>
      </w:pPr>
      <w:bookmarkStart w:colFirst="0" w:colLast="0" w:name="_1sp0z3s5crg8" w:id="6"/>
      <w:bookmarkEnd w:id="6"/>
      <w:r w:rsidDel="00000000" w:rsidR="00000000" w:rsidRPr="00000000">
        <w:rPr>
          <w:rtl w:val="0"/>
        </w:rPr>
        <w:t xml:space="preserve">REC-002 — Proveedor de telemetría no habilita el acceso necesario</w:t>
      </w:r>
    </w:p>
    <w:p w:rsidR="00000000" w:rsidDel="00000000" w:rsidP="00000000" w:rsidRDefault="00000000" w:rsidRPr="00000000" w14:paraId="0000009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[Causa]</w:t>
      </w:r>
      <w:r w:rsidDel="00000000" w:rsidR="00000000" w:rsidRPr="00000000">
        <w:rPr>
          <w:rtl w:val="0"/>
        </w:rPr>
        <w:t xml:space="preserve"> La integración de la flota propia depende de que el proveedor actual habilite el acceso a posición, velocidad y kilometraje en las condiciones requeridas.</w:t>
        <w:br w:type="textWrapping"/>
      </w:r>
      <w:r w:rsidDel="00000000" w:rsidR="00000000" w:rsidRPr="00000000">
        <w:rPr>
          <w:b w:val="1"/>
          <w:bCs w:val="1"/>
          <w:rtl w:val="0"/>
        </w:rPr>
        <w:t xml:space="preserve">[Evento de riesgo / Incertidumbre]</w:t>
      </w:r>
      <w:r w:rsidDel="00000000" w:rsidR="00000000" w:rsidRPr="00000000">
        <w:rPr>
          <w:rtl w:val="0"/>
        </w:rPr>
        <w:t xml:space="preserve"> Al habilitar la integración de la flota propia, el proveedor actual podría negar el acceso a posición, velocidad o kilometraje en las condiciones necesarias para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acordar una alternativa autorizada de igual cobertura e integrarla y probarla, afectando el esfuerzo y la secuencia de habilitación de M12.</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Por qué compete a LafroX:</w:t>
      </w:r>
      <w:r w:rsidDel="00000000" w:rsidR="00000000" w:rsidRPr="00000000">
        <w:rPr>
          <w:rtl w:val="0"/>
        </w:rPr>
        <w:t xml:space="preserve"> LafroX debe entregar M12 integrado, con la cobertura comprometida; no se trata solo del derecho del cliente a consultar sus datos.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Contraste con lo ya definido:</w:t>
      </w:r>
      <w:r w:rsidDel="00000000" w:rsidR="00000000" w:rsidRPr="00000000">
        <w:rPr>
          <w:rtl w:val="0"/>
        </w:rPr>
        <w:t xml:space="preserve"> S-19 define la cobertura y contempla una alternativa, pero no acredita que el tercero haya habilitado el acceso. La alternativa no permite reducir RF-14.01.</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122: S-19</w:t>
      </w:r>
      <w:r w:rsidDel="00000000" w:rsidR="00000000" w:rsidRPr="00000000">
        <w:rPr>
          <w:rtl w:val="0"/>
        </w:rPr>
        <w:t xml:space="preserve">; </w:t>
      </w:r>
      <w:r w:rsidDel="00000000" w:rsidR="00000000" w:rsidRPr="00000000">
        <w:rPr>
          <w:rtl w:val="0"/>
        </w:rPr>
        <w:t xml:space="preserve">SD3, anexos, p. 149: V-15</w:t>
      </w:r>
      <w:r w:rsidDel="00000000" w:rsidR="00000000" w:rsidRPr="00000000">
        <w:rPr>
          <w:rtl w:val="0"/>
        </w:rPr>
        <w:t xml:space="preserve">.</w:t>
      </w:r>
    </w:p>
    <w:p w:rsidR="00000000" w:rsidDel="00000000" w:rsidP="00000000" w:rsidRDefault="00000000" w:rsidRPr="00000000" w14:paraId="000000A1">
      <w:pPr>
        <w:pStyle w:val="Heading3"/>
        <w:rPr/>
      </w:pPr>
      <w:bookmarkStart w:colFirst="0" w:colLast="0" w:name="_r2fxim83svo0" w:id="7"/>
      <w:bookmarkEnd w:id="7"/>
      <w:r w:rsidDel="00000000" w:rsidR="00000000" w:rsidRPr="00000000">
        <w:rPr>
          <w:rtl w:val="0"/>
        </w:rPr>
        <w:t xml:space="preserve">REC-003 — Cadena comercial no completa oportunamente su certificación EDI</w:t>
      </w:r>
    </w:p>
    <w:p w:rsidR="00000000" w:rsidDel="00000000" w:rsidP="00000000" w:rsidRDefault="00000000" w:rsidRPr="00000000" w14:paraId="000000A2">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[Causa]</w:t>
      </w:r>
      <w:r w:rsidDel="00000000" w:rsidR="00000000" w:rsidRPr="00000000">
        <w:rPr>
          <w:rtl w:val="0"/>
        </w:rPr>
        <w:t xml:space="preserve"> La habilitación EDI de cada cadena depende de su participación y certificación externa, necesarias antes del período final de evidencia de E2.</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integración con una cadena incluida en el alcance, su participación o certificación externa podría no concretarse antes de la activación necesaria para las cuatro semanas finales de marcha blanca de E2.</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acreditar completo el intercambio electrónico exigido para el cierre de esa etapa y tendría que reprogramar pruebas y coordinación.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Por qué compete a LafroX:</w:t>
      </w:r>
      <w:r w:rsidDel="00000000" w:rsidR="00000000" w:rsidRPr="00000000">
        <w:rPr>
          <w:rtl w:val="0"/>
        </w:rPr>
        <w:t xml:space="preserve"> Afecta la certificación y aceptación de la entrega de LafroX, no solamente las ventas de Puelche.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Contraste con lo ya definido:</w:t>
      </w:r>
      <w:r w:rsidDel="00000000" w:rsidR="00000000" w:rsidRPr="00000000">
        <w:rPr>
          <w:rtl w:val="0"/>
        </w:rPr>
        <w:t xml:space="preserve"> El alcance EDI y la certificación por cadena están definidos. La amenaza es la demora efectiva del tercero; la carga manual no satisface el resultado ni permite retirar una cadena del alcance.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Fuentes:</w:t>
      </w:r>
      <w:r w:rsidDel="00000000" w:rsidR="00000000" w:rsidRPr="00000000">
        <w:rPr>
          <w:rtl w:val="0"/>
        </w:rPr>
        <w:t xml:space="preserve"> </w:t>
      </w:r>
      <w:hyperlink r:id="rId9">
        <w:r w:rsidDel="00000000" w:rsidR="00000000" w:rsidRPr="00000000">
          <w:rPr>
            <w:color w:val="1155cc"/>
            <w:u w:val="single"/>
            <w:rtl w:val="0"/>
          </w:rPr>
          <w:t xml:space="preserve">SD3, anexos, p. 154: Canal moderno</w:t>
        </w:r>
      </w:hyperlink>
      <w:r w:rsidDel="00000000" w:rsidR="00000000" w:rsidRPr="00000000">
        <w:rPr>
          <w:rtl w:val="0"/>
        </w:rPr>
        <w:t xml:space="preserve">; </w:t>
      </w:r>
      <w:hyperlink r:id="rId10">
        <w:r w:rsidDel="00000000" w:rsidR="00000000" w:rsidRPr="00000000">
          <w:rPr>
            <w:color w:val="1155cc"/>
            <w:u w:val="single"/>
            <w:rtl w:val="0"/>
          </w:rPr>
          <w:t xml:space="preserve">T-18, p. 14: §7.3.1</w:t>
        </w:r>
      </w:hyperlink>
      <w:r w:rsidDel="00000000" w:rsidR="00000000" w:rsidRPr="00000000">
        <w:rPr>
          <w:rtl w:val="0"/>
        </w:rPr>
        <w:t xml:space="preserve">; </w:t>
      </w:r>
      <w:hyperlink r:id="rId11">
        <w:r w:rsidDel="00000000" w:rsidR="00000000" w:rsidRPr="00000000">
          <w:rPr>
            <w:color w:val="1155cc"/>
            <w:u w:val="single"/>
            <w:rtl w:val="0"/>
          </w:rPr>
          <w:t xml:space="preserve">T-18, p. 15: Tabla 7.7</w:t>
        </w:r>
      </w:hyperlink>
      <w:r w:rsidDel="00000000" w:rsidR="00000000" w:rsidRPr="00000000">
        <w:rPr>
          <w:rtl w:val="0"/>
        </w:rPr>
        <w:t xml:space="preserve">.</w:t>
      </w:r>
    </w:p>
    <w:p w:rsidR="00000000" w:rsidDel="00000000" w:rsidP="00000000" w:rsidRDefault="00000000" w:rsidRPr="00000000" w14:paraId="000000AD">
      <w:pPr>
        <w:pStyle w:val="Heading3"/>
        <w:rPr/>
      </w:pPr>
      <w:bookmarkStart w:colFirst="0" w:colLast="0" w:name="_dky0hlehupjj" w:id="8"/>
      <w:bookmarkEnd w:id="8"/>
      <w:r w:rsidDel="00000000" w:rsidR="00000000" w:rsidRPr="00000000">
        <w:rPr>
          <w:rtl w:val="0"/>
        </w:rPr>
        <w:t xml:space="preserve">REC-004 — Defectos de historia sanitaria de origen impiden cerrar una carga</w:t>
      </w:r>
    </w:p>
    <w:p w:rsidR="00000000" w:rsidDel="00000000" w:rsidP="00000000" w:rsidRDefault="00000000" w:rsidRPr="00000000" w14:paraId="000000A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[Causa]</w:t>
      </w:r>
      <w:r w:rsidDel="00000000" w:rsidR="00000000" w:rsidRPr="00000000">
        <w:rPr>
          <w:rtl w:val="0"/>
        </w:rPr>
        <w:t xml:space="preserve"> La migración sanitaria utiliza antecedentes del ERP, WMS y planillas cuya completitud y vinculación histórica deben comprobarse con evidencia de origen.</w:t>
        <w:br w:type="textWrapping"/>
      </w:r>
      <w:r w:rsidDel="00000000" w:rsidR="00000000" w:rsidRPr="00000000">
        <w:rPr>
          <w:b w:val="1"/>
          <w:bCs w:val="1"/>
          <w:rtl w:val="0"/>
        </w:rPr>
        <w:t xml:space="preserve">[Evento de riesgo / Incertidumbre]</w:t>
      </w:r>
      <w:r w:rsidDel="00000000" w:rsidR="00000000" w:rsidRPr="00000000">
        <w:rPr>
          <w:rtl w:val="0"/>
        </w:rPr>
        <w:t xml:space="preserve"> Al preparar una carga de historia sanitaria del ERP, WMS o planillas, los datos recibidos podrían contener faltantes de lote o vínculos históricos que no sea posible resolver con evidencia de origen.</w:t>
        <w:br w:type="textWrapping"/>
      </w:r>
      <w:r w:rsidDel="00000000" w:rsidR="00000000" w:rsidRPr="00000000">
        <w:rPr>
          <w:b w:val="1"/>
          <w:bCs w:val="1"/>
          <w:rtl w:val="0"/>
        </w:rPr>
        <w:t xml:space="preserve">[Efecto o impacto en el proyecto]</w:t>
      </w:r>
      <w:r w:rsidDel="00000000" w:rsidR="00000000" w:rsidRPr="00000000">
        <w:rPr>
          <w:rtl w:val="0"/>
        </w:rPr>
        <w:t xml:space="preserve"> Los conjuntos afectados quedarían pendientes de decisión documentada y conciliación, añadiendo trabajo de saneamiento a LafroX y condicionando la aceptación de esa carga.</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Por qué compete a LafroX:</w:t>
      </w:r>
      <w:r w:rsidDel="00000000" w:rsidR="00000000" w:rsidRPr="00000000">
        <w:rPr>
          <w:rtl w:val="0"/>
        </w:rPr>
        <w:t xml:space="preserve"> El saneamiento, la trazabilidad de lo migrado y la evidencia de aceptación son entregables del equipo de datos de LafroX.</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b w:val="1"/>
          <w:bCs w:val="1"/>
          <w:rtl w:val="0"/>
        </w:rPr>
        <w:t xml:space="preserve">Contraste con lo ya definido:</w:t>
      </w:r>
      <w:r w:rsidDel="00000000" w:rsidR="00000000" w:rsidRPr="00000000">
        <w:rPr>
          <w:rtl w:val="0"/>
        </w:rPr>
        <w:t xml:space="preserve"> Están definidos la unidad de trazabilidad, el perfilado y la prohibición de inventar hechos. No está acreditada la disponibilidad efectiva de toda la historia; la ausencia ya conocida se trata como antecedente, no como incidente futuro.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Fuentes:</w:t>
      </w:r>
      <w:r w:rsidDel="00000000" w:rsidR="00000000" w:rsidRPr="00000000">
        <w:rPr>
          <w:rtl w:val="0"/>
        </w:rPr>
        <w:t xml:space="preserve"> </w:t>
      </w:r>
      <w:hyperlink r:id="rId12">
        <w:r w:rsidDel="00000000" w:rsidR="00000000" w:rsidRPr="00000000">
          <w:rPr>
            <w:color w:val="1155cc"/>
            <w:u w:val="single"/>
            <w:rtl w:val="0"/>
          </w:rPr>
          <w:t xml:space="preserve">SD3, anexos, p. 115: S-02</w:t>
        </w:r>
      </w:hyperlink>
      <w:r w:rsidDel="00000000" w:rsidR="00000000" w:rsidRPr="00000000">
        <w:rPr>
          <w:rtl w:val="0"/>
        </w:rPr>
        <w:t xml:space="preserve">; </w:t>
      </w:r>
      <w:hyperlink r:id="rId13">
        <w:r w:rsidDel="00000000" w:rsidR="00000000" w:rsidRPr="00000000">
          <w:rPr>
            <w:color w:val="1155cc"/>
            <w:u w:val="single"/>
            <w:rtl w:val="0"/>
          </w:rPr>
          <w:t xml:space="preserve">SD5, p. 35: §5.3.2</w:t>
        </w:r>
      </w:hyperlink>
      <w:r w:rsidDel="00000000" w:rsidR="00000000" w:rsidRPr="00000000">
        <w:rPr>
          <w:rtl w:val="0"/>
        </w:rPr>
        <w:t xml:space="preserve">; </w:t>
      </w:r>
      <w:hyperlink r:id="rId14">
        <w:r w:rsidDel="00000000" w:rsidR="00000000" w:rsidRPr="00000000">
          <w:rPr>
            <w:color w:val="1155cc"/>
            <w:u w:val="single"/>
            <w:rtl w:val="0"/>
          </w:rPr>
          <w:t xml:space="preserve">SD5, p. 37: §5.3.5</w:t>
        </w:r>
      </w:hyperlink>
      <w:r w:rsidDel="00000000" w:rsidR="00000000" w:rsidRPr="00000000">
        <w:rPr>
          <w:rtl w:val="0"/>
        </w:rPr>
        <w:t xml:space="preserve">.</w:t>
      </w:r>
    </w:p>
    <w:p w:rsidR="00000000" w:rsidDel="00000000" w:rsidP="00000000" w:rsidRDefault="00000000" w:rsidRPr="00000000" w14:paraId="000000B9">
      <w:pPr>
        <w:pStyle w:val="Heading3"/>
        <w:rPr/>
      </w:pPr>
      <w:bookmarkStart w:colFirst="0" w:colLast="0" w:name="_k871tex4tg6l" w:id="9"/>
      <w:bookmarkEnd w:id="9"/>
      <w:r w:rsidDel="00000000" w:rsidR="00000000" w:rsidRPr="00000000">
        <w:rPr>
          <w:rtl w:val="0"/>
        </w:rPr>
        <w:t xml:space="preserve">REC-005 — Historial de ventas no utilizable para la carga y reposición previstas</w:t>
      </w:r>
    </w:p>
    <w:p w:rsidR="00000000" w:rsidDel="00000000" w:rsidP="00000000" w:rsidRDefault="00000000" w:rsidRPr="00000000" w14:paraId="000000B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[Causa]</w:t>
      </w:r>
      <w:r w:rsidDel="00000000" w:rsidR="00000000" w:rsidRPr="00000000">
        <w:rPr>
          <w:rtl w:val="0"/>
        </w:rPr>
        <w:t xml:space="preserve"> La migración y la reposición dependen de la extensión y calidad efectiva del historial de ventas disponible en el ERP.</w:t>
        <w:br w:type="textWrapping"/>
      </w:r>
      <w:r w:rsidDel="00000000" w:rsidR="00000000" w:rsidRPr="00000000">
        <w:rPr>
          <w:b w:val="1"/>
          <w:bCs w:val="1"/>
          <w:rtl w:val="0"/>
        </w:rPr>
        <w:t xml:space="preserve">[Evento de riesgo / Incertidumbre]</w:t>
      </w:r>
      <w:r w:rsidDel="00000000" w:rsidR="00000000" w:rsidRPr="00000000">
        <w:rPr>
          <w:rtl w:val="0"/>
        </w:rPr>
        <w:t xml:space="preserve"> Al extraer del ERP el historial requerido para migración y reposición, podrían recibirse períodos incompletos o datos cuya calidad no permita utilizarlos directamente.</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ampliar la preparación y conciliación de la carga y el tratamiento de las excepciones de reposición antes de demostrar los resultados requeridos.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Por qué compete a LafroX:</w:t>
      </w:r>
      <w:r w:rsidDel="00000000" w:rsidR="00000000" w:rsidRPr="00000000">
        <w:rPr>
          <w:rtl w:val="0"/>
        </w:rPr>
        <w:t xml:space="preserve"> Afecta el trabajo de migración y la verificación funcional de reposición a cargo de LafroX.</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Contraste con lo ya definido:</w:t>
      </w:r>
      <w:r w:rsidDel="00000000" w:rsidR="00000000" w:rsidRPr="00000000">
        <w:rPr>
          <w:rtl w:val="0"/>
        </w:rPr>
        <w:t xml:space="preserve"> V-09 distingue expresamente el requisito de migrar tres años de ventas de la prueba de que esos datos existan y sean utilizables. No se reabre la decisión sobre cuánto se exige migrar.</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124: S-25</w:t>
      </w:r>
      <w:r w:rsidDel="00000000" w:rsidR="00000000" w:rsidRPr="00000000">
        <w:rPr>
          <w:rtl w:val="0"/>
        </w:rPr>
        <w:t xml:space="preserve">; </w:t>
      </w:r>
      <w:r w:rsidDel="00000000" w:rsidR="00000000" w:rsidRPr="00000000">
        <w:rPr>
          <w:rtl w:val="0"/>
        </w:rPr>
        <w:t xml:space="preserve">SD3, anexos, p. 147: V-09</w:t>
      </w:r>
      <w:r w:rsidDel="00000000" w:rsidR="00000000" w:rsidRPr="00000000">
        <w:rPr>
          <w:rtl w:val="0"/>
        </w:rPr>
        <w:t xml:space="preserve">; </w:t>
      </w:r>
      <w:r w:rsidDel="00000000" w:rsidR="00000000" w:rsidRPr="00000000">
        <w:rPr>
          <w:rtl w:val="0"/>
        </w:rPr>
        <w:t xml:space="preserve">SD5, p. 35: Perfilado</w:t>
      </w:r>
      <w:r w:rsidDel="00000000" w:rsidR="00000000" w:rsidRPr="00000000">
        <w:rPr>
          <w:rtl w:val="0"/>
        </w:rPr>
        <w:t xml:space="preserve">.</w:t>
      </w:r>
    </w:p>
    <w:p w:rsidR="00000000" w:rsidDel="00000000" w:rsidP="00000000" w:rsidRDefault="00000000" w:rsidRPr="00000000" w14:paraId="000000C5">
      <w:pPr>
        <w:pStyle w:val="Heading3"/>
        <w:rPr/>
      </w:pPr>
      <w:bookmarkStart w:colFirst="0" w:colLast="0" w:name="_atcttsmip7io" w:id="10"/>
      <w:bookmarkEnd w:id="10"/>
      <w:r w:rsidDel="00000000" w:rsidR="00000000" w:rsidRPr="00000000">
        <w:rPr>
          <w:rtl w:val="0"/>
        </w:rPr>
        <w:t xml:space="preserve">REC-006 — Diferencias de inventario sin resolver antes del corte de migración</w:t>
      </w:r>
    </w:p>
    <w:p w:rsidR="00000000" w:rsidDel="00000000" w:rsidP="00000000" w:rsidRDefault="00000000" w:rsidRPr="00000000" w14:paraId="000000C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[Causa]</w:t>
      </w:r>
      <w:r w:rsidDel="00000000" w:rsidR="00000000" w:rsidRPr="00000000">
        <w:rPr>
          <w:rtl w:val="0"/>
        </w:rPr>
        <w:t xml:space="preserve"> La aceptación del inventario migrado requiere conciliar los saldos legados con el conteo físico y contar con explicaciones y ajustes aprobados antes del corte.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un corte, la conciliación del saldo legado con el conteo físico podría detectar diferencias que no cuenten con explicación y ajuste aprobados a tiempo.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repetir saneamiento y validación, y la carga afectada no podría superar su condición de aceptación hasta resolverlas.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Por qué compete a LafroX:</w:t>
      </w:r>
      <w:r w:rsidDel="00000000" w:rsidR="00000000" w:rsidRPr="00000000">
        <w:rPr>
          <w:rtl w:val="0"/>
        </w:rPr>
        <w:t xml:space="preserve"> La conciliación y el acta de corte forman parte de la implantación y migración que entrega LafroX.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Contraste con lo ya definido:</w:t>
      </w:r>
      <w:r w:rsidDel="00000000" w:rsidR="00000000" w:rsidRPr="00000000">
        <w:rPr>
          <w:rtl w:val="0"/>
        </w:rPr>
        <w:t xml:space="preserve"> S-29 ya establece investigar y justificar diferencias. El evento adverso es no disponer de esa conciliación resuelta antes del corte, no que el porcentaje medido sea simplemente distinto o que deba elegirse una tolerancia.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126: S-29</w:t>
      </w:r>
      <w:r w:rsidDel="00000000" w:rsidR="00000000" w:rsidRPr="00000000">
        <w:rPr>
          <w:rtl w:val="0"/>
        </w:rPr>
        <w:t xml:space="preserve">; </w:t>
      </w:r>
      <w:r w:rsidDel="00000000" w:rsidR="00000000" w:rsidRPr="00000000">
        <w:rPr>
          <w:rtl w:val="0"/>
        </w:rPr>
        <w:t xml:space="preserve">SD5, p. 36: Saneamiento</w:t>
      </w:r>
      <w:r w:rsidDel="00000000" w:rsidR="00000000" w:rsidRPr="00000000">
        <w:rPr>
          <w:rtl w:val="0"/>
        </w:rPr>
        <w:t xml:space="preserve">; </w:t>
      </w:r>
      <w:r w:rsidDel="00000000" w:rsidR="00000000" w:rsidRPr="00000000">
        <w:rPr>
          <w:rtl w:val="0"/>
        </w:rPr>
        <w:t xml:space="preserve">SD5, p. 37: Criterios de corte</w:t>
      </w:r>
      <w:r w:rsidDel="00000000" w:rsidR="00000000" w:rsidRPr="00000000">
        <w:rPr>
          <w:rtl w:val="0"/>
        </w:rPr>
        <w:t xml:space="preserve">.</w:t>
      </w:r>
    </w:p>
    <w:p w:rsidR="00000000" w:rsidDel="00000000" w:rsidP="00000000" w:rsidRDefault="00000000" w:rsidRPr="00000000" w14:paraId="000000D1">
      <w:pPr>
        <w:pStyle w:val="Heading3"/>
        <w:rPr/>
      </w:pPr>
      <w:bookmarkStart w:colFirst="0" w:colLast="0" w:name="_ctku7xp9k2j7" w:id="11"/>
      <w:bookmarkEnd w:id="11"/>
      <w:r w:rsidDel="00000000" w:rsidR="00000000" w:rsidRPr="00000000">
        <w:rPr>
          <w:rtl w:val="0"/>
        </w:rPr>
        <w:t xml:space="preserve">REC-007 — Saldo inicial de envases no conciliable al preparar la carga de M8</w:t>
      </w:r>
    </w:p>
    <w:p w:rsidR="00000000" w:rsidDel="00000000" w:rsidP="00000000" w:rsidRDefault="00000000" w:rsidRPr="00000000" w14:paraId="000000D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[Causa]</w:t>
      </w:r>
      <w:r w:rsidDel="00000000" w:rsidR="00000000" w:rsidRPr="00000000">
        <w:rPr>
          <w:rtl w:val="0"/>
        </w:rPr>
        <w:t xml:space="preserve"> La carga inicial de M8 requiere saldos de envases por cliente y transportista sustentados en antecedentes conciliables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Al preparar la carga inicial de M8, los antecedentes entregados por el cliente podrían no permitir determinar un saldo conciliado de envases por cliente y transportista.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repetir preparación y validación de la carga con Finanzas y no podría demostrar el funcionamiento con saldos iniciales aceptados mientras ese dato de partida siga pendiente.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Por qué compete a LafroX:</w:t>
      </w:r>
      <w:r w:rsidDel="00000000" w:rsidR="00000000" w:rsidRPr="00000000">
        <w:rPr>
          <w:rtl w:val="0"/>
        </w:rPr>
        <w:t xml:space="preserve"> Compromete la preparación y prueba del dominio de envases que debe habilitar LafroX.</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Contraste con lo ya definido:</w:t>
      </w:r>
      <w:r w:rsidDel="00000000" w:rsidR="00000000" w:rsidRPr="00000000">
        <w:rPr>
          <w:rtl w:val="0"/>
        </w:rPr>
        <w:t xml:space="preserve"> S-10 y RNG-07 fijan el control por saldos. V-08 no confirma la calidad de los saldos iniciales; la consulta abierta no se convierte por sí sola en riesgo: aquí se delimita el resultado adverso de la preparación de la carga.</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147: V-08</w:t>
      </w:r>
      <w:r w:rsidDel="00000000" w:rsidR="00000000" w:rsidRPr="00000000">
        <w:rPr>
          <w:rtl w:val="0"/>
        </w:rPr>
        <w:t xml:space="preserve">; </w:t>
      </w:r>
      <w:r w:rsidDel="00000000" w:rsidR="00000000" w:rsidRPr="00000000">
        <w:rPr>
          <w:rtl w:val="0"/>
        </w:rPr>
        <w:t xml:space="preserve">SD3, anexos, p. 141: RNG-07</w:t>
      </w:r>
      <w:r w:rsidDel="00000000" w:rsidR="00000000" w:rsidRPr="00000000">
        <w:rPr>
          <w:rtl w:val="0"/>
        </w:rPr>
        <w:t xml:space="preserve">.</w:t>
      </w:r>
    </w:p>
    <w:p w:rsidR="00000000" w:rsidDel="00000000" w:rsidP="00000000" w:rsidRDefault="00000000" w:rsidRPr="00000000" w14:paraId="000000DD">
      <w:pPr>
        <w:pStyle w:val="Heading3"/>
        <w:rPr/>
      </w:pPr>
      <w:bookmarkStart w:colFirst="0" w:colLast="0" w:name="_rvko5m4go070" w:id="12"/>
      <w:bookmarkEnd w:id="12"/>
      <w:r w:rsidDel="00000000" w:rsidR="00000000" w:rsidRPr="00000000">
        <w:rPr>
          <w:rtl w:val="0"/>
        </w:rPr>
        <w:t xml:space="preserve">REC-008 — Historia de origen insuficiente para sustentar las líneas base de aceptación</w:t>
      </w:r>
    </w:p>
    <w:p w:rsidR="00000000" w:rsidDel="00000000" w:rsidP="00000000" w:rsidRDefault="00000000" w:rsidRPr="00000000" w14:paraId="000000D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b w:val="1"/>
          <w:bCs w:val="1"/>
          <w:rtl w:val="0"/>
        </w:rPr>
        <w:t xml:space="preserve">[Causa]</w:t>
      </w:r>
      <w:r w:rsidDel="00000000" w:rsidR="00000000" w:rsidRPr="00000000">
        <w:rPr>
          <w:rtl w:val="0"/>
        </w:rPr>
        <w:t xml:space="preserve"> Las comparaciones históricas de aceptación dependen de horas verificables de entrega y montos esperados de rendición que la captura futura no reconstruye.</w:t>
        <w:br w:type="textWrapping"/>
      </w:r>
      <w:r w:rsidDel="00000000" w:rsidR="00000000" w:rsidRPr="00000000">
        <w:rPr>
          <w:b w:val="1"/>
          <w:bCs w:val="1"/>
          <w:rtl w:val="0"/>
        </w:rPr>
        <w:t xml:space="preserve">[Evento de riesgo / Incertidumbre]</w:t>
      </w:r>
      <w:r w:rsidDel="00000000" w:rsidR="00000000" w:rsidRPr="00000000">
        <w:rPr>
          <w:rtl w:val="0"/>
        </w:rPr>
        <w:t xml:space="preserve"> Al validar los antecedentes históricos que se usarán en la aceptación, podrían faltar horas verificables de entrega o montos esperados de rendición.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respaldar con esos registros las comparaciones de OTIF o cuadratura y tendría que repetir la validación del conjunto y período de referencia con las áreas del cliente.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b w:val="1"/>
          <w:bCs w:val="1"/>
          <w:rtl w:val="0"/>
        </w:rPr>
        <w:t xml:space="preserve">Por qué compete a LafroX:</w:t>
      </w:r>
      <w:r w:rsidDel="00000000" w:rsidR="00000000" w:rsidRPr="00000000">
        <w:rPr>
          <w:rtl w:val="0"/>
        </w:rPr>
        <w:t xml:space="preserve"> Afecta las evidencias y mediciones que LafroX necesita presentar para demostrar los resultados de la solución.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Contraste con lo ya definido:</w:t>
      </w:r>
      <w:r w:rsidDel="00000000" w:rsidR="00000000" w:rsidRPr="00000000">
        <w:rPr>
          <w:rtl w:val="0"/>
        </w:rPr>
        <w:t xml:space="preserve"> La fórmula de OTIF y la captura futura ya están definidas. V-10 mantiene pendiente la confiabilidad de los antecedentes históricos; no se propone cambiar la fórmula ni fabricar registros anteriores.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147: V-10</w:t>
      </w:r>
      <w:r w:rsidDel="00000000" w:rsidR="00000000" w:rsidRPr="00000000">
        <w:rPr>
          <w:rtl w:val="0"/>
        </w:rPr>
        <w:t xml:space="preserve">; </w:t>
      </w:r>
      <w:r w:rsidDel="00000000" w:rsidR="00000000" w:rsidRPr="00000000">
        <w:rPr>
          <w:rtl w:val="0"/>
        </w:rPr>
        <w:t xml:space="preserve">SD3, p. 15: Línea base</w:t>
      </w:r>
      <w:r w:rsidDel="00000000" w:rsidR="00000000" w:rsidRPr="00000000">
        <w:rPr>
          <w:rtl w:val="0"/>
        </w:rPr>
        <w:t xml:space="preserve">; </w:t>
      </w:r>
      <w:r w:rsidDel="00000000" w:rsidR="00000000" w:rsidRPr="00000000">
        <w:rPr>
          <w:rtl w:val="0"/>
        </w:rPr>
        <w:t xml:space="preserve">SD3, anexos, p. 141: RNG-09</w:t>
      </w:r>
      <w:r w:rsidDel="00000000" w:rsidR="00000000" w:rsidRPr="00000000">
        <w:rPr>
          <w:rtl w:val="0"/>
        </w:rPr>
        <w:t xml:space="preserve">.</w:t>
      </w:r>
    </w:p>
    <w:p w:rsidR="00000000" w:rsidDel="00000000" w:rsidP="00000000" w:rsidRDefault="00000000" w:rsidRPr="00000000" w14:paraId="000000E9">
      <w:pPr>
        <w:pStyle w:val="Heading3"/>
        <w:rPr/>
      </w:pPr>
      <w:bookmarkStart w:colFirst="0" w:colLast="0" w:name="_g9thdd4fontf" w:id="13"/>
      <w:bookmarkEnd w:id="13"/>
      <w:r w:rsidDel="00000000" w:rsidR="00000000" w:rsidRPr="00000000">
        <w:rPr>
          <w:rtl w:val="0"/>
        </w:rPr>
        <w:t xml:space="preserve">REC-009 — Deuda viva adicional a la cartera incluida en la volumetría provisional</w:t>
      </w:r>
    </w:p>
    <w:p w:rsidR="00000000" w:rsidDel="00000000" w:rsidP="00000000" w:rsidRDefault="00000000" w:rsidRPr="00000000" w14:paraId="000000E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[Causa]</w:t>
      </w:r>
      <w:r w:rsidDel="00000000" w:rsidR="00000000" w:rsidRPr="00000000">
        <w:rPr>
          <w:rtl w:val="0"/>
        </w:rPr>
        <w:t xml:space="preserve"> El volumen histórico utilizado para estimar la carga de cartera no acredita que incluya todos los documentos de deuda todavía vigente.</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perfilado de la cartera, podrían identificarse documentos de deuda todavía vigente que no estén comprendidos en el volumen histórico usado para estimar la carga.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extraer, transformar y conciliar ese conjunto adicional, aumentando el trabajo y el volumen de transferencia antes de cerrar la migración de cartera.</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Por qué compete a LafroX:</w:t>
      </w:r>
      <w:r w:rsidDel="00000000" w:rsidR="00000000" w:rsidRPr="00000000">
        <w:rPr>
          <w:rtl w:val="0"/>
        </w:rPr>
        <w:t xml:space="preserve"> Afecta la carga completa de cartera y las tareas de datos y ensayo de LafroX.</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Contraste con lo ya definido:</w:t>
      </w:r>
      <w:r w:rsidDel="00000000" w:rsidR="00000000" w:rsidRPr="00000000">
        <w:rPr>
          <w:rtl w:val="0"/>
        </w:rPr>
        <w:t xml:space="preserve"> El requisito de migrar toda la deuda viva está decidido. El riesgo se limita a que aparezca volumen de origen adicional al contabilizado; no se plantea como una elección de alcance. Se acota a cartera para evitar repetir la historia sanitaria de REC-004.</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SD5, p. 35: §5.3.1 y tabla 5.2</w:t>
      </w:r>
      <w:r w:rsidDel="00000000" w:rsidR="00000000" w:rsidRPr="00000000">
        <w:rPr>
          <w:rtl w:val="0"/>
        </w:rPr>
        <w:t xml:space="preserve">; </w:t>
      </w:r>
      <w:r w:rsidDel="00000000" w:rsidR="00000000" w:rsidRPr="00000000">
        <w:rPr>
          <w:rtl w:val="0"/>
        </w:rPr>
        <w:t xml:space="preserve">SD5, p. 37: Conciliación de cartera</w:t>
      </w:r>
      <w:r w:rsidDel="00000000" w:rsidR="00000000" w:rsidRPr="00000000">
        <w:rPr>
          <w:rtl w:val="0"/>
        </w:rPr>
        <w:t xml:space="preserve">.</w:t>
      </w:r>
    </w:p>
    <w:p w:rsidR="00000000" w:rsidDel="00000000" w:rsidP="00000000" w:rsidRDefault="00000000" w:rsidRPr="00000000" w14:paraId="000000F5">
      <w:pPr>
        <w:pStyle w:val="Heading3"/>
        <w:rPr/>
      </w:pPr>
      <w:bookmarkStart w:colFirst="0" w:colLast="0" w:name="_wyz0bkuugz0w" w:id="14"/>
      <w:bookmarkEnd w:id="14"/>
      <w:r w:rsidDel="00000000" w:rsidR="00000000" w:rsidRPr="00000000">
        <w:rPr>
          <w:rtl w:val="0"/>
        </w:rPr>
        <w:t xml:space="preserve">REC-011 — ERP legado indisponible cuando se requiere emitir una guía nueva</w:t>
      </w:r>
    </w:p>
    <w:p w:rsidR="00000000" w:rsidDel="00000000" w:rsidP="00000000" w:rsidRDefault="00000000" w:rsidRPr="00000000" w14:paraId="000000F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[Causa]</w:t>
      </w:r>
      <w:r w:rsidDel="00000000" w:rsidR="00000000" w:rsidRPr="00000000">
        <w:rPr>
          <w:rtl w:val="0"/>
        </w:rPr>
        <w:t xml:space="preserve"> El ERP del cliente se mantiene como único emisor de guías nuevas y de las reemisiones exigidas por cambios de carga.</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 ensayo integrado o la operación, el ERP del cliente podría estar indisponible cuando se solicite una guía nueva o la reemisión necesaria por un cambio de carga.</w:t>
        <w:br w:type="textWrapping"/>
      </w:r>
      <w:r w:rsidDel="00000000" w:rsidR="00000000" w:rsidRPr="00000000">
        <w:rPr>
          <w:b w:val="1"/>
          <w:bCs w:val="1"/>
          <w:rtl w:val="0"/>
        </w:rPr>
        <w:t xml:space="preserve">[Efecto o impacto en el proyecto]</w:t>
      </w:r>
      <w:r w:rsidDel="00000000" w:rsidR="00000000" w:rsidRPr="00000000">
        <w:rPr>
          <w:rtl w:val="0"/>
        </w:rPr>
        <w:t xml:space="preserve"> Quedaría pendiente el intercambio documental y LafroX tendría que gestionar la incidencia de integración y su recuperación antes de completar ese flujo.</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Por qué compete a LafroX:</w:t>
      </w:r>
      <w:r w:rsidDel="00000000" w:rsidR="00000000" w:rsidRPr="00000000">
        <w:rPr>
          <w:rtl w:val="0"/>
        </w:rPr>
        <w:t xml:space="preserve"> LafroX integra y soporta el flujo documental; la indisponibilidad del legado afecta sus pruebas o su servicio integrado.</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b w:val="1"/>
          <w:bCs w:val="1"/>
          <w:rtl w:val="0"/>
        </w:rPr>
        <w:t xml:space="preserve">Contraste con lo ya definido:</w:t>
      </w:r>
      <w:r w:rsidDel="00000000" w:rsidR="00000000" w:rsidRPr="00000000">
        <w:rPr>
          <w:rtl w:val="0"/>
        </w:rPr>
        <w:t xml:space="preserve"> El ERP como único emisor y la obligación de contar con una guía válida están decididos. Se conserva la indisponibilidad externa; no se conserva una duda sobre quién emite ni se permite salir sin documento.</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72: Tabla 3: ERP y emisión DTE</w:t>
      </w:r>
      <w:r w:rsidDel="00000000" w:rsidR="00000000" w:rsidRPr="00000000">
        <w:rPr>
          <w:rtl w:val="0"/>
        </w:rPr>
        <w:t xml:space="preserve">; </w:t>
      </w:r>
      <w:r w:rsidDel="00000000" w:rsidR="00000000" w:rsidRPr="00000000">
        <w:rPr>
          <w:rtl w:val="0"/>
        </w:rPr>
        <w:t xml:space="preserve">SD4, p. 73: Continuidad documental</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01">
      <w:pPr>
        <w:pStyle w:val="Heading3"/>
        <w:rPr/>
      </w:pPr>
      <w:bookmarkStart w:colFirst="0" w:colLast="0" w:name="_6qvfg05hr6zf" w:id="15"/>
      <w:bookmarkEnd w:id="15"/>
      <w:r w:rsidDel="00000000" w:rsidR="00000000" w:rsidRPr="00000000">
        <w:rPr>
          <w:rtl w:val="0"/>
        </w:rPr>
        <w:t xml:space="preserve">🟥REC-012 — SII sin respuesta durante un intercambio tributario</w:t>
      </w:r>
    </w:p>
    <w:p w:rsidR="00000000" w:rsidDel="00000000" w:rsidP="00000000" w:rsidRDefault="00000000" w:rsidRPr="00000000" w14:paraId="00000102">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[Causa]</w:t>
      </w:r>
      <w:r w:rsidDel="00000000" w:rsidR="00000000" w:rsidRPr="00000000">
        <w:rPr>
          <w:rtl w:val="0"/>
        </w:rPr>
        <w:t xml:space="preserve"> El flujo tributario integrado depende de las respuestas del servicio externo del SII a través del ERP.</w:t>
        <w:br w:type="textWrapping"/>
      </w:r>
      <w:r w:rsidDel="00000000" w:rsidR="00000000" w:rsidRPr="00000000">
        <w:rPr>
          <w:b w:val="1"/>
          <w:bCs w:val="1"/>
          <w:rtl w:val="0"/>
        </w:rPr>
        <w:t xml:space="preserve">[Evento de riesgo / Incertidumbre]</w:t>
      </w:r>
      <w:r w:rsidDel="00000000" w:rsidR="00000000" w:rsidRPr="00000000">
        <w:rPr>
          <w:rtl w:val="0"/>
        </w:rPr>
        <w:t xml:space="preserve"> Al tramitar un intercambio tributario a través del ERP, el servicio externo del SII podría no responder.</w:t>
        <w:br w:type="textWrapping"/>
      </w:r>
      <w:r w:rsidDel="00000000" w:rsidR="00000000" w:rsidRPr="00000000">
        <w:rPr>
          <w:b w:val="1"/>
          <w:bCs w:val="1"/>
          <w:rtl w:val="0"/>
        </w:rPr>
        <w:t xml:space="preserve">[Efecto o impacto en el proyecto]</w:t>
      </w:r>
      <w:r w:rsidDel="00000000" w:rsidR="00000000" w:rsidRPr="00000000">
        <w:rPr>
          <w:rtl w:val="0"/>
        </w:rPr>
        <w:t xml:space="preserve"> Las solicitudes quedarían pendientes y LafroX tendría que seguir el incidente, conservar sus estados y verificar el reproceso al recuperarse el tercero, pudiendo demorarse la finalización del flujo integrado.</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Por qué compete a LafroX:</w:t>
      </w:r>
      <w:r w:rsidDel="00000000" w:rsidR="00000000" w:rsidRPr="00000000">
        <w:rPr>
          <w:rtl w:val="0"/>
        </w:rPr>
        <w:t xml:space="preserve"> El evento afecta el seguimiento y cierre de transacciones del servicio integrado que opera LafroX.</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Contraste con lo ya definido:</w:t>
      </w:r>
      <w:r w:rsidDel="00000000" w:rsidR="00000000" w:rsidRPr="00000000">
        <w:rPr>
          <w:rtl w:val="0"/>
        </w:rPr>
        <w:t xml:space="preserve"> La emisión tributaria por el ERP está fijada. Que existan colas y reintentos no demuestra que el tercero vaya a estar disponible ni habilita a considerar aprobado un acto sin respuesta.</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72: Tabla 3: SII y pasarela de pago</w:t>
      </w:r>
      <w:r w:rsidDel="00000000" w:rsidR="00000000" w:rsidRPr="00000000">
        <w:rPr>
          <w:rtl w:val="0"/>
        </w:rPr>
        <w:t xml:space="preserve">; </w:t>
      </w:r>
      <w:r w:rsidDel="00000000" w:rsidR="00000000" w:rsidRPr="00000000">
        <w:rPr>
          <w:rtl w:val="0"/>
        </w:rPr>
        <w:t xml:space="preserve">SD4, p. 144: Fallas en integraciones</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0D">
      <w:pPr>
        <w:pStyle w:val="Heading3"/>
        <w:rPr/>
      </w:pPr>
      <w:bookmarkStart w:colFirst="0" w:colLast="0" w:name="_dvphh1p7jfbs" w:id="16"/>
      <w:bookmarkEnd w:id="16"/>
      <w:r w:rsidDel="00000000" w:rsidR="00000000" w:rsidRPr="00000000">
        <w:rPr>
          <w:rtl w:val="0"/>
        </w:rPr>
        <w:t xml:space="preserve">REC-013 — POS deja un pago sin resultado externo comprobable</w:t>
      </w:r>
    </w:p>
    <w:p w:rsidR="00000000" w:rsidDel="00000000" w:rsidP="00000000" w:rsidRDefault="00000000" w:rsidRPr="00000000" w14:paraId="0000010E">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[Causa]</w:t>
      </w:r>
      <w:r w:rsidDel="00000000" w:rsidR="00000000" w:rsidRPr="00000000">
        <w:rPr>
          <w:rtl w:val="0"/>
        </w:rPr>
        <w:t xml:space="preserve"> La integración de pagos depende de la respuesta del POS del tercero; un timeout no permite concluir que el cargo fue rechazado.</w:t>
        <w:br w:type="textWrapping"/>
      </w:r>
      <w:r w:rsidDel="00000000" w:rsidR="00000000" w:rsidRPr="00000000">
        <w:rPr>
          <w:b w:val="1"/>
          <w:bCs w:val="1"/>
          <w:rtl w:val="0"/>
        </w:rPr>
        <w:t xml:space="preserve">[Evento de riesgo / Incertidumbre]</w:t>
      </w:r>
      <w:r w:rsidDel="00000000" w:rsidR="00000000" w:rsidRPr="00000000">
        <w:rPr>
          <w:rtl w:val="0"/>
        </w:rPr>
        <w:t xml:space="preserve"> Después de enviar una autorización de pago, el POS del tercero podría agotar el tiempo de respuesta sin permitir comprobar si hubo cargo.</w:t>
        <w:br w:type="textWrapping"/>
      </w:r>
      <w:r w:rsidDel="00000000" w:rsidR="00000000" w:rsidRPr="00000000">
        <w:rPr>
          <w:b w:val="1"/>
          <w:bCs w:val="1"/>
          <w:rtl w:val="0"/>
        </w:rPr>
        <w:t xml:space="preserve">[Efecto o impacto en el proyecto]</w:t>
      </w:r>
      <w:r w:rsidDel="00000000" w:rsidR="00000000" w:rsidRPr="00000000">
        <w:rPr>
          <w:rtl w:val="0"/>
        </w:rPr>
        <w:t xml:space="preserve"> El intercambio quedaría incierto y LafroX tendría que investigar y conciliar el estado de la integración con la contraparte financiera antes de dar por resuelta la incidencia.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rtl w:val="0"/>
        </w:rPr>
        <w:t xml:space="preserve">Por qué compete a LafroX:</w:t>
      </w:r>
      <w:r w:rsidDel="00000000" w:rsidR="00000000" w:rsidRPr="00000000">
        <w:rPr>
          <w:rtl w:val="0"/>
        </w:rPr>
        <w:t xml:space="preserve"> Concierne al estado técnico y trazabilidad del flujo POS integrado por LafroX; no se le atribuye la custodia del dinero ni la autorización financiera.</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Contraste con lo ya definido:</w:t>
      </w:r>
      <w:r w:rsidDel="00000000" w:rsidR="00000000" w:rsidRPr="00000000">
        <w:rPr>
          <w:rtl w:val="0"/>
        </w:rPr>
        <w:t xml:space="preserve"> La regla de no equiparar timeout con rechazo y la segregación financiera ya están definidas. Se conserva la ausencia real de respuesta externa; no se plantea como elección libre el volver a cobrar.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SD5, p. 19: §5.1.8: POS</w:t>
      </w:r>
      <w:r w:rsidDel="00000000" w:rsidR="00000000" w:rsidRPr="00000000">
        <w:rPr>
          <w:rtl w:val="0"/>
        </w:rPr>
        <w:t xml:space="preserve">; </w:t>
      </w:r>
      <w:r w:rsidDel="00000000" w:rsidR="00000000" w:rsidRPr="00000000">
        <w:rPr>
          <w:rtl w:val="0"/>
        </w:rPr>
        <w:t xml:space="preserve">SD4, p. 72: Pasarela de pago</w:t>
      </w:r>
      <w:r w:rsidDel="00000000" w:rsidR="00000000" w:rsidRPr="00000000">
        <w:rPr>
          <w:rtl w:val="0"/>
        </w:rPr>
        <w:t xml:space="preserve">.</w:t>
      </w:r>
    </w:p>
    <w:p w:rsidR="00000000" w:rsidDel="00000000" w:rsidP="00000000" w:rsidRDefault="00000000" w:rsidRPr="00000000" w14:paraId="00000119">
      <w:pPr>
        <w:pStyle w:val="Heading3"/>
        <w:rPr/>
      </w:pPr>
      <w:bookmarkStart w:colFirst="0" w:colLast="0" w:name="_u74zgpqll0uh" w:id="17"/>
      <w:bookmarkEnd w:id="17"/>
      <w:r w:rsidDel="00000000" w:rsidR="00000000" w:rsidRPr="00000000">
        <w:rPr>
          <w:rtl w:val="0"/>
        </w:rPr>
        <w:t xml:space="preserve">🟥REC-014 — Proveedor de avisos no disponible durante un envío operacional</w:t>
      </w:r>
    </w:p>
    <w:p w:rsidR="00000000" w:rsidDel="00000000" w:rsidP="00000000" w:rsidRDefault="00000000" w:rsidRPr="00000000" w14:paraId="0000011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b w:val="1"/>
          <w:bCs w:val="1"/>
          <w:rtl w:val="0"/>
        </w:rPr>
        <w:t xml:space="preserve">[Causa]</w:t>
      </w:r>
      <w:r w:rsidDel="00000000" w:rsidR="00000000" w:rsidRPr="00000000">
        <w:rPr>
          <w:rtl w:val="0"/>
        </w:rPr>
        <w:t xml:space="preserve"> El envío de avisos operacionales depende de la disponibilidad y respuesta del proveedor externo del canal.</w:t>
        <w:br w:type="textWrapping"/>
      </w:r>
      <w:r w:rsidDel="00000000" w:rsidR="00000000" w:rsidRPr="00000000">
        <w:rPr>
          <w:b w:val="1"/>
          <w:bCs w:val="1"/>
          <w:rtl w:val="0"/>
        </w:rPr>
        <w:t xml:space="preserve">[Evento de riesgo / Incertidumbre]</w:t>
      </w:r>
      <w:r w:rsidDel="00000000" w:rsidR="00000000" w:rsidRPr="00000000">
        <w:rPr>
          <w:rtl w:val="0"/>
        </w:rPr>
        <w:t xml:space="preserve"> Al despachar un aviso operacional desde la solución, el proveedor del canal podría no responder o devolver un fallo de envío.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el mensaje pendiente y verificar su reproceso o canal alternativo, demorándose el cierre del envío operativo.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Por qué compete a LafroX:</w:t>
      </w:r>
      <w:r w:rsidDel="00000000" w:rsidR="00000000" w:rsidRPr="00000000">
        <w:rPr>
          <w:rtl w:val="0"/>
        </w:rPr>
        <w:t xml:space="preserve"> Se limita a la integración de notificaciones y la evidencia de envío gestionadas por LafroX; no incluye que una persona decida no leer el aviso.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Contraste con lo ya definido:</w:t>
      </w:r>
      <w:r w:rsidDel="00000000" w:rsidR="00000000" w:rsidRPr="00000000">
        <w:rPr>
          <w:rtl w:val="0"/>
        </w:rPr>
        <w:t xml:space="preserve"> Los canales y la distinción entre entrega y apertura están definidos. El evento concreto es el fallo del proveedor durante un envío, no una indefinición del canal ni una obligación de garantizar lectura humana.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144: Fallas de notificaciones</w:t>
      </w:r>
      <w:r w:rsidDel="00000000" w:rsidR="00000000" w:rsidRPr="00000000">
        <w:rPr>
          <w:rtl w:val="0"/>
        </w:rPr>
        <w:t xml:space="preserve">; </w:t>
      </w:r>
      <w:r w:rsidDel="00000000" w:rsidR="00000000" w:rsidRPr="00000000">
        <w:rPr>
          <w:rtl w:val="0"/>
        </w:rPr>
        <w:t xml:space="preserve">SD5, p. 19: §5.1.9</w:t>
      </w:r>
      <w:r w:rsidDel="00000000" w:rsidR="00000000" w:rsidRPr="00000000">
        <w:rPr>
          <w:rtl w:val="0"/>
        </w:rPr>
        <w:t xml:space="preserve">; </w:t>
      </w:r>
      <w:r w:rsidDel="00000000" w:rsidR="00000000" w:rsidRPr="00000000">
        <w:rPr>
          <w:rtl w:val="0"/>
        </w:rPr>
        <w:t xml:space="preserve">SD5, p. 20: Evidencia de apertura</w:t>
      </w:r>
      <w:r w:rsidDel="00000000" w:rsidR="00000000" w:rsidRPr="00000000">
        <w:rPr>
          <w:rtl w:val="0"/>
        </w:rPr>
        <w:t xml:space="preserve">.</w:t>
      </w:r>
    </w:p>
    <w:p w:rsidR="00000000" w:rsidDel="00000000" w:rsidP="00000000" w:rsidRDefault="00000000" w:rsidRPr="00000000" w14:paraId="00000125">
      <w:pPr>
        <w:pStyle w:val="Heading3"/>
        <w:rPr/>
      </w:pPr>
      <w:bookmarkStart w:colFirst="0" w:colLast="0" w:name="_uet603j6brk4" w:id="18"/>
      <w:bookmarkEnd w:id="18"/>
      <w:r w:rsidDel="00000000" w:rsidR="00000000" w:rsidRPr="00000000">
        <w:rPr>
          <w:rtl w:val="0"/>
        </w:rPr>
        <w:t xml:space="preserve">🟥REC-015 — Proveedor GIS rechaza consultas por su límite de cuota</w:t>
      </w:r>
    </w:p>
    <w:p w:rsidR="00000000" w:rsidDel="00000000" w:rsidP="00000000" w:rsidRDefault="00000000" w:rsidRPr="00000000" w14:paraId="0000012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[Causa]</w:t>
      </w:r>
      <w:r w:rsidDel="00000000" w:rsidR="00000000" w:rsidRPr="00000000">
        <w:rPr>
          <w:rtl w:val="0"/>
        </w:rPr>
        <w:t xml:space="preserve"> Las consultas de mapas y planificación utilizan un proveedor GIS sujeto a límites externos de cuota.</w:t>
        <w:br w:type="textWrapping"/>
      </w:r>
      <w:r w:rsidDel="00000000" w:rsidR="00000000" w:rsidRPr="00000000">
        <w:rPr>
          <w:b w:val="1"/>
          <w:bCs w:val="1"/>
          <w:rtl w:val="0"/>
        </w:rPr>
        <w:t xml:space="preserve">[Evento de riesgo / Incertidumbre]</w:t>
      </w:r>
      <w:r w:rsidDel="00000000" w:rsidR="00000000" w:rsidRPr="00000000">
        <w:rPr>
          <w:rtl w:val="0"/>
        </w:rPr>
        <w:t xml:space="preserve"> Durante consultas de mapas o planificación, el proveedor GIS podría responder con una restricción de cuota y dejar sin completar las solicitudes afectadas.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atender esa incidencia de la integración y verificar la recuperación del acceso o el procedimiento de continuidad documentado.</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Por qué compete a LafroX:</w:t>
      </w:r>
      <w:r w:rsidDel="00000000" w:rsidR="00000000" w:rsidRPr="00000000">
        <w:rPr>
          <w:rtl w:val="0"/>
        </w:rPr>
        <w:t xml:space="preserve"> Afecta el soporte de la integración GIS y su disponibilidad funcional, no solamente la decisión de ruta del cliente.</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Contraste con lo ya definido:</w:t>
      </w:r>
      <w:r w:rsidDel="00000000" w:rsidR="00000000" w:rsidRPr="00000000">
        <w:rPr>
          <w:rtl w:val="0"/>
        </w:rPr>
        <w:t xml:space="preserve"> La arquitectura ya contempla timeout y límites de uso. No se declara insuficiente el dimensionamiento de LafroX; se identifica una respuesta restrictiva del servicio tercero.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Tabla A.24: INT-10/GIS</w:t>
      </w:r>
      <w:r w:rsidDel="00000000" w:rsidR="00000000" w:rsidRPr="00000000">
        <w:rPr>
          <w:rtl w:val="0"/>
        </w:rPr>
        <w:t xml:space="preserve">; </w:t>
      </w:r>
      <w:r w:rsidDel="00000000" w:rsidR="00000000" w:rsidRPr="00000000">
        <w:rPr>
          <w:rtl w:val="0"/>
        </w:rPr>
        <w:t xml:space="preserve">T-14, p. 87: 8.1.2</w:t>
      </w:r>
      <w:r w:rsidDel="00000000" w:rsidR="00000000" w:rsidRPr="00000000">
        <w:rPr>
          <w:rtl w:val="0"/>
        </w:rPr>
        <w:t xml:space="preserve">.</w:t>
      </w:r>
    </w:p>
    <w:p w:rsidR="00000000" w:rsidDel="00000000" w:rsidP="00000000" w:rsidRDefault="00000000" w:rsidRPr="00000000" w14:paraId="00000131">
      <w:pPr>
        <w:pStyle w:val="Heading3"/>
        <w:rPr/>
      </w:pPr>
      <w:bookmarkStart w:colFirst="0" w:colLast="0" w:name="_g8k9zdz8fr11" w:id="19"/>
      <w:bookmarkEnd w:id="19"/>
      <w:r w:rsidDel="00000000" w:rsidR="00000000" w:rsidRPr="00000000">
        <w:rPr>
          <w:rtl w:val="0"/>
        </w:rPr>
        <w:t xml:space="preserve">REC-027 — Calidad no entrega la matriz térmica aprobada antes de certificar</w:t>
      </w:r>
    </w:p>
    <w:p w:rsidR="00000000" w:rsidDel="00000000" w:rsidP="00000000" w:rsidRDefault="00000000" w:rsidRPr="00000000" w14:paraId="0000013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[Causa]</w:t>
      </w:r>
      <w:r w:rsidDel="00000000" w:rsidR="00000000" w:rsidRPr="00000000">
        <w:rPr>
          <w:rtl w:val="0"/>
        </w:rPr>
        <w:t xml:space="preserve"> La certificación de la parametrización térmica requiere una matriz de umbrales y duraciones por producto aprobada por Calidad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cerrar las pruebas y la marcha blanca de los productos afectados, Calidad del cliente podría no haber aprobado la matriz de umbrales y duraciones por producto.</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completar la evidencia de parametrización y aceptación de ese alcance y tendría que reprogramar sus validaciones.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Por qué compete a LafroX:</w:t>
      </w:r>
      <w:r w:rsidDel="00000000" w:rsidR="00000000" w:rsidRPr="00000000">
        <w:rPr>
          <w:rtl w:val="0"/>
        </w:rPr>
        <w:t xml:space="preserve"> La matriz es una entrada necesaria para las pruebas y la aceptación del alcance que entrega LafroX.</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Contraste con lo ya definido:</w:t>
      </w:r>
      <w:r w:rsidDel="00000000" w:rsidR="00000000" w:rsidRPr="00000000">
        <w:rPr>
          <w:rtl w:val="0"/>
        </w:rPr>
        <w:t xml:space="preserve"> RNG-04 ya fija quién decide y el bloqueo preventivo aplicable. No se reabre esa regla: V-11 mantiene expresamente pendientes los valores aprobados y condiciona a ellos el cierre.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140: RNG-04</w:t>
      </w:r>
      <w:r w:rsidDel="00000000" w:rsidR="00000000" w:rsidRPr="00000000">
        <w:rPr>
          <w:rtl w:val="0"/>
        </w:rPr>
        <w:t xml:space="preserve">; </w:t>
      </w:r>
      <w:r w:rsidDel="00000000" w:rsidR="00000000" w:rsidRPr="00000000">
        <w:rPr>
          <w:rtl w:val="0"/>
        </w:rPr>
        <w:t xml:space="preserve">SD3, anexos, p. 148: V-11</w:t>
      </w:r>
      <w:r w:rsidDel="00000000" w:rsidR="00000000" w:rsidRPr="00000000">
        <w:rPr>
          <w:rtl w:val="0"/>
        </w:rPr>
        <w:t xml:space="preserve">.</w:t>
      </w:r>
    </w:p>
    <w:p w:rsidR="00000000" w:rsidDel="00000000" w:rsidP="00000000" w:rsidRDefault="00000000" w:rsidRPr="00000000" w14:paraId="0000013D">
      <w:pPr>
        <w:pStyle w:val="Heading3"/>
        <w:rPr/>
      </w:pPr>
      <w:bookmarkStart w:colFirst="0" w:colLast="0" w:name="_kgshs6d7v9yr" w:id="20"/>
      <w:bookmarkEnd w:id="20"/>
      <w:r w:rsidDel="00000000" w:rsidR="00000000" w:rsidRPr="00000000">
        <w:rPr>
          <w:rtl w:val="0"/>
        </w:rPr>
        <w:t xml:space="preserve">REC-034 — Equipos que compra el cliente no llegan antes de la ola prevista</w:t>
      </w:r>
    </w:p>
    <w:p w:rsidR="00000000" w:rsidDel="00000000" w:rsidP="00000000" w:rsidRDefault="00000000" w:rsidRPr="00000000" w14:paraId="0000013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[Causa]</w:t>
      </w:r>
      <w:r w:rsidDel="00000000" w:rsidR="00000000" w:rsidRPr="00000000">
        <w:rPr>
          <w:rtl w:val="0"/>
        </w:rPr>
        <w:t xml:space="preserve"> El cliente compra el equipamiento de terreno conforme a la especificación de LafroX y debe disponer de él antes de cada ola.</w:t>
        <w:br w:type="textWrapping"/>
      </w:r>
      <w:r w:rsidDel="00000000" w:rsidR="00000000" w:rsidRPr="00000000">
        <w:rPr>
          <w:b w:val="1"/>
          <w:bCs w:val="1"/>
          <w:rtl w:val="0"/>
        </w:rPr>
        <w:t xml:space="preserve">[Evento de riesgo / Incertidumbre]</w:t>
      </w:r>
      <w:r w:rsidDel="00000000" w:rsidR="00000000" w:rsidRPr="00000000">
        <w:rPr>
          <w:rtl w:val="0"/>
        </w:rPr>
        <w:t xml:space="preserve"> Pese a contar con la especificación de LafroX, el cliente o su proveedor podrían no entregar el equipamiento de terreno antes de la ola programada.</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ejecutar con esos equipos la instalación y las pruebas previstas, teniendo que reprogramar despliegue y acompañamiento dentro de los hitos vigentes.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Por qué compete a LafroX:</w:t>
      </w:r>
      <w:r w:rsidDel="00000000" w:rsidR="00000000" w:rsidRPr="00000000">
        <w:rPr>
          <w:rtl w:val="0"/>
        </w:rPr>
        <w:t xml:space="preserve"> Afecta directamente instalación, pruebas y planificación de recursos de LafroX, aunque el comprador sea el cliente.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Contraste con lo ya definido:</w:t>
      </w:r>
      <w:r w:rsidDel="00000000" w:rsidR="00000000" w:rsidRPr="00000000">
        <w:rPr>
          <w:rtl w:val="0"/>
        </w:rPr>
        <w:t xml:space="preserve"> S-20 y la exclusión de compra de hardware de terreno ya fijan al comprador. Se elimina esa ambigüedad del enunciado y se conserva solo la entrega tardía externa; no se presupone mover hitos.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122: S-20</w:t>
      </w:r>
      <w:r w:rsidDel="00000000" w:rsidR="00000000" w:rsidRPr="00000000">
        <w:rPr>
          <w:rtl w:val="0"/>
        </w:rPr>
        <w:t xml:space="preserve">; </w:t>
      </w:r>
      <w:r w:rsidDel="00000000" w:rsidR="00000000" w:rsidRPr="00000000">
        <w:rPr>
          <w:rtl w:val="0"/>
        </w:rPr>
        <w:t xml:space="preserve">SD6, anexos, p. 6: Equipamiento de terreno</w:t>
      </w:r>
      <w:r w:rsidDel="00000000" w:rsidR="00000000" w:rsidRPr="00000000">
        <w:rPr>
          <w:rtl w:val="0"/>
        </w:rPr>
        <w:t xml:space="preserve">; </w:t>
      </w:r>
      <w:r w:rsidDel="00000000" w:rsidR="00000000" w:rsidRPr="00000000">
        <w:rPr>
          <w:rtl w:val="0"/>
        </w:rPr>
        <w:t xml:space="preserve">T-18, p. 5: Calendario de olas</w:t>
      </w:r>
      <w:r w:rsidDel="00000000" w:rsidR="00000000" w:rsidRPr="00000000">
        <w:rPr>
          <w:rtl w:val="0"/>
        </w:rPr>
        <w:t xml:space="preserve">.</w:t>
      </w:r>
    </w:p>
    <w:p w:rsidR="00000000" w:rsidDel="00000000" w:rsidP="00000000" w:rsidRDefault="00000000" w:rsidRPr="00000000" w14:paraId="00000149">
      <w:pPr>
        <w:pStyle w:val="Heading3"/>
        <w:rPr/>
      </w:pPr>
      <w:bookmarkStart w:colFirst="0" w:colLast="0" w:name="_wbd59xe5yk57" w:id="21"/>
      <w:bookmarkEnd w:id="21"/>
      <w:r w:rsidDel="00000000" w:rsidR="00000000" w:rsidRPr="00000000">
        <w:rPr>
          <w:rtl w:val="0"/>
        </w:rPr>
        <w:t xml:space="preserve">🟥REC-035 — Transportista no firma su acuerdo antes de la ola de reparto</w:t>
      </w:r>
    </w:p>
    <w:p w:rsidR="00000000" w:rsidDel="00000000" w:rsidP="00000000" w:rsidRDefault="00000000" w:rsidRPr="00000000" w14:paraId="0000014A">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b w:val="1"/>
          <w:bCs w:val="1"/>
          <w:rtl w:val="0"/>
        </w:rPr>
        <w:t xml:space="preserve">[Causa]</w:t>
      </w:r>
      <w:r w:rsidDel="00000000" w:rsidR="00000000" w:rsidRPr="00000000">
        <w:rPr>
          <w:rtl w:val="0"/>
        </w:rPr>
        <w:t xml:space="preserve"> La incorporación de una empresa transportista incluida en el alcance requiere formalizar previamente su acuerdo operacional.</w:t>
        <w:br w:type="textWrapping"/>
      </w:r>
      <w:r w:rsidDel="00000000" w:rsidR="00000000" w:rsidRPr="00000000">
        <w:rPr>
          <w:b w:val="1"/>
          <w:bCs w:val="1"/>
          <w:rtl w:val="0"/>
        </w:rPr>
        <w:t xml:space="preserve">[Evento de riesgo / Incertidumbre]</w:t>
      </w:r>
      <w:r w:rsidDel="00000000" w:rsidR="00000000" w:rsidRPr="00000000">
        <w:rPr>
          <w:rtl w:val="0"/>
        </w:rPr>
        <w:t xml:space="preserve"> Antes de la ola de reparto, una empresa transportista incluida en el alcance podría no formalizar el acuerdo operacional requerido.</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completar su incorporación y las pruebas de sus usuarios en la secuencia prevista, comprometiendo la evidencia de cobertura de la implantación.</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b w:val="1"/>
          <w:bCs w:val="1"/>
          <w:rtl w:val="0"/>
        </w:rPr>
        <w:t xml:space="preserve">Por qué compete a LafroX:</w:t>
      </w:r>
      <w:r w:rsidDel="00000000" w:rsidR="00000000" w:rsidRPr="00000000">
        <w:rPr>
          <w:rtl w:val="0"/>
        </w:rPr>
        <w:t xml:space="preserve"> Los acuerdos habilitan la incorporación, capacitación y pruebas que forman parte de la entrega de LafroX.</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Contraste con lo ya definido:</w:t>
      </w:r>
      <w:r w:rsidDel="00000000" w:rsidR="00000000" w:rsidRPr="00000000">
        <w:rPr>
          <w:rtl w:val="0"/>
        </w:rPr>
        <w:t xml:space="preserve"> Está definida la exigencia de acuerdo previo. Lo incierto es su firma oportuna por el tercero; la falta de firma no permite retirar definitivamente de la aceptación una parte del alcance.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153: Empresas transportistas</w:t>
      </w:r>
      <w:r w:rsidDel="00000000" w:rsidR="00000000" w:rsidRPr="00000000">
        <w:rPr>
          <w:rtl w:val="0"/>
        </w:rPr>
        <w:t xml:space="preserve">; </w:t>
      </w:r>
      <w:r w:rsidDel="00000000" w:rsidR="00000000" w:rsidRPr="00000000">
        <w:rPr>
          <w:rtl w:val="0"/>
        </w:rPr>
        <w:t xml:space="preserve">T-18, p. 13: Incorporación de transportistas</w:t>
      </w:r>
      <w:r w:rsidDel="00000000" w:rsidR="00000000" w:rsidRPr="00000000">
        <w:rPr>
          <w:rtl w:val="0"/>
        </w:rPr>
        <w:t xml:space="preserve">; </w:t>
      </w:r>
      <w:r w:rsidDel="00000000" w:rsidR="00000000" w:rsidRPr="00000000">
        <w:rPr>
          <w:rtl w:val="0"/>
        </w:rPr>
        <w:t xml:space="preserve">SD6, anexos, p. 7: Acuerdos con transportistas</w:t>
      </w:r>
      <w:r w:rsidDel="00000000" w:rsidR="00000000" w:rsidRPr="00000000">
        <w:rPr>
          <w:rtl w:val="0"/>
        </w:rPr>
        <w:t xml:space="preserve">.</w:t>
      </w:r>
    </w:p>
    <w:p w:rsidR="00000000" w:rsidDel="00000000" w:rsidP="00000000" w:rsidRDefault="00000000" w:rsidRPr="00000000" w14:paraId="00000155">
      <w:pPr>
        <w:pStyle w:val="Heading3"/>
        <w:rPr/>
      </w:pPr>
      <w:bookmarkStart w:colFirst="0" w:colLast="0" w:name="_2tpdbflkqcpa" w:id="22"/>
      <w:bookmarkEnd w:id="22"/>
      <w:r w:rsidDel="00000000" w:rsidR="00000000" w:rsidRPr="00000000">
        <w:rPr>
          <w:rtl w:val="0"/>
        </w:rPr>
        <w:t xml:space="preserve">🟥REC-036 — Transportista impide instalar el termógrafo antes de incorporar su ruta</w:t>
      </w:r>
    </w:p>
    <w:p w:rsidR="00000000" w:rsidDel="00000000" w:rsidP="00000000" w:rsidRDefault="00000000" w:rsidRPr="00000000" w14:paraId="0000015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b w:val="1"/>
          <w:bCs w:val="1"/>
          <w:rtl w:val="0"/>
        </w:rPr>
        <w:t xml:space="preserve">[Causa]</w:t>
      </w:r>
      <w:r w:rsidDel="00000000" w:rsidR="00000000" w:rsidRPr="00000000">
        <w:rPr>
          <w:rtl w:val="0"/>
        </w:rPr>
        <w:t xml:space="preserve"> La instalación del termógrafo en un camión refrigerado de terceros requiere acceso y autorización de su empresa propietaria.</w:t>
        <w:br w:type="textWrapping"/>
      </w:r>
      <w:r w:rsidDel="00000000" w:rsidR="00000000" w:rsidRPr="00000000">
        <w:rPr>
          <w:b w:val="1"/>
          <w:bCs w:val="1"/>
          <w:rtl w:val="0"/>
        </w:rPr>
        <w:t xml:space="preserve">[Evento de riesgo / Incertidumbre]</w:t>
      </w:r>
      <w:r w:rsidDel="00000000" w:rsidR="00000000" w:rsidRPr="00000000">
        <w:rPr>
          <w:rtl w:val="0"/>
        </w:rPr>
        <w:t xml:space="preserve"> Al programar la incorporación de un camión refrigerado de terceros, su empresa podría negar el acceso o la autorización para instalar el termógrafo especificado.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ejecutar la instalación e integración previstas ni acreditar por ese medio la cobertura térmica de esa ruta antes de habilitarla.</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b w:val="1"/>
          <w:bCs w:val="1"/>
          <w:rtl w:val="0"/>
        </w:rPr>
        <w:t xml:space="preserve">Por qué compete a LafroX:</w:t>
      </w:r>
      <w:r w:rsidDel="00000000" w:rsidR="00000000" w:rsidRPr="00000000">
        <w:rPr>
          <w:rtl w:val="0"/>
        </w:rPr>
        <w:t xml:space="preserve"> LafroX específica e integra el equipo; la negativa impide una actividad de implantación y su verificación de cobertura.</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rtl w:val="0"/>
        </w:rPr>
        <w:t xml:space="preserve">Contraste con lo ya definido:</w:t>
      </w:r>
      <w:r w:rsidDel="00000000" w:rsidR="00000000" w:rsidRPr="00000000">
        <w:rPr>
          <w:rtl w:val="0"/>
        </w:rPr>
        <w:t xml:space="preserve"> S-28 fija compra del cliente e integración de LafroX, pero condiciona la instalación a aceptación del transportista. No se presume que un dato contractual alternativo ya satisfaga todo el requisito térmico.</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126: S-28</w:t>
      </w:r>
      <w:r w:rsidDel="00000000" w:rsidR="00000000" w:rsidRPr="00000000">
        <w:rPr>
          <w:rtl w:val="0"/>
        </w:rPr>
        <w:t xml:space="preserve">; </w:t>
      </w:r>
      <w:r w:rsidDel="00000000" w:rsidR="00000000" w:rsidRPr="00000000">
        <w:rPr>
          <w:rtl w:val="0"/>
        </w:rPr>
        <w:t xml:space="preserve">SD6, anexos, p. 6: Equipos y registro de frío</w:t>
      </w:r>
      <w:r w:rsidDel="00000000" w:rsidR="00000000" w:rsidRPr="00000000">
        <w:rPr>
          <w:rtl w:val="0"/>
        </w:rPr>
        <w:t xml:space="preserve">.</w:t>
      </w:r>
    </w:p>
    <w:p w:rsidR="00000000" w:rsidDel="00000000" w:rsidP="00000000" w:rsidRDefault="00000000" w:rsidRPr="00000000" w14:paraId="00000161">
      <w:pPr>
        <w:pStyle w:val="Heading3"/>
        <w:rPr/>
      </w:pPr>
      <w:bookmarkStart w:colFirst="0" w:colLast="0" w:name="_ovb4vvll7xgq" w:id="23"/>
      <w:bookmarkEnd w:id="23"/>
      <w:r w:rsidDel="00000000" w:rsidR="00000000" w:rsidRPr="00000000">
        <w:rPr>
          <w:rtl w:val="0"/>
        </w:rPr>
        <w:t xml:space="preserve">REC-039 — Usuarios mantienen el proceso anterior en lugar de registrar en la solución</w:t>
      </w:r>
    </w:p>
    <w:p w:rsidR="00000000" w:rsidDel="00000000" w:rsidP="00000000" w:rsidRDefault="00000000" w:rsidRPr="00000000" w14:paraId="00000162">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[Causa]</w:t>
      </w:r>
      <w:r w:rsidDel="00000000" w:rsidR="00000000" w:rsidRPr="00000000">
        <w:rPr>
          <w:rtl w:val="0"/>
        </w:rPr>
        <w:t xml:space="preserve"> La implantación cambia hábitos de trabajo y exige que los usuarios incorporen sus transacciones al registro oficial de la solución.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una ola, parte de los usuarios podría resistirse al cambio y continuar registrando exclusivamente en el procedimiento anterior, sin incorporar sus transacciones al registro oficial de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acreditar la cobertura de adopción requerida para cerrar esa ola y tendría que extender la intervención de implantación.</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Por qué compete a LafroX:</w:t>
      </w:r>
      <w:r w:rsidDel="00000000" w:rsidR="00000000" w:rsidRPr="00000000">
        <w:rPr>
          <w:rtl w:val="0"/>
        </w:rPr>
        <w:t xml:space="preserve"> La cobertura de usuarios y transacciones es condición de aceptación del trabajo de LafroX, además de afectar la operación del cliente.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Contraste con lo ya definido:</w:t>
      </w:r>
      <w:r w:rsidDel="00000000" w:rsidR="00000000" w:rsidRPr="00000000">
        <w:rPr>
          <w:rtl w:val="0"/>
        </w:rPr>
        <w:t xml:space="preserve"> La obligación de registrar la operación y certificar usuarios ya está definida. Se identifica un comportamiento de resistencia, no una duda sobre cuál es la meta ni una admisión de incapacidad de capacitación.</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T-14, p. 84: Gestión del cambio</w:t>
      </w:r>
      <w:r w:rsidDel="00000000" w:rsidR="00000000" w:rsidRPr="00000000">
        <w:rPr>
          <w:rtl w:val="0"/>
        </w:rPr>
        <w:t xml:space="preserve">; </w:t>
      </w:r>
      <w:r w:rsidDel="00000000" w:rsidR="00000000" w:rsidRPr="00000000">
        <w:rPr>
          <w:rtl w:val="0"/>
        </w:rPr>
        <w:t xml:space="preserve">T-18, p. 13: §7.2.8</w:t>
      </w:r>
      <w:r w:rsidDel="00000000" w:rsidR="00000000" w:rsidRPr="00000000">
        <w:rPr>
          <w:rtl w:val="0"/>
        </w:rPr>
        <w:t xml:space="preserve">.</w:t>
      </w:r>
    </w:p>
    <w:p w:rsidR="00000000" w:rsidDel="00000000" w:rsidP="00000000" w:rsidRDefault="00000000" w:rsidRPr="00000000" w14:paraId="0000016D">
      <w:pPr>
        <w:pStyle w:val="Heading3"/>
        <w:rPr/>
      </w:pPr>
      <w:bookmarkStart w:colFirst="0" w:colLast="0" w:name="_eyv6tyspzuqm" w:id="24"/>
      <w:bookmarkEnd w:id="24"/>
      <w:r w:rsidDel="00000000" w:rsidR="00000000" w:rsidRPr="00000000">
        <w:rPr>
          <w:rtl w:val="0"/>
        </w:rPr>
        <w:t xml:space="preserve">REC-041 — Planificador deja de estar disponible antes de validar sus excepciones</w:t>
      </w:r>
    </w:p>
    <w:p w:rsidR="00000000" w:rsidDel="00000000" w:rsidP="00000000" w:rsidRDefault="00000000" w:rsidRPr="00000000" w14:paraId="0000016E">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b w:val="1"/>
          <w:bCs w:val="1"/>
          <w:rtl w:val="0"/>
        </w:rPr>
        <w:t xml:space="preserve">[Causa]</w:t>
      </w:r>
      <w:r w:rsidDel="00000000" w:rsidR="00000000" w:rsidRPr="00000000">
        <w:rPr>
          <w:rtl w:val="0"/>
        </w:rPr>
        <w:t xml:space="preserve"> Parte de las reglas y excepciones de rutas reside en el planificador del cliente y debe transferirse y validarse mientras esté disponible.</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captura y validación temprana de reglas de rutas, el planificador del cliente podría retirarse o dejar de estar disponible antes de transferir las excepciones que aún no estén documentadas.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reconstruir y validar ese conocimiento con el ayudante y antecedentes históricos, afectando sus talleres y pruebas de rutas.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Por qué compete a LafroX:</w:t>
      </w:r>
      <w:r w:rsidDel="00000000" w:rsidR="00000000" w:rsidRPr="00000000">
        <w:rPr>
          <w:rtl w:val="0"/>
        </w:rPr>
        <w:t xml:space="preserve"> Los talleres, la parametrización y la validación del módulo de rutas son actividades de LafroX.</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Contraste con lo ya definido:</w:t>
      </w:r>
      <w:r w:rsidDel="00000000" w:rsidR="00000000" w:rsidRPr="00000000">
        <w:rPr>
          <w:rtl w:val="0"/>
        </w:rPr>
        <w:t xml:space="preserve"> S-16 ya fija transferencia temprana y una fuente alternativa. V-14 no confirma la disponibilidad efectiva del experto; una respuesta prevista no garantiza que el conocimiento esté disponible cuando se necesita.</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SD3, anexos, p. 120: S-16</w:t>
      </w:r>
      <w:r w:rsidDel="00000000" w:rsidR="00000000" w:rsidRPr="00000000">
        <w:rPr>
          <w:rtl w:val="0"/>
        </w:rPr>
        <w:t xml:space="preserve">; </w:t>
      </w:r>
      <w:r w:rsidDel="00000000" w:rsidR="00000000" w:rsidRPr="00000000">
        <w:rPr>
          <w:rtl w:val="0"/>
        </w:rPr>
        <w:t xml:space="preserve">SD3, anexos, p. 149: V-14</w:t>
      </w:r>
      <w:r w:rsidDel="00000000" w:rsidR="00000000" w:rsidRPr="00000000">
        <w:rPr>
          <w:rtl w:val="0"/>
        </w:rPr>
        <w:t xml:space="preserve">; </w:t>
      </w:r>
      <w:r w:rsidDel="00000000" w:rsidR="00000000" w:rsidRPr="00000000">
        <w:rPr>
          <w:rtl w:val="0"/>
        </w:rPr>
        <w:t xml:space="preserve">SD4, p. 72: Planificador experto</w:t>
      </w:r>
      <w:r w:rsidDel="00000000" w:rsidR="00000000" w:rsidRPr="00000000">
        <w:rPr>
          <w:rtl w:val="0"/>
        </w:rPr>
        <w:t xml:space="preserve">.</w:t>
      </w:r>
    </w:p>
    <w:p w:rsidR="00000000" w:rsidDel="00000000" w:rsidP="00000000" w:rsidRDefault="00000000" w:rsidRPr="00000000" w14:paraId="00000179">
      <w:pPr>
        <w:pStyle w:val="Heading3"/>
        <w:rPr/>
      </w:pPr>
      <w:bookmarkStart w:colFirst="0" w:colLast="0" w:name="_jkgzw42q6i10" w:id="25"/>
      <w:bookmarkEnd w:id="25"/>
      <w:r w:rsidDel="00000000" w:rsidR="00000000" w:rsidRPr="00000000">
        <w:rPr>
          <w:rtl w:val="0"/>
        </w:rPr>
        <w:t xml:space="preserve">🟥REC-042 — Usuarios no disponibles en las sesiones acordadas de certificación</w:t>
      </w:r>
    </w:p>
    <w:p w:rsidR="00000000" w:rsidDel="00000000" w:rsidP="00000000" w:rsidRDefault="00000000" w:rsidRPr="00000000" w14:paraId="0000017A">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rtl w:val="0"/>
        </w:rPr>
        <w:t xml:space="preserve">[Causa]</w:t>
      </w:r>
      <w:r w:rsidDel="00000000" w:rsidR="00000000" w:rsidRPr="00000000">
        <w:rPr>
          <w:rtl w:val="0"/>
        </w:rPr>
        <w:t xml:space="preserve"> La formación y certificación deben realizarse sin detener preparación, venta o reparto y requieren que el cliente libere a sus usuarios para las sesiones previstas.</w:t>
        <w:br w:type="textWrapping"/>
      </w:r>
      <w:r w:rsidDel="00000000" w:rsidR="00000000" w:rsidRPr="00000000">
        <w:rPr>
          <w:b w:val="1"/>
          <w:bCs w:val="1"/>
          <w:rtl w:val="0"/>
        </w:rPr>
        <w:t xml:space="preserve">[Evento de riesgo / Incertidumbre]</w:t>
      </w:r>
      <w:r w:rsidDel="00000000" w:rsidR="00000000" w:rsidRPr="00000000">
        <w:rPr>
          <w:rtl w:val="0"/>
        </w:rPr>
        <w:t xml:space="preserve"> Antes del cierre de una ola, las necesidades de preparación, venta o reparto podrían impedir que el cliente libere a los usuarios para las sesiones previstas de formación y evaluación.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reprogramar sesiones y acompañamiento y no podría cerrar la certificación de esos perfiles hasta completar las evaluaciones.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b w:val="1"/>
          <w:bCs w:val="1"/>
          <w:rtl w:val="0"/>
        </w:rPr>
        <w:t xml:space="preserve">Por qué compete a LafroX:</w:t>
      </w:r>
      <w:r w:rsidDel="00000000" w:rsidR="00000000" w:rsidRPr="00000000">
        <w:rPr>
          <w:rtl w:val="0"/>
        </w:rPr>
        <w:t xml:space="preserve"> Afecta las sesiones, los recursos de implantación y la evidencia de certificación que debe entregar LafroX.</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b w:val="1"/>
          <w:bCs w:val="1"/>
          <w:rtl w:val="0"/>
        </w:rPr>
        <w:t xml:space="preserve">Contraste con lo ya definido:</w:t>
      </w:r>
      <w:r w:rsidDel="00000000" w:rsidR="00000000" w:rsidRPr="00000000">
        <w:rPr>
          <w:rtl w:val="0"/>
        </w:rPr>
        <w:t xml:space="preserve"> Están decididas las modalidades y la capacitación sin detener la operación. La amenaza se limita a no disponer de los asistentes en las sesiones previstas, no a la decisión de capacitar en ruta o en bodega.</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T-18, p. 11: §7.2.7</w:t>
      </w:r>
      <w:r w:rsidDel="00000000" w:rsidR="00000000" w:rsidRPr="00000000">
        <w:rPr>
          <w:rtl w:val="0"/>
        </w:rPr>
        <w:t xml:space="preserve">; </w:t>
      </w:r>
      <w:r w:rsidDel="00000000" w:rsidR="00000000" w:rsidRPr="00000000">
        <w:rPr>
          <w:rtl w:val="0"/>
        </w:rPr>
        <w:t xml:space="preserve">T-18, p. 13: Certificación de usuarios</w:t>
      </w:r>
      <w:r w:rsidDel="00000000" w:rsidR="00000000" w:rsidRPr="00000000">
        <w:rPr>
          <w:rtl w:val="0"/>
        </w:rPr>
        <w:t xml:space="preserve">; </w:t>
      </w:r>
      <w:r w:rsidDel="00000000" w:rsidR="00000000" w:rsidRPr="00000000">
        <w:rPr>
          <w:rtl w:val="0"/>
        </w:rPr>
        <w:t xml:space="preserve">T-14, p. 81: Capacitación</w:t>
      </w:r>
      <w:r w:rsidDel="00000000" w:rsidR="00000000" w:rsidRPr="00000000">
        <w:rPr>
          <w:rtl w:val="0"/>
        </w:rPr>
        <w:t xml:space="preserve">.</w:t>
      </w:r>
    </w:p>
    <w:p w:rsidR="00000000" w:rsidDel="00000000" w:rsidP="00000000" w:rsidRDefault="00000000" w:rsidRPr="00000000" w14:paraId="00000185">
      <w:pPr>
        <w:pStyle w:val="Heading3"/>
        <w:rPr/>
      </w:pPr>
      <w:bookmarkStart w:colFirst="0" w:colLast="0" w:name="_r20iqy5ndjjp" w:id="26"/>
      <w:bookmarkEnd w:id="26"/>
      <w:r w:rsidDel="00000000" w:rsidR="00000000" w:rsidRPr="00000000">
        <w:rPr>
          <w:rtl w:val="0"/>
        </w:rPr>
        <w:t xml:space="preserve">REC-043 — Contraparte no entrega una validación necesaria en la fecha prevista</w:t>
      </w:r>
    </w:p>
    <w:p w:rsidR="00000000" w:rsidDel="00000000" w:rsidP="00000000" w:rsidRDefault="00000000" w:rsidRPr="00000000" w14:paraId="00000186">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[Causa]</w:t>
      </w:r>
      <w:r w:rsidDel="00000000" w:rsidR="00000000" w:rsidRPr="00000000">
        <w:rPr>
          <w:rtl w:val="0"/>
        </w:rPr>
        <w:t xml:space="preserve"> Los diseños, pruebas y aceptaciones incluyen actividades dependientes de validaciones o decisiones de las áreas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Antes de completar un diseño, una prueba o una aceptación programada, el área del cliente requerida podría no entregar la validación o decisión necesaria en la fecha acordada para esa actividad.</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detener o repetir las tareas dependientes, consumir holgura y reprogramar recursos.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Por qué compete a LafroX:</w:t>
      </w:r>
      <w:r w:rsidDel="00000000" w:rsidR="00000000" w:rsidRPr="00000000">
        <w:rPr>
          <w:rtl w:val="0"/>
        </w:rPr>
        <w:t xml:space="preserve"> Afecta tareas dependientes y compromisos de entrega de LafroX, no solo la agenda del cliente.</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rtl w:val="0"/>
        </w:rPr>
        <w:t xml:space="preserve">Contraste con lo ya definido:</w:t>
      </w:r>
      <w:r w:rsidDel="00000000" w:rsidR="00000000" w:rsidRPr="00000000">
        <w:rPr>
          <w:rtl w:val="0"/>
        </w:rPr>
        <w:t xml:space="preserve"> Se respetan los plazos de revisión reconocidos al cliente. El evento no es el uso normal de esos plazos ni una aprobación tácita, sino la ausencia de una validación necesaria al agotarse la fecha prevista o acordada.</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T-15, p. 44: §7.5.5: revisión y validación de entregables</w:t>
      </w:r>
      <w:r w:rsidDel="00000000" w:rsidR="00000000" w:rsidRPr="00000000">
        <w:rPr>
          <w:rtl w:val="0"/>
        </w:rPr>
        <w:t xml:space="preserve">.</w:t>
      </w:r>
    </w:p>
    <w:p w:rsidR="00000000" w:rsidDel="00000000" w:rsidP="00000000" w:rsidRDefault="00000000" w:rsidRPr="00000000" w14:paraId="00000191">
      <w:pPr>
        <w:pStyle w:val="Heading3"/>
        <w:rPr/>
      </w:pPr>
      <w:bookmarkStart w:colFirst="0" w:colLast="0" w:name="_7zlga7imzhnk" w:id="27"/>
      <w:bookmarkEnd w:id="27"/>
      <w:r w:rsidDel="00000000" w:rsidR="00000000" w:rsidRPr="00000000">
        <w:rPr>
          <w:rtl w:val="0"/>
        </w:rPr>
        <w:t xml:space="preserve">REC-048 — Proveedor de conectividad interrumpe el enlace de un sitio operado</w:t>
      </w:r>
    </w:p>
    <w:p w:rsidR="00000000" w:rsidDel="00000000" w:rsidP="00000000" w:rsidRDefault="00000000" w:rsidRPr="00000000" w14:paraId="0000019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b w:val="1"/>
          <w:bCs w:val="1"/>
          <w:rtl w:val="0"/>
        </w:rPr>
        <w:t xml:space="preserve">[Causa]</w:t>
      </w:r>
      <w:r w:rsidDel="00000000" w:rsidR="00000000" w:rsidRPr="00000000">
        <w:rPr>
          <w:rtl w:val="0"/>
        </w:rPr>
        <w:t xml:space="preserve"> Los sitios utilizan servicios externos de fibra, LTE o satélite cuya conectividad con servicios centrales forma parte del servicio integrado.</w:t>
        <w:br w:type="textWrapping"/>
      </w:r>
      <w:r w:rsidDel="00000000" w:rsidR="00000000" w:rsidRPr="00000000">
        <w:rPr>
          <w:b w:val="1"/>
          <w:bCs w:val="1"/>
          <w:rtl w:val="0"/>
        </w:rPr>
        <w:t xml:space="preserve">[Evento de riesgo / Incertidumbre]</w:t>
      </w:r>
      <w:r w:rsidDel="00000000" w:rsidR="00000000" w:rsidRPr="00000000">
        <w:rPr>
          <w:rtl w:val="0"/>
        </w:rPr>
        <w:t xml:space="preserve"> Durante pruebas u operación de un sitio, el proveedor de fibra, LTE o satélite podría interrumpir el enlace utilizado.</w:t>
        <w:br w:type="textWrapping"/>
      </w:r>
      <w:r w:rsidDel="00000000" w:rsidR="00000000" w:rsidRPr="00000000">
        <w:rPr>
          <w:b w:val="1"/>
          <w:bCs w:val="1"/>
          <w:rtl w:val="0"/>
        </w:rPr>
        <w:t xml:space="preserve">[Efecto o impacto en el proyecto]</w:t>
      </w:r>
      <w:r w:rsidDel="00000000" w:rsidR="00000000" w:rsidRPr="00000000">
        <w:rPr>
          <w:rtl w:val="0"/>
        </w:rPr>
        <w:t xml:space="preserve"> La conexión con servicios centrales quedaría limitada y LafroX tendría que gestionar la restitución con el operador y verificar la posterior sincronización, manteniendo la continuidad local comprometida.</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b w:val="1"/>
          <w:bCs w:val="1"/>
          <w:rtl w:val="0"/>
        </w:rPr>
        <w:t xml:space="preserve">Por qué compete a LafroX:</w:t>
      </w:r>
      <w:r w:rsidDel="00000000" w:rsidR="00000000" w:rsidRPr="00000000">
        <w:rPr>
          <w:rtl w:val="0"/>
        </w:rPr>
        <w:t xml:space="preserve"> LafroX contrata conectividad y atiende incidencias y continuidad del servicio; existe afectación directa a su operación SRE.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Contraste con lo ya definido:</w:t>
      </w:r>
      <w:r w:rsidDel="00000000" w:rsidR="00000000" w:rsidRPr="00000000">
        <w:rPr>
          <w:rtl w:val="0"/>
        </w:rPr>
        <w:t xml:space="preserve"> La autonomía local y los caminos alternativos son requisitos definidos. Se conserva la interrupción del servicio externo; no se pone en duda la capacidad de operar sin enlace durante el período comprometido.</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SD6, anexos, p. 7: Servicios de conectividad</w:t>
      </w:r>
      <w:r w:rsidDel="00000000" w:rsidR="00000000" w:rsidRPr="00000000">
        <w:rPr>
          <w:rtl w:val="0"/>
        </w:rPr>
        <w:t xml:space="preserve">; </w:t>
      </w:r>
      <w:r w:rsidDel="00000000" w:rsidR="00000000" w:rsidRPr="00000000">
        <w:rPr>
          <w:rtl w:val="0"/>
        </w:rPr>
        <w:t xml:space="preserve">SD4, p. 142: Fallas en enlaces</w:t>
      </w:r>
      <w:r w:rsidDel="00000000" w:rsidR="00000000" w:rsidRPr="00000000">
        <w:rPr>
          <w:rtl w:val="0"/>
        </w:rPr>
        <w:t xml:space="preserve">; </w:t>
      </w:r>
      <w:r w:rsidDel="00000000" w:rsidR="00000000" w:rsidRPr="00000000">
        <w:rPr>
          <w:rtl w:val="0"/>
        </w:rPr>
        <w:t xml:space="preserve">T-14, p. 87: Servicio e incidentes</w:t>
      </w:r>
      <w:r w:rsidDel="00000000" w:rsidR="00000000" w:rsidRPr="00000000">
        <w:rPr>
          <w:rtl w:val="0"/>
        </w:rPr>
        <w:t xml:space="preserve">.</w:t>
      </w:r>
    </w:p>
    <w:p w:rsidR="00000000" w:rsidDel="00000000" w:rsidP="00000000" w:rsidRDefault="00000000" w:rsidRPr="00000000" w14:paraId="0000019D">
      <w:pPr>
        <w:pStyle w:val="Heading3"/>
        <w:rPr/>
      </w:pPr>
      <w:bookmarkStart w:colFirst="0" w:colLast="0" w:name="_mjz65ad2fooz" w:id="28"/>
      <w:bookmarkEnd w:id="28"/>
      <w:r w:rsidDel="00000000" w:rsidR="00000000" w:rsidRPr="00000000">
        <w:rPr>
          <w:rtl w:val="0"/>
        </w:rPr>
        <w:t xml:space="preserve">🟥REC-049 — Corte eléctrico prolongado en infraestructura</w:t>
      </w:r>
    </w:p>
    <w:p w:rsidR="00000000" w:rsidDel="00000000" w:rsidP="00000000" w:rsidRDefault="00000000" w:rsidRPr="00000000" w14:paraId="0000019E">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b w:val="1"/>
          <w:bCs w:val="1"/>
          <w:rtl w:val="0"/>
        </w:rPr>
        <w:t xml:space="preserve">[Causa]</w:t>
      </w:r>
      <w:r w:rsidDel="00000000" w:rsidR="00000000" w:rsidRPr="00000000">
        <w:rPr>
          <w:rtl w:val="0"/>
        </w:rPr>
        <w:t xml:space="preserve"> La infraestructura depende del suministro eléctrico externo y de respaldos con una autonomía declarada finita.</w:t>
        <w:br w:type="textWrapping"/>
      </w:r>
      <w:r w:rsidDel="00000000" w:rsidR="00000000" w:rsidRPr="00000000">
        <w:rPr>
          <w:b w:val="1"/>
          <w:bCs w:val="1"/>
          <w:rtl w:val="0"/>
        </w:rPr>
        <w:t xml:space="preserve">[Evento de riesgo / Incertidumbre]</w:t>
      </w:r>
      <w:r w:rsidDel="00000000" w:rsidR="00000000" w:rsidRPr="00000000">
        <w:rPr>
          <w:rtl w:val="0"/>
        </w:rPr>
        <w:t xml:space="preserve">  un corte del suministro externo podría prolongarse hasta agotar la autonomía de respaldo aplicable a los equipos afectados.</w:t>
        <w:br w:type="textWrapping"/>
      </w:r>
      <w:r w:rsidDel="00000000" w:rsidR="00000000" w:rsidRPr="00000000">
        <w:rPr>
          <w:b w:val="1"/>
          <w:bCs w:val="1"/>
          <w:rtl w:val="0"/>
        </w:rPr>
        <w:t xml:space="preserve">[Efecto o impacto en el proyecto]</w:t>
      </w:r>
      <w:r w:rsidDel="00000000" w:rsidR="00000000" w:rsidRPr="00000000">
        <w:rPr>
          <w:rtl w:val="0"/>
        </w:rPr>
        <w:t xml:space="preserve"> La prestación de esos componentes quedaría amenazada y LafroX tendría que gestionar la incidencia y la restitución de infraestructura dentro de sus obligaciones de servicio.</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Por qué compete a LafroX:</w:t>
      </w:r>
      <w:r w:rsidDel="00000000" w:rsidR="00000000" w:rsidRPr="00000000">
        <w:rPr>
          <w:rtl w:val="0"/>
        </w:rPr>
        <w:t xml:space="preserve"> Se limita a sala, racks, borde o equipos bajo el mantenimiento contractual de LafroX; no incluye pérdidas generales del negocio por falta de electricidad.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Contraste con lo ya definido:</w:t>
      </w:r>
      <w:r w:rsidDel="00000000" w:rsidR="00000000" w:rsidRPr="00000000">
        <w:rPr>
          <w:rtl w:val="0"/>
        </w:rPr>
        <w:t xml:space="preserve"> UPS, generación y autonomías están declaradas. La duración adversa del suministro externo es el evento, no una falta de definición o instalación de los respaldos ofrecidos.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143: Corte de energía y autonomías</w:t>
      </w:r>
      <w:r w:rsidDel="00000000" w:rsidR="00000000" w:rsidRPr="00000000">
        <w:rPr>
          <w:rtl w:val="0"/>
        </w:rPr>
        <w:t xml:space="preserve">; </w:t>
      </w:r>
      <w:r w:rsidDel="00000000" w:rsidR="00000000" w:rsidRPr="00000000">
        <w:rPr>
          <w:rtl w:val="0"/>
        </w:rPr>
        <w:t xml:space="preserve">T-14, p. 90: 8.2.3</w:t>
      </w:r>
      <w:r w:rsidDel="00000000" w:rsidR="00000000" w:rsidRPr="00000000">
        <w:rPr>
          <w:rtl w:val="0"/>
        </w:rPr>
        <w:t xml:space="preserve">.</w:t>
      </w:r>
    </w:p>
    <w:p w:rsidR="00000000" w:rsidDel="00000000" w:rsidP="00000000" w:rsidRDefault="00000000" w:rsidRPr="00000000" w14:paraId="000001A9">
      <w:pPr>
        <w:pStyle w:val="Heading3"/>
        <w:rPr/>
      </w:pPr>
      <w:bookmarkStart w:colFirst="0" w:colLast="0" w:name="_9v3fma8am39p" w:id="29"/>
      <w:bookmarkEnd w:id="29"/>
      <w:r w:rsidDel="00000000" w:rsidR="00000000" w:rsidRPr="00000000">
        <w:rPr>
          <w:rtl w:val="0"/>
        </w:rPr>
        <w:t xml:space="preserve">REC-050 — Región primaria de nube queda indisponible durante el servicio</w:t>
      </w:r>
    </w:p>
    <w:p w:rsidR="00000000" w:rsidDel="00000000" w:rsidP="00000000" w:rsidRDefault="00000000" w:rsidRPr="00000000" w14:paraId="000001AA">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b w:val="1"/>
          <w:bCs w:val="1"/>
          <w:rtl w:val="0"/>
        </w:rPr>
        <w:t xml:space="preserve">[Causa]</w:t>
      </w:r>
      <w:r w:rsidDel="00000000" w:rsidR="00000000" w:rsidRPr="00000000">
        <w:rPr>
          <w:rtl w:val="0"/>
        </w:rPr>
        <w:t xml:space="preserve"> Los portales y la analítica centrales se alojan en una región de nube externa y su continuidad ante pérdida regional requiere conmutación.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prestación del servicio, una interrupción de la región primaria de nube podría dejar temporalmente sin acceso a los portales y la analítica alojados allí.</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ejecutar y validar la conmutación a la región de recuperación y restituir los canales correspondientes dentro de los objetivos comprometidos.</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Por qué compete a LafroX:</w:t>
      </w:r>
      <w:r w:rsidDel="00000000" w:rsidR="00000000" w:rsidRPr="00000000">
        <w:rPr>
          <w:rtl w:val="0"/>
        </w:rPr>
        <w:t xml:space="preserve"> LafroX opera la plataforma central y el servicio de recuperación; la incidencia requiere su intervención técnica.</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Contraste con lo ya definido:</w:t>
      </w:r>
      <w:r w:rsidDel="00000000" w:rsidR="00000000" w:rsidRPr="00000000">
        <w:rPr>
          <w:rtl w:val="0"/>
        </w:rPr>
        <w:t xml:space="preserve"> La arquitectura de recuperación está elegida. Se conserva la falla externa de la región, no una duda sobre la capacidad de recuperar ni una autorización para exceder los objetivos de continuidad.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135: Contingencia regional</w:t>
      </w:r>
      <w:r w:rsidDel="00000000" w:rsidR="00000000" w:rsidRPr="00000000">
        <w:rPr>
          <w:rtl w:val="0"/>
        </w:rPr>
        <w:t xml:space="preserve">; </w:t>
      </w:r>
      <w:r w:rsidDel="00000000" w:rsidR="00000000" w:rsidRPr="00000000">
        <w:rPr>
          <w:rtl w:val="0"/>
        </w:rPr>
        <w:t xml:space="preserve">SD4, p. 144: Falla de región completa</w:t>
      </w:r>
      <w:r w:rsidDel="00000000" w:rsidR="00000000" w:rsidRPr="00000000">
        <w:rPr>
          <w:rtl w:val="0"/>
        </w:rPr>
        <w:t xml:space="preserve">; </w:t>
      </w:r>
      <w:r w:rsidDel="00000000" w:rsidR="00000000" w:rsidRPr="00000000">
        <w:rPr>
          <w:rtl w:val="0"/>
        </w:rPr>
        <w:t xml:space="preserve">T-14, p. 87: 8.1.3</w:t>
      </w:r>
      <w:r w:rsidDel="00000000" w:rsidR="00000000" w:rsidRPr="00000000">
        <w:rPr>
          <w:rtl w:val="0"/>
        </w:rPr>
        <w:t xml:space="preserve">.</w:t>
      </w:r>
    </w:p>
    <w:p w:rsidR="00000000" w:rsidDel="00000000" w:rsidP="00000000" w:rsidRDefault="00000000" w:rsidRPr="00000000" w14:paraId="000001B5">
      <w:pPr>
        <w:pStyle w:val="Heading3"/>
        <w:rPr/>
      </w:pPr>
      <w:bookmarkStart w:colFirst="0" w:colLast="0" w:name="_aw1icd9x2gn" w:id="30"/>
      <w:bookmarkEnd w:id="30"/>
      <w:r w:rsidDel="00000000" w:rsidR="00000000" w:rsidRPr="00000000">
        <w:rPr>
          <w:rtl w:val="0"/>
        </w:rPr>
        <w:t xml:space="preserve">🟥REC-057 — Aprobación de residencia requerida no disponible al habilitar el entorno</w:t>
      </w:r>
    </w:p>
    <w:p w:rsidR="00000000" w:rsidDel="00000000" w:rsidP="00000000" w:rsidRDefault="00000000" w:rsidRPr="00000000" w14:paraId="000001B6">
      <w:pPr>
        <w:rPr/>
      </w:pPr>
      <w:r w:rsidDel="00000000" w:rsidR="00000000" w:rsidRPr="00000000">
        <w:rPr>
          <w:b w:val="1"/>
          <w:bCs w:val="1"/>
          <w:rtl w:val="0"/>
        </w:rPr>
        <w:t xml:space="preserve">Rama RBS:</w:t>
      </w:r>
      <w:r w:rsidDel="00000000" w:rsidR="00000000" w:rsidRPr="00000000">
        <w:rPr>
          <w:rtl w:val="0"/>
        </w:rPr>
        <w:t xml:space="preserve"> Regulatorio y externo.</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b w:val="1"/>
          <w:bCs w:val="1"/>
          <w:rtl w:val="0"/>
        </w:rPr>
        <w:t xml:space="preserve">[Causa]</w:t>
      </w:r>
      <w:r w:rsidDel="00000000" w:rsidR="00000000" w:rsidRPr="00000000">
        <w:rPr>
          <w:rtl w:val="0"/>
        </w:rPr>
        <w:t xml:space="preserve"> El tratamiento y la recuperación en las regiones propuestas requieren la aprobación del cliente sobre residencia y transferencia de datos.</w:t>
        <w:br w:type="textWrapping"/>
      </w:r>
      <w:r w:rsidDel="00000000" w:rsidR="00000000" w:rsidRPr="00000000">
        <w:rPr>
          <w:b w:val="1"/>
          <w:bCs w:val="1"/>
          <w:rtl w:val="0"/>
        </w:rPr>
        <w:t xml:space="preserve">[Evento de riesgo / Incertidumbre]</w:t>
      </w:r>
      <w:r w:rsidDel="00000000" w:rsidR="00000000" w:rsidRPr="00000000">
        <w:rPr>
          <w:rtl w:val="0"/>
        </w:rPr>
        <w:t xml:space="preserve"> Antes de habilitar el tratamiento y la recuperación en las regiones propuestas, el cliente podría no otorgar la aprobación de residencia y transferencia requerida para esa habilitación.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no podría cerrar esa condición del despliegue y tendría que resolverla formalmente antes de ejecutar o certificar el alcance afectado.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Por qué compete a LafroX:</w:t>
      </w:r>
      <w:r w:rsidDel="00000000" w:rsidR="00000000" w:rsidRPr="00000000">
        <w:rPr>
          <w:rtl w:val="0"/>
        </w:rPr>
        <w:t xml:space="preserve"> La autorización es una entrada para desplegar los entornos y demostrar la recuperación que entrega LafroX.</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Contraste con lo ya definido:</w:t>
      </w:r>
      <w:r w:rsidDel="00000000" w:rsidR="00000000" w:rsidRPr="00000000">
        <w:rPr>
          <w:rtl w:val="0"/>
        </w:rPr>
        <w:t xml:space="preserve"> Las regiones ya están escogidas: no se reabre su selección como si estuviera indefinida. ADR-19 exige una aprobación del cliente que la elección técnica por sí sola no acredita.</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54: ADR-19</w:t>
      </w:r>
      <w:r w:rsidDel="00000000" w:rsidR="00000000" w:rsidRPr="00000000">
        <w:rPr>
          <w:rtl w:val="0"/>
        </w:rPr>
        <w:t xml:space="preserve">; </w:t>
      </w:r>
      <w:r w:rsidDel="00000000" w:rsidR="00000000" w:rsidRPr="00000000">
        <w:rPr>
          <w:rtl w:val="0"/>
        </w:rPr>
        <w:t xml:space="preserve">SD4, p. 104: Residencia y regiones</w:t>
      </w:r>
      <w:r w:rsidDel="00000000" w:rsidR="00000000" w:rsidRPr="00000000">
        <w:rPr>
          <w:rtl w:val="0"/>
        </w:rPr>
        <w:t xml:space="preserve">.</w:t>
      </w:r>
    </w:p>
    <w:p w:rsidR="00000000" w:rsidDel="00000000" w:rsidP="00000000" w:rsidRDefault="00000000" w:rsidRPr="00000000" w14:paraId="000001C1">
      <w:pPr>
        <w:pStyle w:val="Heading3"/>
        <w:rPr/>
      </w:pPr>
      <w:bookmarkStart w:colFirst="0" w:colLast="0" w:name="_p9iujxlwyrm3" w:id="31"/>
      <w:bookmarkEnd w:id="31"/>
      <w:r w:rsidDel="00000000" w:rsidR="00000000" w:rsidRPr="00000000">
        <w:rPr>
          <w:rtl w:val="0"/>
        </w:rPr>
        <w:t xml:space="preserve">REC-058 — Cliente no autoriza la intervención urgente necesaria durante un congelamiento</w:t>
      </w:r>
    </w:p>
    <w:p w:rsidR="00000000" w:rsidDel="00000000" w:rsidP="00000000" w:rsidRDefault="00000000" w:rsidRPr="00000000" w14:paraId="000001C2">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[Causa]</w:t>
      </w:r>
      <w:r w:rsidDel="00000000" w:rsidR="00000000" w:rsidRPr="00000000">
        <w:rPr>
          <w:rtl w:val="0"/>
        </w:rPr>
        <w:t xml:space="preserve"> La remediación de un incidente o vulnerabilidad puede requerir una intervención durante un período congelado, sujeta a autorización del cliente.</w:t>
        <w:br w:type="textWrapping"/>
      </w:r>
      <w:r w:rsidDel="00000000" w:rsidR="00000000" w:rsidRPr="00000000">
        <w:rPr>
          <w:b w:val="1"/>
          <w:bCs w:val="1"/>
          <w:rtl w:val="0"/>
        </w:rPr>
        <w:t xml:space="preserve">[Evento de riesgo / Incertidumbre]</w:t>
      </w:r>
      <w:r w:rsidDel="00000000" w:rsidR="00000000" w:rsidRPr="00000000">
        <w:rPr>
          <w:rtl w:val="0"/>
        </w:rPr>
        <w:t xml:space="preserve"> Al detectarse una vulnerabilidad o incidente que requiere intervenir durante una fecha prohibida, el cliente podría no autorizar el cambio de emergencia solicitado.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sostener la contención y gestionar el conflicto entre fecha habilitada y plazo de remediación, sin que esa decisión del cliente acredite por sí sola una exención contractual.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b w:val="1"/>
          <w:bCs w:val="1"/>
          <w:rtl w:val="0"/>
        </w:rPr>
        <w:t xml:space="preserve">Por qué compete a LafroX:</w:t>
      </w:r>
      <w:r w:rsidDel="00000000" w:rsidR="00000000" w:rsidRPr="00000000">
        <w:rPr>
          <w:rtl w:val="0"/>
        </w:rPr>
        <w:t xml:space="preserve"> Afecta directamente la gestión del incidente y la remediación a cargo de LafroX.</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b w:val="1"/>
          <w:bCs w:val="1"/>
          <w:rtl w:val="0"/>
        </w:rPr>
        <w:t xml:space="preserve">Contraste con lo ya definido:</w:t>
      </w:r>
      <w:r w:rsidDel="00000000" w:rsidR="00000000" w:rsidRPr="00000000">
        <w:rPr>
          <w:rtl w:val="0"/>
        </w:rPr>
        <w:t xml:space="preserve"> El calendario y la exigencia de autorización están definidos. Se conserva la denegación efectiva ante una intervención necesaria; no se declara que contención equivalga a remediación ni que el plazo se amplíe automáticamente.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123: Calendario</w:t>
      </w:r>
      <w:r w:rsidDel="00000000" w:rsidR="00000000" w:rsidRPr="00000000">
        <w:rPr>
          <w:rtl w:val="0"/>
        </w:rPr>
        <w:t xml:space="preserve">; </w:t>
      </w:r>
      <w:r w:rsidDel="00000000" w:rsidR="00000000" w:rsidRPr="00000000">
        <w:rPr>
          <w:rtl w:val="0"/>
        </w:rPr>
        <w:t xml:space="preserve">SD4, p. 124: Cambio de emergencia</w:t>
      </w:r>
      <w:r w:rsidDel="00000000" w:rsidR="00000000" w:rsidRPr="00000000">
        <w:rPr>
          <w:rtl w:val="0"/>
        </w:rPr>
        <w:t xml:space="preserve">; </w:t>
      </w:r>
      <w:r w:rsidDel="00000000" w:rsidR="00000000" w:rsidRPr="00000000">
        <w:rPr>
          <w:rtl w:val="0"/>
        </w:rPr>
        <w:t xml:space="preserve">T-14, p. 90: 8.2.2</w:t>
      </w:r>
      <w:r w:rsidDel="00000000" w:rsidR="00000000" w:rsidRPr="00000000">
        <w:rPr>
          <w:rtl w:val="0"/>
        </w:rPr>
        <w:t xml:space="preserve">.</w:t>
      </w:r>
    </w:p>
    <w:p w:rsidR="00000000" w:rsidDel="00000000" w:rsidP="00000000" w:rsidRDefault="00000000" w:rsidRPr="00000000" w14:paraId="000001CD">
      <w:pPr>
        <w:pStyle w:val="Heading3"/>
        <w:rPr/>
      </w:pPr>
      <w:bookmarkStart w:colFirst="0" w:colLast="0" w:name="_3xz9gfg4zyc6" w:id="32"/>
      <w:bookmarkEnd w:id="32"/>
      <w:r w:rsidDel="00000000" w:rsidR="00000000" w:rsidRPr="00000000">
        <w:rPr>
          <w:rtl w:val="0"/>
        </w:rPr>
        <w:t xml:space="preserve">🟥REC-061 — Uso de credencial ajena contra pedidos o accesos públicos</w:t>
      </w:r>
    </w:p>
    <w:p w:rsidR="00000000" w:rsidDel="00000000" w:rsidP="00000000" w:rsidRDefault="00000000" w:rsidRPr="00000000" w14:paraId="000001C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b w:val="1"/>
          <w:bCs w:val="1"/>
          <w:rtl w:val="0"/>
        </w:rPr>
        <w:t xml:space="preserve">[Causa]</w:t>
      </w:r>
      <w:r w:rsidDel="00000000" w:rsidR="00000000" w:rsidRPr="00000000">
        <w:rPr>
          <w:rtl w:val="0"/>
        </w:rPr>
        <w:t xml:space="preserve"> Los canales públicos permiten operar mediante credenciales o tokens y están expuestos a intentos de utilización de identidades ajenas.</w:t>
        <w:br w:type="textWrapping"/>
      </w:r>
      <w:r w:rsidDel="00000000" w:rsidR="00000000" w:rsidRPr="00000000">
        <w:rPr>
          <w:b w:val="1"/>
          <w:bCs w:val="1"/>
          <w:rtl w:val="0"/>
        </w:rPr>
        <w:t xml:space="preserve">[Evento de riesgo / Incertidumbre]</w:t>
      </w:r>
      <w:r w:rsidDel="00000000" w:rsidR="00000000" w:rsidRPr="00000000">
        <w:rPr>
          <w:rtl w:val="0"/>
        </w:rPr>
        <w:t xml:space="preserve"> Durante el uso de los canales públicos, un actor podría presentar una credencial o token ajeno para intentar registrar pedidos o acceder con otra identidad.</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detectar, investigar y contener el abuso y verificar la atribución de las operaciones afectadas; si el intento prospera, puede comprometer su legitimidad.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Por qué compete a LafroX:</w:t>
      </w:r>
      <w:r w:rsidDel="00000000" w:rsidR="00000000" w:rsidRPr="00000000">
        <w:rPr>
          <w:rtl w:val="0"/>
        </w:rPr>
        <w:t xml:space="preserve"> La autenticación, auditoría y respuesta de seguridad forman parte del servicio de LafroX.</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b w:val="1"/>
          <w:bCs w:val="1"/>
          <w:rtl w:val="0"/>
        </w:rPr>
        <w:t xml:space="preserve">Contraste con lo ya definido:</w:t>
      </w:r>
      <w:r w:rsidDel="00000000" w:rsidR="00000000" w:rsidRPr="00000000">
        <w:rPr>
          <w:rtl w:val="0"/>
        </w:rPr>
        <w:t xml:space="preserve"> No se plantea elegir otro mecanismo de identidad ni se afirma una falla comprobada de sus controles. Se conserva una acción hostil expresamente modelada en las fronteras de acceso.</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64: M3</w:t>
      </w:r>
      <w:r w:rsidDel="00000000" w:rsidR="00000000" w:rsidRPr="00000000">
        <w:rPr>
          <w:rtl w:val="0"/>
        </w:rPr>
        <w:t xml:space="preserve">; </w:t>
      </w:r>
      <w:r w:rsidDel="00000000" w:rsidR="00000000" w:rsidRPr="00000000">
        <w:rPr>
          <w:rtl w:val="0"/>
        </w:rPr>
        <w:t xml:space="preserve">SD4, anexos, p. 65: Frontera pública</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1D9">
      <w:pPr>
        <w:pStyle w:val="Heading3"/>
        <w:rPr/>
      </w:pPr>
      <w:bookmarkStart w:colFirst="0" w:colLast="0" w:name="_blgi63kr9dwa" w:id="33"/>
      <w:bookmarkEnd w:id="33"/>
      <w:r w:rsidDel="00000000" w:rsidR="00000000" w:rsidRPr="00000000">
        <w:rPr>
          <w:rtl w:val="0"/>
        </w:rPr>
        <w:t xml:space="preserve">🟥REC-062 — Mensaje EDI con contraparte falsa o contenido alterado</w:t>
      </w:r>
    </w:p>
    <w:p w:rsidR="00000000" w:rsidDel="00000000" w:rsidP="00000000" w:rsidRDefault="00000000" w:rsidRPr="00000000" w14:paraId="000001DA">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[Causa]</w:t>
      </w:r>
      <w:r w:rsidDel="00000000" w:rsidR="00000000" w:rsidRPr="00000000">
        <w:rPr>
          <w:rtl w:val="0"/>
        </w:rPr>
        <w:t xml:space="preserve"> El intercambio EDI recibe mensajes a través de una frontera con sistemas y contrapartes externas.</w:t>
        <w:br w:type="textWrapping"/>
      </w:r>
      <w:r w:rsidDel="00000000" w:rsidR="00000000" w:rsidRPr="00000000">
        <w:rPr>
          <w:b w:val="1"/>
          <w:bCs w:val="1"/>
          <w:rtl w:val="0"/>
        </w:rPr>
        <w:t xml:space="preserve">[Evento de riesgo / Incertidumbre]</w:t>
      </w:r>
      <w:r w:rsidDel="00000000" w:rsidR="00000000" w:rsidRPr="00000000">
        <w:rPr>
          <w:rtl w:val="0"/>
        </w:rPr>
        <w:t xml:space="preserve"> Al recibir un intercambio EDI, podría llegar un mensaje que suplante a una cadena autorizada o cuyo contenido haya sido alterado.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aislarlo, verificar firma y procedencia e investigar la integración antes de tramitar las operaciones afectadas, consumiendo atención técnica y de seguridad.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Por qué compete a LafroX:</w:t>
      </w:r>
      <w:r w:rsidDel="00000000" w:rsidR="00000000" w:rsidRPr="00000000">
        <w:rPr>
          <w:rtl w:val="0"/>
        </w:rPr>
        <w:t xml:space="preserve"> Concierne a la integridad del intercambio EDI integrado y operado por LafroX.</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b w:val="1"/>
          <w:bCs w:val="1"/>
          <w:rtl w:val="0"/>
        </w:rPr>
        <w:t xml:space="preserve">Contraste con lo ya definido:</w:t>
      </w:r>
      <w:r w:rsidDel="00000000" w:rsidR="00000000" w:rsidRPr="00000000">
        <w:rPr>
          <w:rtl w:val="0"/>
        </w:rPr>
        <w:t xml:space="preserve"> Firmas, certificados y rechazo están definidos. El riesgo es la recepción del mensaje hostil, no una ambigüedad sobre qué controles se deben implementar.</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INT-08/OpenAS2</w:t>
      </w:r>
      <w:r w:rsidDel="00000000" w:rsidR="00000000" w:rsidRPr="00000000">
        <w:rPr>
          <w:rtl w:val="0"/>
        </w:rPr>
        <w:t xml:space="preserve">; </w:t>
      </w:r>
      <w:r w:rsidDel="00000000" w:rsidR="00000000" w:rsidRPr="00000000">
        <w:rPr>
          <w:rtl w:val="0"/>
        </w:rPr>
        <w:t xml:space="preserve">SD4, p. 47: Amenazas M11</w:t>
      </w:r>
      <w:r w:rsidDel="00000000" w:rsidR="00000000" w:rsidRPr="00000000">
        <w:rPr>
          <w:rtl w:val="0"/>
        </w:rPr>
        <w:t xml:space="preserve">.</w:t>
      </w:r>
    </w:p>
    <w:p w:rsidR="00000000" w:rsidDel="00000000" w:rsidP="00000000" w:rsidRDefault="00000000" w:rsidRPr="00000000" w14:paraId="000001E5">
      <w:pPr>
        <w:pStyle w:val="Heading3"/>
        <w:rPr/>
      </w:pPr>
      <w:bookmarkStart w:colFirst="0" w:colLast="0" w:name="_24nkktpuv17q" w:id="34"/>
      <w:bookmarkEnd w:id="34"/>
      <w:r w:rsidDel="00000000" w:rsidR="00000000" w:rsidRPr="00000000">
        <w:rPr>
          <w:rtl w:val="0"/>
        </w:rPr>
        <w:t xml:space="preserve">🟥REC-063 — Telemetría entrega posiciones falsas o antiguas como información actual</w:t>
      </w:r>
    </w:p>
    <w:p w:rsidR="00000000" w:rsidDel="00000000" w:rsidP="00000000" w:rsidRDefault="00000000" w:rsidRPr="00000000" w14:paraId="000001E6">
      <w:pPr>
        <w:rPr/>
      </w:pPr>
      <w:r w:rsidDel="00000000" w:rsidR="00000000" w:rsidRPr="00000000">
        <w:rPr>
          <w:b w:val="1"/>
          <w:bCs w:val="1"/>
          <w:rtl w:val="0"/>
        </w:rPr>
        <w:t xml:space="preserve">Rama RBS:</w:t>
      </w:r>
      <w:r w:rsidDel="00000000" w:rsidR="00000000" w:rsidRPr="00000000">
        <w:rPr>
          <w:rtl w:val="0"/>
        </w:rPr>
        <w:t xml:space="preserve"> Integración y legado.</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b w:val="1"/>
          <w:bCs w:val="1"/>
          <w:rtl w:val="0"/>
        </w:rPr>
        <w:t xml:space="preserve">[Causa]</w:t>
      </w:r>
      <w:r w:rsidDel="00000000" w:rsidR="00000000" w:rsidRPr="00000000">
        <w:rPr>
          <w:rtl w:val="0"/>
        </w:rPr>
        <w:t xml:space="preserve"> El seguimiento de flota utiliza datos de posición recibidos de un proveedor externo y depende de su procedencia, fecha y secuencia.</w:t>
        <w:br w:type="textWrapping"/>
      </w:r>
      <w:r w:rsidDel="00000000" w:rsidR="00000000" w:rsidRPr="00000000">
        <w:rPr>
          <w:b w:val="1"/>
          <w:bCs w:val="1"/>
          <w:rtl w:val="0"/>
        </w:rPr>
        <w:t xml:space="preserve">[Evento de riesgo / Incertidumbre]</w:t>
      </w:r>
      <w:r w:rsidDel="00000000" w:rsidR="00000000" w:rsidRPr="00000000">
        <w:rPr>
          <w:rtl w:val="0"/>
        </w:rPr>
        <w:t xml:space="preserve"> Al ingerir datos de posición del proveedor de telemetría, podrían recibirse muestras falsas o históricas presentadas como actuales, o muestras fuera de secuencia.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investigar su procedencia y temporalidad y resolver el incidente de integración para no incorporar una representación incorrecta al seguimiento.</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b w:val="1"/>
          <w:bCs w:val="1"/>
          <w:rtl w:val="0"/>
        </w:rPr>
        <w:t xml:space="preserve">Por qué compete a LafroX:</w:t>
      </w:r>
      <w:r w:rsidDel="00000000" w:rsidR="00000000" w:rsidRPr="00000000">
        <w:rPr>
          <w:rtl w:val="0"/>
        </w:rPr>
        <w:t xml:space="preserve"> La ingesta y trazabilidad del seguimiento son parte de la integración M12 a cargo de LafroX.</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b w:val="1"/>
          <w:bCs w:val="1"/>
          <w:rtl w:val="0"/>
        </w:rPr>
        <w:t xml:space="preserve">Contraste con lo ya definido:</w:t>
      </w:r>
      <w:r w:rsidDel="00000000" w:rsidR="00000000" w:rsidRPr="00000000">
        <w:rPr>
          <w:rtl w:val="0"/>
        </w:rPr>
        <w:t xml:space="preserve"> Cursor, fecha y acceso de lectura ya están definidos. La incertidumbre es el contenido de entrada efectivamente recibido, no la decisión sobre cómo ordenar o validar las posiciones.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INT-15/GPS</w:t>
      </w:r>
      <w:r w:rsidDel="00000000" w:rsidR="00000000" w:rsidRPr="00000000">
        <w:rPr>
          <w:rtl w:val="0"/>
        </w:rPr>
        <w:t xml:space="preserve">; </w:t>
      </w:r>
      <w:r w:rsidDel="00000000" w:rsidR="00000000" w:rsidRPr="00000000">
        <w:rPr>
          <w:rtl w:val="0"/>
        </w:rPr>
        <w:t xml:space="preserve">SD3, anexos, p. 122: Cobertura de telemetría</w:t>
      </w:r>
      <w:r w:rsidDel="00000000" w:rsidR="00000000" w:rsidRPr="00000000">
        <w:rPr>
          <w:rtl w:val="0"/>
        </w:rPr>
        <w:t xml:space="preserve">.</w:t>
      </w:r>
    </w:p>
    <w:p w:rsidR="00000000" w:rsidDel="00000000" w:rsidP="00000000" w:rsidRDefault="00000000" w:rsidRPr="00000000" w14:paraId="000001F1">
      <w:pPr>
        <w:pStyle w:val="Heading3"/>
        <w:rPr/>
      </w:pPr>
      <w:bookmarkStart w:colFirst="0" w:colLast="0" w:name="_2fqyxtpphydu" w:id="35"/>
      <w:bookmarkEnd w:id="35"/>
      <w:r w:rsidDel="00000000" w:rsidR="00000000" w:rsidRPr="00000000">
        <w:rPr>
          <w:rtl w:val="0"/>
        </w:rPr>
        <w:t xml:space="preserve">REC-064 — Terminal enrolado se pierde o queda en poder de otra persona</w:t>
      </w:r>
    </w:p>
    <w:p w:rsidR="00000000" w:rsidDel="00000000" w:rsidP="00000000" w:rsidRDefault="00000000" w:rsidRPr="00000000" w14:paraId="000001F2">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b w:val="1"/>
          <w:bCs w:val="1"/>
          <w:rtl w:val="0"/>
        </w:rPr>
        <w:t xml:space="preserve">[Causa]</w:t>
      </w:r>
      <w:r w:rsidDel="00000000" w:rsidR="00000000" w:rsidRPr="00000000">
        <w:rPr>
          <w:rtl w:val="0"/>
        </w:rPr>
        <w:t xml:space="preserve"> Los terminales enrolados se utilizan físicamente en ruta y bodega y contienen datos locales asociados a usuarios autorizados.</w:t>
        <w:br w:type="textWrapping"/>
      </w:r>
      <w:r w:rsidDel="00000000" w:rsidR="00000000" w:rsidRPr="00000000">
        <w:rPr>
          <w:b w:val="1"/>
          <w:bCs w:val="1"/>
          <w:rtl w:val="0"/>
        </w:rPr>
        <w:t xml:space="preserve">[Evento de riesgo / Incertidumbre]</w:t>
      </w:r>
      <w:r w:rsidDel="00000000" w:rsidR="00000000" w:rsidRPr="00000000">
        <w:rPr>
          <w:rtl w:val="0"/>
        </w:rPr>
        <w:t xml:space="preserve"> Durante su uso en ruta o bodega, un terminal enrolado podría perderse o entregarse a una persona distinta de su usuario autorizado.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el incidente de dispositivo e identidad, verificar la exposición de datos locales y contener accesos indebidos dentro del servicio de seguridad y gestión del terminal.</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b w:val="1"/>
          <w:bCs w:val="1"/>
          <w:rtl w:val="0"/>
        </w:rPr>
        <w:t xml:space="preserve">Por qué compete a LafroX:</w:t>
      </w:r>
      <w:r w:rsidDel="00000000" w:rsidR="00000000" w:rsidRPr="00000000">
        <w:rPr>
          <w:rtl w:val="0"/>
        </w:rPr>
        <w:t xml:space="preserve"> La gestión y protección del dispositivo forman parte de las suscripciones e integración que contrata y opera LafroX; la propiedad del equipo no elimina esa responsabilidad.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b w:val="1"/>
          <w:bCs w:val="1"/>
          <w:rtl w:val="0"/>
        </w:rPr>
        <w:t xml:space="preserve">Contraste con lo ya definido:</w:t>
      </w:r>
      <w:r w:rsidDel="00000000" w:rsidR="00000000" w:rsidRPr="00000000">
        <w:rPr>
          <w:rtl w:val="0"/>
        </w:rPr>
        <w:t xml:space="preserve"> MDM, cifrado y PIN son controles definidos. La pérdida o cesión física del terminal es un evento externo a la elección de esos controles, no una declaración de que resulten ineficaces.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UI-MOV/UI-HHT/DAT-LOCAL</w:t>
      </w:r>
      <w:r w:rsidDel="00000000" w:rsidR="00000000" w:rsidRPr="00000000">
        <w:rPr>
          <w:rtl w:val="0"/>
        </w:rPr>
        <w:t xml:space="preserve">; </w:t>
      </w:r>
      <w:r w:rsidDel="00000000" w:rsidR="00000000" w:rsidRPr="00000000">
        <w:rPr>
          <w:rtl w:val="0"/>
        </w:rPr>
        <w:t xml:space="preserve">SD6, anexos, p. 7: Gestión de dispositivos</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1FD">
      <w:pPr>
        <w:pStyle w:val="Heading3"/>
        <w:rPr/>
      </w:pPr>
      <w:bookmarkStart w:colFirst="0" w:colLast="0" w:name="_i7j09xk48jdp" w:id="36"/>
      <w:bookmarkEnd w:id="36"/>
      <w:r w:rsidDel="00000000" w:rsidR="00000000" w:rsidRPr="00000000">
        <w:rPr>
          <w:rtl w:val="0"/>
        </w:rPr>
        <w:t xml:space="preserve">REC-065 — Ataques DDOS a los canales públicos</w:t>
      </w:r>
    </w:p>
    <w:p w:rsidR="00000000" w:rsidDel="00000000" w:rsidP="00000000" w:rsidRDefault="00000000" w:rsidRPr="00000000" w14:paraId="000001FE">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[Causa]</w:t>
      </w:r>
      <w:r w:rsidDel="00000000" w:rsidR="00000000" w:rsidRPr="00000000">
        <w:rPr>
          <w:rtl w:val="0"/>
        </w:rPr>
        <w:t xml:space="preserve"> Los portales e interfaces públicas están expuestos a solicitudes de actores externos, incluidas posibles ráfagas abusivas.</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operación, un actor podría dirigir ráfagas de solicitudes abusivas a portales o interfaces públicas para impedir accesos legítimos.</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gestionar la contención y comprobar la disponibilidad del servicio, con atención extraordinaria de operación y seguridad.</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b w:val="1"/>
          <w:bCs w:val="1"/>
          <w:rtl w:val="0"/>
        </w:rPr>
        <w:t xml:space="preserve">Por qué compete a LafroX:</w:t>
      </w:r>
      <w:r w:rsidDel="00000000" w:rsidR="00000000" w:rsidRPr="00000000">
        <w:rPr>
          <w:rtl w:val="0"/>
        </w:rPr>
        <w:t xml:space="preserve"> La protección de las entradas públicas y la continuidad del servicio son obligaciones operativas de LafroX.</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b w:val="1"/>
          <w:bCs w:val="1"/>
          <w:rtl w:val="0"/>
        </w:rPr>
        <w:t xml:space="preserve">Contraste con lo ya definido:</w:t>
      </w:r>
      <w:r w:rsidDel="00000000" w:rsidR="00000000" w:rsidRPr="00000000">
        <w:rPr>
          <w:rtl w:val="0"/>
        </w:rPr>
        <w:t xml:space="preserve"> La protección contra abuso y los límites de tasa ya están especificados. Se conserva el ataque, sin afirmar que el dimensionamiento contratado o esos controles estén fallando.</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anexos, p. 65: BOR-PUB/GW-CENT/AUTH-CENT</w:t>
      </w:r>
      <w:r w:rsidDel="00000000" w:rsidR="00000000" w:rsidRPr="00000000">
        <w:rPr>
          <w:rtl w:val="0"/>
        </w:rPr>
        <w:t xml:space="preserve">; </w:t>
      </w:r>
      <w:r w:rsidDel="00000000" w:rsidR="00000000" w:rsidRPr="00000000">
        <w:rPr>
          <w:rtl w:val="0"/>
        </w:rPr>
        <w:t xml:space="preserve">SD4, p. 141: Tabla 11</w:t>
      </w:r>
      <w:r w:rsidDel="00000000" w:rsidR="00000000" w:rsidRPr="00000000">
        <w:rPr>
          <w:rtl w:val="0"/>
        </w:rPr>
        <w:t xml:space="preserve">; </w:t>
      </w:r>
      <w:r w:rsidDel="00000000" w:rsidR="00000000" w:rsidRPr="00000000">
        <w:rPr>
          <w:rtl w:val="0"/>
        </w:rPr>
        <w:t xml:space="preserve">T-14, p. 88: 8.1.5</w:t>
      </w:r>
      <w:r w:rsidDel="00000000" w:rsidR="00000000" w:rsidRPr="00000000">
        <w:rPr>
          <w:rtl w:val="0"/>
        </w:rPr>
        <w:t xml:space="preserve">.</w:t>
      </w:r>
    </w:p>
    <w:p w:rsidR="00000000" w:rsidDel="00000000" w:rsidP="00000000" w:rsidRDefault="00000000" w:rsidRPr="00000000" w14:paraId="00000209">
      <w:pPr>
        <w:pStyle w:val="Heading3"/>
        <w:rPr/>
      </w:pPr>
      <w:bookmarkStart w:colFirst="0" w:colLast="0" w:name="_szuu0gsuorgp" w:id="37"/>
      <w:bookmarkEnd w:id="37"/>
      <w:r w:rsidDel="00000000" w:rsidR="00000000" w:rsidRPr="00000000">
        <w:rPr>
          <w:rtl w:val="0"/>
        </w:rPr>
        <w:t xml:space="preserve">REC-066 — Atacante utiliza una cuenta administrativa comprometida contra la evidencia</w:t>
      </w:r>
    </w:p>
    <w:p w:rsidR="00000000" w:rsidDel="00000000" w:rsidP="00000000" w:rsidRDefault="00000000" w:rsidRPr="00000000" w14:paraId="0000020A">
      <w:pPr>
        <w:rPr/>
      </w:pPr>
      <w:r w:rsidDel="00000000" w:rsidR="00000000" w:rsidRPr="00000000">
        <w:rPr>
          <w:b w:val="1"/>
          <w:bCs w:val="1"/>
          <w:rtl w:val="0"/>
        </w:rPr>
        <w:t xml:space="preserve">Rama RBS:</w:t>
      </w:r>
      <w:r w:rsidDel="00000000" w:rsidR="00000000" w:rsidRPr="00000000">
        <w:rPr>
          <w:rtl w:val="0"/>
        </w:rPr>
        <w:t xml:space="preserve"> Solución y tecnología.</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b w:val="1"/>
          <w:bCs w:val="1"/>
          <w:rtl w:val="0"/>
        </w:rPr>
        <w:t xml:space="preserve">[Causa]</w:t>
      </w:r>
      <w:r w:rsidDel="00000000" w:rsidR="00000000" w:rsidRPr="00000000">
        <w:rPr>
          <w:rtl w:val="0"/>
        </w:rPr>
        <w:t xml:space="preserve"> Las cuentas administrativas pueden ser objeto de compromiso y los respaldos y la evidencia constituyen objetivos de un atacante que obtenga esas credenciales.</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operación, un atacante que obtenga credenciales administrativas podría intentar borrar o alterar respaldos o evidencia de la plataforma.</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contener la cuenta, investigar las acciones y verificar la integridad y recuperabilidad de los conjuntos afectados, dentro de sus obligaciones de seguridad y continuidad.</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Por qué compete a LafroX:</w:t>
      </w:r>
      <w:r w:rsidDel="00000000" w:rsidR="00000000" w:rsidRPr="00000000">
        <w:rPr>
          <w:rtl w:val="0"/>
        </w:rPr>
        <w:t xml:space="preserve"> La respuesta a incidentes y las pruebas de integridad y restauración de la plataforma corresponden al servicio de LafroX.</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b w:val="1"/>
          <w:bCs w:val="1"/>
          <w:rtl w:val="0"/>
        </w:rPr>
        <w:t xml:space="preserve">Contraste con lo ya definido:</w:t>
      </w:r>
      <w:r w:rsidDel="00000000" w:rsidR="00000000" w:rsidRPr="00000000">
        <w:rPr>
          <w:rtl w:val="0"/>
        </w:rPr>
        <w:t xml:space="preserve"> La copia inmutable y la custodia separada ya están definidas. Se conserva la acción hostil con credenciales comprometidas, sin presentar la protección de la evidencia como una capacidad aún por decidir.</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b w:val="1"/>
          <w:bCs w:val="1"/>
          <w:rtl w:val="0"/>
        </w:rPr>
        <w:t xml:space="preserve">Fuentes:</w:t>
      </w:r>
      <w:r w:rsidDel="00000000" w:rsidR="00000000" w:rsidRPr="00000000">
        <w:rPr>
          <w:rtl w:val="0"/>
        </w:rPr>
        <w:t xml:space="preserve"> </w:t>
      </w:r>
      <w:r w:rsidDel="00000000" w:rsidR="00000000" w:rsidRPr="00000000">
        <w:rPr>
          <w:rtl w:val="0"/>
        </w:rPr>
        <w:t xml:space="preserve">SD4, p. 135: Ataque contra copias</w:t>
      </w:r>
      <w:r w:rsidDel="00000000" w:rsidR="00000000" w:rsidRPr="00000000">
        <w:rPr>
          <w:rtl w:val="0"/>
        </w:rPr>
        <w:t xml:space="preserve">; </w:t>
      </w:r>
      <w:r w:rsidDel="00000000" w:rsidR="00000000" w:rsidRPr="00000000">
        <w:rPr>
          <w:rtl w:val="0"/>
        </w:rPr>
        <w:t xml:space="preserve">SD4, anexos, p. 66: SEC-SECRETS/AUDIT/SIEM</w:t>
      </w:r>
      <w:r w:rsidDel="00000000" w:rsidR="00000000" w:rsidRPr="00000000">
        <w:rPr>
          <w:rtl w:val="0"/>
        </w:rPr>
        <w:t xml:space="preserve">; </w:t>
      </w:r>
      <w:r w:rsidDel="00000000" w:rsidR="00000000" w:rsidRPr="00000000">
        <w:rPr>
          <w:rtl w:val="0"/>
        </w:rPr>
        <w:t xml:space="preserve">T-14, p. 88: 8.1.5 y 8.1.6</w:t>
      </w:r>
      <w:r w:rsidDel="00000000" w:rsidR="00000000" w:rsidRPr="00000000">
        <w:rPr>
          <w:rtl w:val="0"/>
        </w:rPr>
        <w:t xml:space="preser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3"/>
        <w:rPr/>
      </w:pPr>
      <w:bookmarkStart w:colFirst="0" w:colLast="0" w:name="_mzy3src3lyc4" w:id="38"/>
      <w:bookmarkEnd w:id="38"/>
      <w:r w:rsidDel="00000000" w:rsidR="00000000" w:rsidRPr="00000000">
        <w:rPr>
          <w:rtl w:val="0"/>
        </w:rPr>
        <w:t xml:space="preserve">R-018 — Reemplazos de conductores externos sin aviso</w:t>
      </w:r>
    </w:p>
    <w:p w:rsidR="00000000" w:rsidDel="00000000" w:rsidP="00000000" w:rsidRDefault="00000000" w:rsidRPr="00000000" w14:paraId="00000217">
      <w:pPr>
        <w:rPr/>
      </w:pPr>
      <w:r w:rsidDel="00000000" w:rsidR="00000000" w:rsidRPr="00000000">
        <w:rPr>
          <w:b w:val="1"/>
          <w:bCs w:val="1"/>
          <w:rtl w:val="0"/>
        </w:rPr>
        <w:t xml:space="preserve">Rama RBS:</w:t>
      </w:r>
      <w:r w:rsidDel="00000000" w:rsidR="00000000" w:rsidRPr="00000000">
        <w:rPr>
          <w:rtl w:val="0"/>
        </w:rPr>
        <w:t xml:space="preserve"> Personas y adopción.</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[Causa]</w:t>
      </w:r>
      <w:r w:rsidDel="00000000" w:rsidR="00000000" w:rsidRPr="00000000">
        <w:rPr>
          <w:rtl w:val="0"/>
        </w:rPr>
        <w:t xml:space="preserve"> El reparto incluye conductores de empresas transportistas externas, cuyos reemplazos requieren comunicación, autorización y capacitación para utilizar la solución.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una ola de implantación, un transportista podría sustituir al conductor sin avisar y presentar un reemplazo que aún no esté autorizado o capacitado.</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atender su habilitación y formación y verificar los registros de las entregas afectadas, pudiendo requerirse trabajo adicional de acompañamiento y validación antes de cerrar la evidencia de esa ola.</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Por qué compete a LafroX:</w:t>
      </w:r>
      <w:r w:rsidDel="00000000" w:rsidR="00000000" w:rsidRPr="00000000">
        <w:rPr>
          <w:rtl w:val="0"/>
        </w:rPr>
        <w:t xml:space="preserve"> Afecta la incorporación de usuarios, el acompañamiento y la evidencia de implantación a cargo de LafroX.</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b w:val="1"/>
          <w:bCs w:val="1"/>
          <w:rtl w:val="0"/>
        </w:rPr>
        <w:t xml:space="preserve">Contraste con lo ya definido:</w:t>
      </w:r>
      <w:r w:rsidDel="00000000" w:rsidR="00000000" w:rsidRPr="00000000">
        <w:rPr>
          <w:rtl w:val="0"/>
        </w:rPr>
        <w:t xml:space="preserve"> El acuerdo y el procedimiento de enrolamiento no garantizan que el transportista comunique cada sustitución. El evento es un reemplazo efectivo sin aviso; se diferencia de REC-035, que trata la formalización inicial del acuerdo.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15">
        <w:r w:rsidDel="00000000" w:rsidR="00000000" w:rsidRPr="00000000">
          <w:rPr>
            <w:color w:val="1155cc"/>
            <w:u w:val="single"/>
            <w:rtl w:val="0"/>
          </w:rPr>
          <w:t xml:space="preserve">riesgos conservados, R-018</w:t>
        </w:r>
      </w:hyperlink>
      <w:r w:rsidDel="00000000" w:rsidR="00000000" w:rsidRPr="00000000">
        <w:rPr>
          <w:rtl w:val="0"/>
        </w:rPr>
        <w:t xml:space="preserve">; referencias de origen: </w:t>
      </w:r>
      <w:hyperlink r:id="rId16">
        <w:r w:rsidDel="00000000" w:rsidR="00000000" w:rsidRPr="00000000">
          <w:rPr>
            <w:color w:val="1155cc"/>
            <w:u w:val="single"/>
            <w:rtl w:val="0"/>
          </w:rPr>
          <w:t xml:space="preserve">T-16, p. 15</w:t>
        </w:r>
      </w:hyperlink>
      <w:r w:rsidDel="00000000" w:rsidR="00000000" w:rsidRPr="00000000">
        <w:rPr>
          <w:rtl w:val="0"/>
        </w:rPr>
        <w:t xml:space="preserve">; </w:t>
      </w:r>
      <w:hyperlink r:id="rId17">
        <w:r w:rsidDel="00000000" w:rsidR="00000000" w:rsidRPr="00000000">
          <w:rPr>
            <w:color w:val="1155cc"/>
            <w:u w:val="single"/>
            <w:rtl w:val="0"/>
          </w:rPr>
          <w:t xml:space="preserve">Anexo 8.A, p. 18</w:t>
        </w:r>
      </w:hyperlink>
      <w:r w:rsidDel="00000000" w:rsidR="00000000" w:rsidRPr="00000000">
        <w:rPr>
          <w:rtl w:val="0"/>
        </w:rPr>
        <w:t xml:space="preserve">. La afectación a la implantación es una síntesis interpretativa para esta lista.</w:t>
      </w:r>
    </w:p>
    <w:p w:rsidR="00000000" w:rsidDel="00000000" w:rsidP="00000000" w:rsidRDefault="00000000" w:rsidRPr="00000000" w14:paraId="00000222">
      <w:pPr>
        <w:pStyle w:val="Heading3"/>
        <w:rPr/>
      </w:pPr>
      <w:bookmarkStart w:colFirst="0" w:colLast="0" w:name="_xbwjnp4k0ojn" w:id="39"/>
      <w:bookmarkEnd w:id="39"/>
      <w:r w:rsidDel="00000000" w:rsidR="00000000" w:rsidRPr="00000000">
        <w:rPr>
          <w:rtl w:val="0"/>
        </w:rPr>
        <w:t xml:space="preserve">R-027 — Solicitudes que amplían el alcance</w:t>
      </w:r>
    </w:p>
    <w:p w:rsidR="00000000" w:rsidDel="00000000" w:rsidP="00000000" w:rsidRDefault="00000000" w:rsidRPr="00000000" w14:paraId="00000223">
      <w:pPr>
        <w:rPr/>
      </w:pPr>
      <w:r w:rsidDel="00000000" w:rsidR="00000000" w:rsidRPr="00000000">
        <w:rPr>
          <w:b w:val="1"/>
          <w:bCs w:val="1"/>
          <w:rtl w:val="0"/>
        </w:rPr>
        <w:t xml:space="preserve">Rama RBS:</w:t>
      </w:r>
      <w:r w:rsidDel="00000000" w:rsidR="00000000" w:rsidRPr="00000000">
        <w:rPr>
          <w:rtl w:val="0"/>
        </w:rPr>
        <w:t xml:space="preserve"> Contrato y licitación.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[Causa]</w:t>
      </w:r>
      <w:r w:rsidDel="00000000" w:rsidR="00000000" w:rsidRPr="00000000">
        <w:rPr>
          <w:rtl w:val="0"/>
        </w:rPr>
        <w:t xml:space="preserve"> La solución tiene un alcance delimitado mediante requisitos, exclusiones y decisiones aprobadas, y las solicitudes posteriores deben contrastarse con esa base.</w:t>
        <w:br w:type="textWrapping"/>
      </w:r>
      <w:r w:rsidDel="00000000" w:rsidR="00000000" w:rsidRPr="00000000">
        <w:rPr>
          <w:b w:val="1"/>
          <w:bCs w:val="1"/>
          <w:rtl w:val="0"/>
        </w:rPr>
        <w:t xml:space="preserve">[Evento de riesgo / Incertidumbre]</w:t>
      </w:r>
      <w:r w:rsidDel="00000000" w:rsidR="00000000" w:rsidRPr="00000000">
        <w:rPr>
          <w:rtl w:val="0"/>
        </w:rPr>
        <w:t xml:space="preserve"> Durante la ejecución, la contraparte podría solicitar una función, integración o modificación que exceda el alcance acordado y cuya incorporación requiera trabajo adicional.</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evaluar y tramitar el cambio; si se aprueba su incorporación, sería necesario ajustar el esfuerzo, costo o programación según el impacto acordado.</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Por qué compete a LafroX:</w:t>
      </w:r>
      <w:r w:rsidDel="00000000" w:rsidR="00000000" w:rsidRPr="00000000">
        <w:rPr>
          <w:rtl w:val="0"/>
        </w:rPr>
        <w:t xml:space="preserve"> Afecta la estimación, planificación y ejecución del trabajo solicitado a la empresa.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b w:val="1"/>
          <w:bCs w:val="1"/>
          <w:rtl w:val="0"/>
        </w:rPr>
        <w:t xml:space="preserve">Contraste con lo ya definido:</w:t>
      </w:r>
      <w:r w:rsidDel="00000000" w:rsidR="00000000" w:rsidRPr="00000000">
        <w:rPr>
          <w:rtl w:val="0"/>
        </w:rPr>
        <w:t xml:space="preserve"> No se presenta el alcance como indefinido ni se consideran adicionales las integraciones ya obligatorias. Se conserva la solicitud futura que lo exceda; su presentación no autoriza a ejecutarla ni modifica automáticamente el contrato.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18">
        <w:r w:rsidDel="00000000" w:rsidR="00000000" w:rsidRPr="00000000">
          <w:rPr>
            <w:color w:val="1155cc"/>
            <w:u w:val="single"/>
            <w:rtl w:val="0"/>
          </w:rPr>
          <w:t xml:space="preserve">riesgos conservados, R-027</w:t>
        </w:r>
      </w:hyperlink>
      <w:r w:rsidDel="00000000" w:rsidR="00000000" w:rsidRPr="00000000">
        <w:rPr>
          <w:rtl w:val="0"/>
        </w:rPr>
        <w:t xml:space="preserve">; referencias de origen: </w:t>
      </w:r>
      <w:hyperlink r:id="rId19">
        <w:r w:rsidDel="00000000" w:rsidR="00000000" w:rsidRPr="00000000">
          <w:rPr>
            <w:color w:val="1155cc"/>
            <w:u w:val="single"/>
            <w:rtl w:val="0"/>
          </w:rPr>
          <w:t xml:space="preserve">T-16, p. 20</w:t>
        </w:r>
      </w:hyperlink>
      <w:r w:rsidDel="00000000" w:rsidR="00000000" w:rsidRPr="00000000">
        <w:rPr>
          <w:rtl w:val="0"/>
        </w:rPr>
        <w:t xml:space="preserve">; </w:t>
      </w:r>
      <w:hyperlink r:id="rId20">
        <w:r w:rsidDel="00000000" w:rsidR="00000000" w:rsidRPr="00000000">
          <w:rPr>
            <w:color w:val="1155cc"/>
            <w:u w:val="single"/>
            <w:rtl w:val="0"/>
          </w:rPr>
          <w:t xml:space="preserve">Anexo 8.A, p. 12</w:t>
        </w:r>
      </w:hyperlink>
      <w:r w:rsidDel="00000000" w:rsidR="00000000" w:rsidRPr="00000000">
        <w:rPr>
          <w:rtl w:val="0"/>
        </w:rPr>
        <w:t xml:space="preserve">. La descripción es una reformulación del evento original.</w:t>
      </w:r>
    </w:p>
    <w:p w:rsidR="00000000" w:rsidDel="00000000" w:rsidP="00000000" w:rsidRDefault="00000000" w:rsidRPr="00000000" w14:paraId="0000022E">
      <w:pPr>
        <w:pStyle w:val="Heading3"/>
        <w:rPr/>
      </w:pPr>
      <w:bookmarkStart w:colFirst="0" w:colLast="0" w:name="_igkzzuoem7yi" w:id="40"/>
      <w:bookmarkEnd w:id="40"/>
      <w:r w:rsidDel="00000000" w:rsidR="00000000" w:rsidRPr="00000000">
        <w:rPr>
          <w:rtl w:val="0"/>
        </w:rPr>
        <w:t xml:space="preserve">R-042 — Cambios normativos</w:t>
      </w:r>
    </w:p>
    <w:p w:rsidR="00000000" w:rsidDel="00000000" w:rsidP="00000000" w:rsidRDefault="00000000" w:rsidRPr="00000000" w14:paraId="0000022F">
      <w:pPr>
        <w:rPr/>
      </w:pPr>
      <w:r w:rsidDel="00000000" w:rsidR="00000000" w:rsidRPr="00000000">
        <w:rPr>
          <w:b w:val="1"/>
          <w:bCs w:val="1"/>
          <w:rtl w:val="0"/>
        </w:rPr>
        <w:t xml:space="preserve">Rama RBS:</w:t>
      </w:r>
      <w:r w:rsidDel="00000000" w:rsidR="00000000" w:rsidRPr="00000000">
        <w:rPr>
          <w:rtl w:val="0"/>
        </w:rPr>
        <w:t xml:space="preserve"> Regulatorio y externo.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b w:val="1"/>
          <w:bCs w:val="1"/>
          <w:rtl w:val="0"/>
        </w:rPr>
        <w:t xml:space="preserve">[Causa]</w:t>
      </w:r>
      <w:r w:rsidDel="00000000" w:rsidR="00000000" w:rsidRPr="00000000">
        <w:rPr>
          <w:rtl w:val="0"/>
        </w:rPr>
        <w:t xml:space="preserve"> La solución trata y conserva documentos, ubicación y evidencia durante una vigencia contractual de varios años, sujeta a exigencias normativas aplicables.</w:t>
        <w:br w:type="textWrapping"/>
      </w:r>
      <w:r w:rsidDel="00000000" w:rsidR="00000000" w:rsidRPr="00000000">
        <w:rPr>
          <w:b w:val="1"/>
          <w:bCs w:val="1"/>
          <w:rtl w:val="0"/>
        </w:rPr>
        <w:t xml:space="preserve">[Evento de riesgo / Incertidumbre]</w:t>
      </w:r>
      <w:r w:rsidDel="00000000" w:rsidR="00000000" w:rsidRPr="00000000">
        <w:rPr>
          <w:rtl w:val="0"/>
        </w:rPr>
        <w:t xml:space="preserve"> Durante esa vigencia, una modificación normativa o una nueva interpretación aplicable podría exigir ajustes en los controles, la conservación o la eliminación de datos de la solución.</w:t>
        <w:br w:type="textWrapping"/>
      </w:r>
      <w:r w:rsidDel="00000000" w:rsidR="00000000" w:rsidRPr="00000000">
        <w:rPr>
          <w:b w:val="1"/>
          <w:bCs w:val="1"/>
          <w:rtl w:val="0"/>
        </w:rPr>
        <w:t xml:space="preserve">[Efecto o impacto en el proyecto]</w:t>
      </w:r>
      <w:r w:rsidDel="00000000" w:rsidR="00000000" w:rsidRPr="00000000">
        <w:rPr>
          <w:rtl w:val="0"/>
        </w:rPr>
        <w:t xml:space="preserve"> LafroX tendría que evaluar y adaptar los componentes y procedimientos afectados y volver a validar su funcionamiento, generando trabajo adicional y posibles ajustes de programación sujetos al tratamiento contractual correspondiente.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b w:val="1"/>
          <w:bCs w:val="1"/>
          <w:rtl w:val="0"/>
        </w:rPr>
        <w:t xml:space="preserve">Por qué compete a LafroX:</w:t>
      </w:r>
      <w:r w:rsidDel="00000000" w:rsidR="00000000" w:rsidRPr="00000000">
        <w:rPr>
          <w:rtl w:val="0"/>
        </w:rPr>
        <w:t xml:space="preserve"> Afecta los controles y procedimientos de la solución que LafroX implementa u opera.</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b w:val="1"/>
          <w:bCs w:val="1"/>
          <w:rtl w:val="0"/>
        </w:rPr>
        <w:t xml:space="preserve">Contraste con lo ya definido:</w:t>
      </w:r>
      <w:r w:rsidDel="00000000" w:rsidR="00000000" w:rsidRPr="00000000">
        <w:rPr>
          <w:rtl w:val="0"/>
        </w:rPr>
        <w:t xml:space="preserve"> No se cuestiona el cumplimiento de las exigencias vigentes ni se reabre la selección de regiones. Se trata de una exigencia futura que cambie la base aplicable, distinta de la aprobación pendiente de REC-057.</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Fuentes:</w:t>
      </w:r>
      <w:r w:rsidDel="00000000" w:rsidR="00000000" w:rsidRPr="00000000">
        <w:rPr>
          <w:rtl w:val="0"/>
        </w:rPr>
        <w:t xml:space="preserve"> Incorporado del registro antiguo a solicitud del usuario: </w:t>
      </w:r>
      <w:hyperlink r:id="rId21">
        <w:r w:rsidDel="00000000" w:rsidR="00000000" w:rsidRPr="00000000">
          <w:rPr>
            <w:color w:val="1155cc"/>
            <w:u w:val="single"/>
            <w:rtl w:val="0"/>
          </w:rPr>
          <w:t xml:space="preserve">riesgos conservados, R-042</w:t>
        </w:r>
      </w:hyperlink>
      <w:r w:rsidDel="00000000" w:rsidR="00000000" w:rsidRPr="00000000">
        <w:rPr>
          <w:rtl w:val="0"/>
        </w:rPr>
        <w:t xml:space="preserve">; referencias de origen: </w:t>
      </w:r>
      <w:hyperlink r:id="rId22">
        <w:r w:rsidDel="00000000" w:rsidR="00000000" w:rsidRPr="00000000">
          <w:rPr>
            <w:color w:val="1155cc"/>
            <w:u w:val="single"/>
            <w:rtl w:val="0"/>
          </w:rPr>
          <w:t xml:space="preserve">T-16, p. 26</w:t>
        </w:r>
      </w:hyperlink>
      <w:r w:rsidDel="00000000" w:rsidR="00000000" w:rsidRPr="00000000">
        <w:rPr>
          <w:rtl w:val="0"/>
        </w:rPr>
        <w:t xml:space="preserve">; </w:t>
      </w:r>
      <w:hyperlink r:id="rId23">
        <w:r w:rsidDel="00000000" w:rsidR="00000000" w:rsidRPr="00000000">
          <w:rPr>
            <w:color w:val="1155cc"/>
            <w:u w:val="single"/>
            <w:rtl w:val="0"/>
          </w:rPr>
          <w:t xml:space="preserve">Anexo 8.A, pp. 21–22</w:t>
        </w:r>
      </w:hyperlink>
      <w:r w:rsidDel="00000000" w:rsidR="00000000" w:rsidRPr="00000000">
        <w:rPr>
          <w:rtl w:val="0"/>
        </w:rPr>
        <w:t xml:space="preserve">. La descripción es una reformulación del evento original; no afirma que exista un cambio normativo concreto.</w:t>
      </w:r>
    </w:p>
    <w:p w:rsidR="00000000" w:rsidDel="00000000" w:rsidP="00000000" w:rsidRDefault="00000000" w:rsidRPr="00000000" w14:paraId="0000023A">
      <w:pPr>
        <w:pStyle w:val="Heading3"/>
        <w:rPr/>
      </w:pPr>
      <w:bookmarkStart w:colFirst="0" w:colLast="0" w:name="_yzlyvlt1ihjh" w:id="41"/>
      <w:bookmarkEnd w:id="41"/>
      <w:r w:rsidDel="00000000" w:rsidR="00000000" w:rsidRPr="00000000">
        <w:rPr>
          <w:rtl w:val="0"/>
        </w:rPr>
        <w:t xml:space="preserve">REC-067 — Accidente vehicular interrumpe un reparto incluido en pruebas o marcha blanca</w:t>
      </w:r>
    </w:p>
    <w:p w:rsidR="00000000" w:rsidDel="00000000" w:rsidP="00000000" w:rsidRDefault="00000000" w:rsidRPr="00000000" w14:paraId="0000023B">
      <w:pPr>
        <w:rPr/>
      </w:pPr>
      <w:r w:rsidDel="00000000" w:rsidR="00000000" w:rsidRPr="00000000">
        <w:rPr>
          <w:b w:val="1"/>
          <w:bCs w:val="1"/>
          <w:rtl w:val="0"/>
        </w:rPr>
        <w:t xml:space="preserve">Rama RBS:</w:t>
      </w:r>
      <w:r w:rsidDel="00000000" w:rsidR="00000000" w:rsidRPr="00000000">
        <w:rPr>
          <w:rtl w:val="0"/>
        </w:rPr>
        <w:t xml:space="preserve"> Operación del cliente.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Descripción auditada:</w:t>
      </w: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b w:val="1"/>
          <w:bCs w:val="1"/>
          <w:rtl w:val="0"/>
        </w:rPr>
        <w:t xml:space="preserve">[Causa]</w:t>
      </w:r>
      <w:r w:rsidDel="00000000" w:rsidR="00000000" w:rsidRPr="00000000">
        <w:rPr>
          <w:rtl w:val="0"/>
        </w:rPr>
        <w:t xml:space="preserve"> Las pruebas en ruta y la marcha blanca de la solución incluyen repartos reales con vehículos expuestos a incidentes durante su circulación.</w:t>
        <w:br w:type="textWrapping"/>
      </w:r>
      <w:r w:rsidDel="00000000" w:rsidR="00000000" w:rsidRPr="00000000">
        <w:rPr>
          <w:b w:val="1"/>
          <w:bCs w:val="1"/>
          <w:rtl w:val="0"/>
        </w:rPr>
        <w:t xml:space="preserve">[Evento de riesgo / Incertidumbre]</w:t>
      </w:r>
      <w:r w:rsidDel="00000000" w:rsidR="00000000" w:rsidRPr="00000000">
        <w:rPr>
          <w:rtl w:val="0"/>
        </w:rPr>
        <w:t xml:space="preserve"> Durante un reparto incluido en esas actividades, un vehículo propio del cliente o de un transportista podría sufrir un choque, incendio, volcamiento u otro accidente que interrumpa el recorrido programado.</w:t>
        <w:br w:type="textWrapping"/>
      </w:r>
      <w:r w:rsidDel="00000000" w:rsidR="00000000" w:rsidRPr="00000000">
        <w:rPr>
          <w:b w:val="1"/>
          <w:bCs w:val="1"/>
          <w:rtl w:val="0"/>
        </w:rPr>
        <w:t xml:space="preserve">[Efecto o impacto en el proyecto]</w:t>
      </w:r>
      <w:r w:rsidDel="00000000" w:rsidR="00000000" w:rsidRPr="00000000">
        <w:rPr>
          <w:rtl w:val="0"/>
        </w:rPr>
        <w:t xml:space="preserve"> Si el accidente impide completar los casos o reunir la evidencia prevista, LafroX tendría que coordinar con el cliente la reprogramación de las pruebas y repetir las validaciones afectadas, consumiendo tiempo y recursos de implantación y pudiendo demorar el cierre de la actividad correspondiente.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b w:val="1"/>
          <w:bCs w:val="1"/>
          <w:rtl w:val="0"/>
        </w:rPr>
        <w:t xml:space="preserve">Por qué compete a LafroX:</w:t>
      </w:r>
      <w:r w:rsidDel="00000000" w:rsidR="00000000" w:rsidRPr="00000000">
        <w:rPr>
          <w:rtl w:val="0"/>
        </w:rPr>
        <w:t xml:space="preserve"> Se conserva por su efecto concreto sobre pruebas, acompañamiento y evidencia de aceptación de LafroX. Las lesiones, daños al vehículo y pérdidas de carga no se atribuyen a LafroX por esta ficha.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b w:val="1"/>
          <w:bCs w:val="1"/>
          <w:rtl w:val="0"/>
        </w:rPr>
        <w:t xml:space="preserve">Contraste con lo ya definido:</w:t>
      </w:r>
      <w:r w:rsidDel="00000000" w:rsidR="00000000" w:rsidRPr="00000000">
        <w:rPr>
          <w:rtl w:val="0"/>
        </w:rPr>
        <w:t xml:space="preserve"> El evento es un accidente durante un reparto utilizado para validar la solución; no se plantea como una falla del software ni como una decisión pendiente sobre el diseño de rutas. No se presupone una extensión de plazos ni responsabilidad de LafroX por el accidente.</w:t>
      </w:r>
    </w:p>
    <w:p w:rsidR="00000000" w:rsidDel="00000000" w:rsidP="00000000" w:rsidRDefault="00000000" w:rsidRPr="00000000" w14:paraId="00000244">
      <w:pPr>
        <w:pStyle w:val="Heading2"/>
        <w:rPr/>
      </w:pPr>
      <w:bookmarkStart w:colFirst="0" w:colLast="0" w:name="_wxsovb9qduw4" w:id="42"/>
      <w:bookmarkEnd w:id="42"/>
      <w:r w:rsidDel="00000000" w:rsidR="00000000" w:rsidRPr="00000000">
        <w:rPr>
          <w:rtl w:val="0"/>
        </w:rPr>
        <w:t xml:space="preserve">Distribución de los conservados en la RBS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rPr>
                <w:b w:val="1"/>
                <w:bCs w:val="1"/>
              </w:rPr>
            </w:pPr>
            <w:r w:rsidDel="00000000" w:rsidR="00000000" w:rsidRPr="00000000">
              <w:rPr>
                <w:b w:val="1"/>
                <w:bCs w:val="1"/>
                <w:rtl w:val="0"/>
              </w:rPr>
              <w:t xml:space="preserve">Rama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right"/>
              <w:rPr>
                <w:b w:val="1"/>
                <w:bCs w:val="1"/>
              </w:rPr>
            </w:pPr>
            <w:r w:rsidDel="00000000" w:rsidR="00000000" w:rsidRPr="00000000">
              <w:rPr>
                <w:b w:val="1"/>
                <w:bCs w:val="1"/>
                <w:rtl w:val="0"/>
              </w:rPr>
              <w:t xml:space="preserve">Cantidad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Solución y 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righ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Integración y legado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right"/>
              <w:rPr/>
            </w:pPr>
            <w:r w:rsidDel="00000000" w:rsidR="00000000" w:rsidRPr="00000000">
              <w:rPr>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Operación del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right"/>
              <w:rPr/>
            </w:pPr>
            <w:r w:rsidDel="00000000" w:rsidR="00000000" w:rsidRPr="00000000">
              <w:rPr>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Personas y adopción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righ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Contrato y licitación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right"/>
              <w:rPr/>
            </w:pPr>
            <w:r w:rsidDel="00000000" w:rsidR="00000000" w:rsidRPr="00000000">
              <w:rPr>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Regulatorio y externo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right"/>
              <w:rPr/>
            </w:pPr>
            <w:r w:rsidDel="00000000" w:rsidR="00000000" w:rsidRPr="00000000">
              <w:rPr>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Empresa proveedora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right"/>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right"/>
              <w:rPr/>
            </w:pPr>
            <w:r w:rsidDel="00000000" w:rsidR="00000000" w:rsidRPr="00000000">
              <w:rPr>
                <w:b w:val="1"/>
                <w:bCs w:val="1"/>
                <w:rtl w:val="0"/>
              </w:rPr>
              <w:t xml:space="preserve">37</w:t>
            </w:r>
            <w:r w:rsidDel="00000000" w:rsidR="00000000" w:rsidRPr="00000000">
              <w:rPr>
                <w:rtl w:val="0"/>
              </w:rPr>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Las ramas sin entradas se mantienen en la taxonomía. La selección no exige cubrirlas todas ni asigna prioridades.</w:t>
      </w:r>
    </w:p>
    <w:p w:rsidR="00000000" w:rsidDel="00000000" w:rsidP="00000000" w:rsidRDefault="00000000" w:rsidRPr="00000000" w14:paraId="00000259">
      <w:pPr>
        <w:pStyle w:val="Heading2"/>
        <w:rPr/>
      </w:pPr>
      <w:bookmarkStart w:colFirst="0" w:colLast="0" w:name="_uww3o9lpbg75" w:id="43"/>
      <w:bookmarkEnd w:id="43"/>
      <w:r w:rsidDel="00000000" w:rsidR="00000000" w:rsidRPr="00000000">
        <w:rPr>
          <w:rtl w:val="0"/>
        </w:rPr>
        <w:t xml:space="preserve">Evidencia general del filtro de definiciones</w:t>
      </w:r>
    </w:p>
    <w:p w:rsidR="00000000" w:rsidDel="00000000" w:rsidP="00000000" w:rsidRDefault="00000000" w:rsidRPr="00000000" w14:paraId="0000025A">
      <w:pPr>
        <w:rPr/>
      </w:pPr>
      <w:r w:rsidDel="00000000" w:rsidR="00000000" w:rsidRPr="00000000">
        <w:rPr>
          <w:rtl w:val="0"/>
        </w:rPr>
        <w:t xml:space="preserve">Además de las referencias individuales, se contrastaron los siguientes bloques para evitar reabrir decisiones de la oferta:</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numPr>
          <w:ilvl w:val="0"/>
          <w:numId w:val="2"/>
        </w:numPr>
        <w:ind w:left="720" w:hanging="360"/>
      </w:pPr>
      <w:r w:rsidDel="00000000" w:rsidR="00000000" w:rsidRPr="00000000">
        <w:rPr>
          <w:rtl w:val="0"/>
        </w:rPr>
        <w:t xml:space="preserve">SD2, Anexo 2.2: supuestos, exclusiones y restricciones, pp. 7–14</w:t>
      </w:r>
      <w:r w:rsidDel="00000000" w:rsidR="00000000" w:rsidRPr="00000000">
        <w:rPr>
          <w:rtl w:val="0"/>
        </w:rPr>
        <w:t xml:space="preserve">.</w:t>
      </w:r>
    </w:p>
    <w:p w:rsidR="00000000" w:rsidDel="00000000" w:rsidP="00000000" w:rsidRDefault="00000000" w:rsidRPr="00000000" w14:paraId="0000025D">
      <w:pPr>
        <w:numPr>
          <w:ilvl w:val="0"/>
          <w:numId w:val="2"/>
        </w:numPr>
        <w:ind w:left="720" w:hanging="360"/>
      </w:pPr>
      <w:r w:rsidDel="00000000" w:rsidR="00000000" w:rsidRPr="00000000">
        <w:rPr>
          <w:rtl w:val="0"/>
        </w:rPr>
        <w:t xml:space="preserve">SD3, Anexo 3.C: registro de supuestos, pp. 115–132</w:t>
      </w:r>
      <w:r w:rsidDel="00000000" w:rsidR="00000000" w:rsidRPr="00000000">
        <w:rPr>
          <w:rtl w:val="0"/>
        </w:rPr>
        <w:t xml:space="preserve">.</w:t>
      </w:r>
    </w:p>
    <w:p w:rsidR="00000000" w:rsidDel="00000000" w:rsidP="00000000" w:rsidRDefault="00000000" w:rsidRPr="00000000" w14:paraId="0000025E">
      <w:pPr>
        <w:numPr>
          <w:ilvl w:val="0"/>
          <w:numId w:val="2"/>
        </w:numPr>
        <w:ind w:left="720" w:hanging="360"/>
      </w:pPr>
      <w:r w:rsidDel="00000000" w:rsidR="00000000" w:rsidRPr="00000000">
        <w:rPr>
          <w:rtl w:val="0"/>
        </w:rPr>
        <w:t xml:space="preserve">SD3, Anexo 3.G: reglas de negocio, pp. 138–143</w:t>
      </w:r>
      <w:r w:rsidDel="00000000" w:rsidR="00000000" w:rsidRPr="00000000">
        <w:rPr>
          <w:rtl w:val="0"/>
        </w:rPr>
        <w:t xml:space="preserve">.</w:t>
      </w:r>
    </w:p>
    <w:p w:rsidR="00000000" w:rsidDel="00000000" w:rsidP="00000000" w:rsidRDefault="00000000" w:rsidRPr="00000000" w14:paraId="0000025F">
      <w:pPr>
        <w:numPr>
          <w:ilvl w:val="0"/>
          <w:numId w:val="2"/>
        </w:numPr>
        <w:ind w:left="720" w:hanging="360"/>
      </w:pPr>
      <w:r w:rsidDel="00000000" w:rsidR="00000000" w:rsidRPr="00000000">
        <w:rPr>
          <w:rtl w:val="0"/>
        </w:rPr>
        <w:t xml:space="preserve">SD3, Anexo 3.H: consultas y estado documental, pp. 144–150</w:t>
      </w:r>
      <w:r w:rsidDel="00000000" w:rsidR="00000000" w:rsidRPr="00000000">
        <w:rPr>
          <w:rtl w:val="0"/>
        </w:rPr>
        <w:t xml:space="preserve">.</w:t>
      </w:r>
    </w:p>
    <w:p w:rsidR="00000000" w:rsidDel="00000000" w:rsidP="00000000" w:rsidRDefault="00000000" w:rsidRPr="00000000" w14:paraId="00000260">
      <w:pPr>
        <w:numPr>
          <w:ilvl w:val="0"/>
          <w:numId w:val="2"/>
        </w:numPr>
        <w:ind w:left="720" w:hanging="360"/>
      </w:pPr>
      <w:r w:rsidDel="00000000" w:rsidR="00000000" w:rsidRPr="00000000">
        <w:rPr>
          <w:rtl w:val="0"/>
        </w:rPr>
        <w:t xml:space="preserve">T-18: certificación de usuarios y aceptación de etapas, pp. 13–16</w:t>
      </w:r>
      <w:r w:rsidDel="00000000" w:rsidR="00000000" w:rsidRPr="00000000">
        <w:rPr>
          <w:rtl w:val="0"/>
        </w:rPr>
        <w:t xml:space="preserve">.</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Las páginas son posiciones físicas del PDF contadas desde 1. Cada enlace abre la primera página indicada.</w:t>
      </w:r>
    </w:p>
    <w:p w:rsidR="00000000" w:rsidDel="00000000" w:rsidP="00000000" w:rsidRDefault="00000000" w:rsidRPr="00000000" w14:paraId="00000263">
      <w:pPr>
        <w:pStyle w:val="Heading2"/>
        <w:rPr/>
      </w:pPr>
      <w:bookmarkStart w:colFirst="0" w:colLast="0" w:name="_irqi9mn2wqdo" w:id="44"/>
      <w:bookmarkEnd w:id="44"/>
      <w:r w:rsidDel="00000000" w:rsidR="00000000" w:rsidRPr="00000000">
        <w:rPr>
          <w:rtl w:val="0"/>
        </w:rPr>
        <w:t xml:space="preserve">Comprobaciones de la entrega</w:t>
      </w:r>
    </w:p>
    <w:p w:rsidR="00000000" w:rsidDel="00000000" w:rsidP="00000000" w:rsidRDefault="00000000" w:rsidRPr="00000000" w14:paraId="00000264">
      <w:pPr>
        <w:numPr>
          <w:ilvl w:val="0"/>
          <w:numId w:val="2"/>
        </w:numPr>
        <w:ind w:left="720" w:hanging="360"/>
      </w:pPr>
      <w:r w:rsidDel="00000000" w:rsidR="00000000" w:rsidRPr="00000000">
        <w:rPr>
          <w:rtl w:val="0"/>
        </w:rPr>
        <w:t xml:space="preserve">Se verificó que los 66 originales tengan un único dictamen principal: 33 conservados y 33 excluidos.</w:t>
      </w:r>
    </w:p>
    <w:p w:rsidR="00000000" w:rsidDel="00000000" w:rsidP="00000000" w:rsidRDefault="00000000" w:rsidRPr="00000000" w14:paraId="00000265">
      <w:pPr>
        <w:numPr>
          <w:ilvl w:val="0"/>
          <w:numId w:val="2"/>
        </w:numPr>
        <w:ind w:left="720" w:hanging="360"/>
      </w:pPr>
      <w:r w:rsidDel="00000000" w:rsidR="00000000" w:rsidRPr="00000000">
        <w:rPr>
          <w:rtl w:val="0"/>
        </w:rPr>
        <w:t xml:space="preserve">Se verificaron códigos únicos, descripciones completas, una rama por riesgo y existencia de los archivos y páginas enlazados.</w:t>
      </w:r>
    </w:p>
    <w:p w:rsidR="00000000" w:rsidDel="00000000" w:rsidP="00000000" w:rsidRDefault="00000000" w:rsidRPr="00000000" w14:paraId="00000266">
      <w:pPr>
        <w:numPr>
          <w:ilvl w:val="0"/>
          <w:numId w:val="2"/>
        </w:numPr>
        <w:ind w:left="720" w:hanging="360"/>
      </w:pPr>
      <w:r w:rsidDel="00000000" w:rsidR="00000000" w:rsidRPr="00000000">
        <w:rPr>
          <w:rtl w:val="0"/>
        </w:rPr>
        <w:t xml:space="preserve">Cada conservado identifica una afectación concreta al trabajo o servicio de LafroX y distingue la amenaza de una decisión ya tomada.</w:t>
      </w:r>
    </w:p>
    <w:p w:rsidR="00000000" w:rsidDel="00000000" w:rsidP="00000000" w:rsidRDefault="00000000" w:rsidRPr="00000000" w14:paraId="00000267">
      <w:pPr>
        <w:numPr>
          <w:ilvl w:val="0"/>
          <w:numId w:val="2"/>
        </w:numPr>
        <w:ind w:left="720" w:hanging="360"/>
      </w:pPr>
      <w:r w:rsidDel="00000000" w:rsidR="00000000" w:rsidRPr="00000000">
        <w:rPr>
          <w:rtl w:val="0"/>
        </w:rPr>
        <w:t xml:space="preserve">Se mantuvieron intactos los Markdown anteriores y los PDF de origen.</w:t>
      </w:r>
    </w:p>
    <w:p w:rsidR="00000000" w:rsidDel="00000000" w:rsidP="00000000" w:rsidRDefault="00000000" w:rsidRPr="00000000" w14:paraId="00000268">
      <w:pPr>
        <w:numPr>
          <w:ilvl w:val="0"/>
          <w:numId w:val="2"/>
        </w:numPr>
        <w:ind w:left="720" w:hanging="360"/>
      </w:pPr>
      <w:r w:rsidDel="00000000" w:rsidR="00000000" w:rsidRPr="00000000">
        <w:rPr>
          <w:rtl w:val="0"/>
        </w:rPr>
        <w:t xml:space="preserve">La entrega no acredita eficacia de controles ni permite dar por cerrados los riesgos conservados.</w:t>
      </w:r>
    </w:p>
    <w:p w:rsidR="00000000" w:rsidDel="00000000" w:rsidP="00000000" w:rsidRDefault="00000000" w:rsidRPr="00000000" w14:paraId="00000269">
      <w:pPr>
        <w:numPr>
          <w:ilvl w:val="0"/>
          <w:numId w:val="1"/>
        </w:numPr>
        <w:ind w:left="720" w:hanging="360"/>
        <w:rPr>
          <w:u w:val="none"/>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ubdocumento%208/LafroX-Subdocumento-8-Anexos.pdf#page=12" TargetMode="External"/><Relationship Id="rId11" Type="http://schemas.openxmlformats.org/officeDocument/2006/relationships/hyperlink" Target="http://../Subdocumento%207/LafroX-Formulario-T-18.pdf#page=15" TargetMode="External"/><Relationship Id="rId22" Type="http://schemas.openxmlformats.org/officeDocument/2006/relationships/hyperlink" Target="http://../Subdocumento%208/Lafrox-Formulario-T-16.pdf#page=26" TargetMode="External"/><Relationship Id="rId10" Type="http://schemas.openxmlformats.org/officeDocument/2006/relationships/hyperlink" Target="http://../Subdocumento%207/LafroX-Formulario-T-18.pdf#page=14" TargetMode="External"/><Relationship Id="rId21" Type="http://schemas.openxmlformats.org/officeDocument/2006/relationships/hyperlink" Target="http://riesgos_conservados.md#r-042--cambios-normativos" TargetMode="External"/><Relationship Id="rId13" Type="http://schemas.openxmlformats.org/officeDocument/2006/relationships/hyperlink" Target="http://../Subdocumento%205/LAFROX-Subdocumento5.pdf#page=35" TargetMode="External"/><Relationship Id="rId12" Type="http://schemas.openxmlformats.org/officeDocument/2006/relationships/hyperlink" Target="http://../Subdocumento%203/LAFROX-Subdocumento3-Anexos.pdf#page=115" TargetMode="External"/><Relationship Id="rId23" Type="http://schemas.openxmlformats.org/officeDocument/2006/relationships/hyperlink" Target="http://../Subdocumento%208/LafroX-Subdocumento-8-Anexos.pdf#page=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ubdocumento%203/LAFROX-Subdocumento3-Anexos.pdf#page=154" TargetMode="External"/><Relationship Id="rId15" Type="http://schemas.openxmlformats.org/officeDocument/2006/relationships/hyperlink" Target="http://riesgos_conservados.md#r-018--reemplazos-de-conductores-externos-sin-aviso" TargetMode="External"/><Relationship Id="rId14" Type="http://schemas.openxmlformats.org/officeDocument/2006/relationships/hyperlink" Target="http://../Subdocumento%205/LAFROX-Subdocumento5.pdf#page=37" TargetMode="External"/><Relationship Id="rId17" Type="http://schemas.openxmlformats.org/officeDocument/2006/relationships/hyperlink" Target="http://../Subdocumento%208/LafroX-Subdocumento-8-Anexos.pdf#page=18" TargetMode="External"/><Relationship Id="rId16" Type="http://schemas.openxmlformats.org/officeDocument/2006/relationships/hyperlink" Target="http://../Subdocumento%208/Lafrox-Formulario-T-16.pdf#page=15" TargetMode="External"/><Relationship Id="rId5" Type="http://schemas.openxmlformats.org/officeDocument/2006/relationships/styles" Target="styles.xml"/><Relationship Id="rId19" Type="http://schemas.openxmlformats.org/officeDocument/2006/relationships/hyperlink" Target="http://../Subdocumento%208/Lafrox-Formulario-T-16.pdf#page=20" TargetMode="External"/><Relationship Id="rId6" Type="http://schemas.openxmlformats.org/officeDocument/2006/relationships/hyperlink" Target="http://../Subdocumento%203/LAFROX-Subdocumento3-Anexos.pdf#page=121" TargetMode="External"/><Relationship Id="rId18" Type="http://schemas.openxmlformats.org/officeDocument/2006/relationships/hyperlink" Target="http://riesgos_conservados.md#r-027--solicitudes-que-ampl%C3%ADan-el-alcance" TargetMode="External"/><Relationship Id="rId7" Type="http://schemas.openxmlformats.org/officeDocument/2006/relationships/hyperlink" Target="http://../Subdocumento%203/LAFROX-Subdocumento3-Anexos.pdf#page=149" TargetMode="External"/><Relationship Id="rId8" Type="http://schemas.openxmlformats.org/officeDocument/2006/relationships/hyperlink" Target="http://../Subdocumento%204/LAFROX-Subdocumento4.pdf#page=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