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color w:val="12304F"/>
          <w:sz w:val="24"/>
        </w:rPr>
        <w:t>INSTITUTO DE EDUCACIÓN SUPERIOR CIBERTEC</w:t>
      </w:r>
    </w:p>
    <w:p>
      <w:pPr>
        <w:spacing w:after="760"/>
        <w:jc w:val="center"/>
      </w:pPr>
      <w:r>
        <w:rPr>
          <w:rFonts w:ascii="Arial" w:hAnsi="Arial" w:eastAsia="Arial"/>
          <w:b/>
          <w:color w:val="4B5563"/>
          <w:sz w:val="22"/>
        </w:rPr>
        <w:t>ESCUELA DE TECNOLOGÍA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1F6FD5"/>
          <w:sz w:val="26"/>
        </w:rPr>
        <w:t>PROYECTO DE INVESTIGACIÓN APLICADA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12304F"/>
          <w:sz w:val="48"/>
        </w:rPr>
        <w:t>SISTEMA WEB DE GESTIÓN</w:t>
        <w:br/>
        <w:t>ADMINISTRATIVA Y DE CAJA</w:t>
      </w:r>
    </w:p>
    <w:p>
      <w:pPr>
        <w:spacing w:after="680"/>
        <w:jc w:val="center"/>
      </w:pPr>
      <w:r>
        <w:rPr>
          <w:rFonts w:ascii="Arial" w:hAnsi="Arial" w:eastAsia="Arial"/>
          <w:color w:val="4B5563"/>
          <w:sz w:val="24"/>
        </w:rPr>
        <w:t>Aplicación empresarial con Spring Boot, Spring Security y Angular</w:t>
      </w:r>
    </w:p>
    <w:p>
      <w:pPr>
        <w:spacing w:after="60"/>
        <w:jc w:val="center"/>
      </w:pPr>
      <w:r>
        <w:rPr>
          <w:rFonts w:ascii="Arial" w:hAnsi="Arial" w:eastAsia="Arial"/>
          <w:b/>
          <w:color w:val="000000"/>
          <w:sz w:val="22"/>
        </w:rPr>
        <w:t xml:space="preserve">Curso: </w:t>
      </w:r>
      <w:r>
        <w:rPr>
          <w:rFonts w:ascii="Arial" w:hAnsi="Arial" w:eastAsia="Arial"/>
          <w:color w:val="000000"/>
          <w:sz w:val="22"/>
        </w:rPr>
        <w:t>Desarrollo de Aplicaciones Web I (4694)</w:t>
      </w:r>
    </w:p>
    <w:p>
      <w:pPr>
        <w:spacing w:after="60"/>
        <w:jc w:val="center"/>
      </w:pPr>
      <w:r>
        <w:rPr>
          <w:rFonts w:ascii="Arial" w:hAnsi="Arial" w:eastAsia="Arial"/>
          <w:b/>
          <w:color w:val="000000"/>
          <w:sz w:val="22"/>
        </w:rPr>
        <w:t xml:space="preserve">Profesor: </w:t>
      </w:r>
      <w:r>
        <w:rPr>
          <w:rFonts w:ascii="Arial" w:hAnsi="Arial" w:eastAsia="Arial"/>
          <w:color w:val="000000"/>
          <w:sz w:val="22"/>
        </w:rPr>
        <w:t>[NOMBRE DEL DOCENTE]</w:t>
      </w:r>
    </w:p>
    <w:p>
      <w:pPr>
        <w:spacing w:after="60"/>
        <w:jc w:val="center"/>
      </w:pPr>
      <w:r>
        <w:rPr>
          <w:rFonts w:ascii="Arial" w:hAnsi="Arial" w:eastAsia="Arial"/>
          <w:b/>
          <w:color w:val="000000"/>
          <w:sz w:val="22"/>
        </w:rPr>
        <w:t xml:space="preserve">Ciclo: </w:t>
      </w:r>
      <w:r>
        <w:rPr>
          <w:rFonts w:ascii="Arial" w:hAnsi="Arial" w:eastAsia="Arial"/>
          <w:color w:val="000000"/>
          <w:sz w:val="22"/>
        </w:rPr>
        <w:t>Quinto</w:t>
      </w:r>
    </w:p>
    <w:p>
      <w:pPr>
        <w:spacing w:after="60"/>
        <w:jc w:val="center"/>
      </w:pPr>
      <w:r>
        <w:rPr>
          <w:rFonts w:ascii="Arial" w:hAnsi="Arial" w:eastAsia="Arial"/>
          <w:b/>
          <w:color w:val="000000"/>
          <w:sz w:val="22"/>
        </w:rPr>
        <w:t xml:space="preserve">Aula: </w:t>
      </w:r>
      <w:r>
        <w:rPr>
          <w:rFonts w:ascii="Arial" w:hAnsi="Arial" w:eastAsia="Arial"/>
          <w:color w:val="000000"/>
          <w:sz w:val="22"/>
        </w:rPr>
        <w:t>[AULA]</w:t>
      </w:r>
    </w:p>
    <w:p>
      <w:pPr>
        <w:spacing w:after="60"/>
        <w:jc w:val="center"/>
      </w:pPr>
      <w:r>
        <w:rPr>
          <w:rFonts w:ascii="Arial" w:hAnsi="Arial" w:eastAsia="Arial"/>
          <w:b/>
          <w:color w:val="000000"/>
          <w:sz w:val="22"/>
        </w:rPr>
        <w:t xml:space="preserve">Semestre: </w:t>
      </w:r>
      <w:r>
        <w:rPr>
          <w:rFonts w:ascii="Arial" w:hAnsi="Arial" w:eastAsia="Arial"/>
          <w:color w:val="000000"/>
          <w:sz w:val="22"/>
        </w:rPr>
        <w:t>[SEMESTRE 2026]</w:t>
      </w:r>
    </w:p>
    <w:p>
      <w:pPr>
        <w:spacing w:after="200"/>
      </w:pPr>
    </w:p>
    <w:p>
      <w:pPr>
        <w:spacing w:after="80"/>
      </w:pPr>
      <w:r>
        <w:rPr>
          <w:rFonts w:ascii="Arial" w:hAnsi="Arial" w:eastAsia="Arial"/>
          <w:b/>
          <w:color w:val="12304F"/>
          <w:sz w:val="22"/>
        </w:rPr>
        <w:t>Coordinador/a del grupo</w:t>
      </w:r>
    </w:p>
    <w:p>
      <w:pPr>
        <w:spacing w:before="0" w:after="160" w:line="240" w:lineRule="auto"/>
        <w:jc w:val="left"/>
      </w:pPr>
      <w:r>
        <w:rPr>
          <w:rFonts w:ascii="Arial" w:hAnsi="Arial" w:eastAsia="Arial"/>
          <w:color w:val="000000"/>
          <w:sz w:val="22"/>
        </w:rPr>
        <w:t>[NOMBRE DEL COORDINADOR/A - INTEGRANTE 1]</w:t>
      </w:r>
    </w:p>
    <w:p>
      <w:pPr>
        <w:spacing w:after="80"/>
      </w:pPr>
      <w:r>
        <w:rPr>
          <w:rFonts w:ascii="Arial" w:hAnsi="Arial" w:eastAsia="Arial"/>
          <w:b/>
          <w:color w:val="12304F"/>
          <w:sz w:val="22"/>
        </w:rPr>
        <w:t>Integrantes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color w:val="000000"/>
          <w:sz w:val="22"/>
        </w:rPr>
        <w:t>[NOMBRE DEL INTEGRANTE 2]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color w:val="000000"/>
          <w:sz w:val="22"/>
        </w:rPr>
        <w:t>[NOMBRE DEL INTEGRANTE 3]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color w:val="000000"/>
          <w:sz w:val="22"/>
        </w:rPr>
        <w:t>[NOMBRE DEL INTEGRANTE 4]</w:t>
      </w:r>
    </w:p>
    <w:p>
      <w:pPr>
        <w:spacing w:before="320"/>
        <w:jc w:val="center"/>
      </w:pPr>
      <w:r>
        <w:rPr>
          <w:rFonts w:ascii="Arial" w:hAnsi="Arial" w:eastAsia="Arial"/>
          <w:color w:val="4B5563"/>
          <w:sz w:val="21"/>
        </w:rPr>
        <w:t>Lima, Perú - 2026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5.1. Resumen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5.2. Introducción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5.3. Diagnóstico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5.4. Objetivos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5.5. Justificación del proyecto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5.6. Definición y alcance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5.7. Productos y entregables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5.8. Conclusiones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5.9. Recomendaciones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5.10. Glosario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5.11. Bibliografía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5.12. Anexos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trHeight w:hRule="atLeast"/>
        </w:trPr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40" w:lineRule="auto"/>
            </w:pPr>
            <w:r>
              <w:rPr>
                <w:rFonts w:ascii="Arial" w:hAnsi="Arial" w:eastAsia="Arial"/>
                <w:b/>
                <w:color w:val="12304F"/>
                <w:sz w:val="22"/>
              </w:rPr>
              <w:t xml:space="preserve">Nota de edición: </w:t>
            </w:r>
            <w:r>
              <w:rPr>
                <w:rFonts w:ascii="Arial" w:hAnsi="Arial" w:eastAsia="Arial"/>
                <w:color w:val="000000"/>
                <w:sz w:val="22"/>
              </w:rPr>
              <w:t>Antes de entregar, reemplace los campos entre corchetes de la carátula con los datos reales del equipo, docente y aula.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5.1. Resumen</w:t>
      </w:r>
    </w:p>
    <w:p>
      <w:pPr>
        <w:spacing w:before="0" w:after="120" w:line="240" w:lineRule="auto"/>
        <w:jc w:val="both"/>
      </w:pPr>
      <w:r>
        <w:t>El proyecto desarrolla un Sistema Web de Gestión Administrativa y de Caja orientado a organizaciones que administran socios, puestos comerciales, giros, servicios y movimientos de tesorería. La solución integra un backend Java con Spring Boot y un frontend Angular. Permite autenticar usuarios, mantener catálogos, generar cuentas individuales o masivas por puesto o socio, calcular consumos, registrar pagos o exoneraciones, emitir recibos, controlar egresos y exportar reportes XLSX.</w:t>
      </w:r>
    </w:p>
    <w:p>
      <w:pPr>
        <w:spacing w:before="0" w:after="120" w:line="240" w:lineRule="auto"/>
        <w:jc w:val="both"/>
      </w:pPr>
      <w:r>
        <w:t>El backend expone 52 operaciones REST organizadas en diez controladores, protege las rutas con Spring Security y JWT, cifra contraseñas con BCrypt y persiste mediante Spring Data JPA. La aplicación incorpora diez entidades, diez repositorios y once pruebas automatizadas aprobadas. El frontend contiene trece pantallas, formularios reactivos, navegación protegida y diez servicios HTTP.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72"/>
      </w:tblGrid>
      <w:tr>
        <w:trPr>
          <w:trHeight w:hRule="atLeast"/>
        </w:trPr>
        <w:tc>
          <w:tcPr>
            <w:tcW w:type="dxa" w:w="90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Resultado principal: La versión académica cubre desde el registro de socios hasta cuentas masivas, consumo, pagos, recibos, ingresos, egresos y reportes XLSX, sin procesar pagos reales.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5.2. Introducción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Las asociaciones comerciales, galerías y organizaciones con puestos de venta manejan información que cambia continuamente: datos de socios, giros, asignación de puestos, servicios recurrentes, deudas y comprobantes. Cuando estos registros se distribuyen entre hojas de cálculo, cuadernos o archivos independientes, aumenta el riesgo de duplicidad, pérdida de trazabilidad y demora en la atención de consultas.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El diagnóstico del caso evidenció la oportunidad de centralizar los datos y aplicar reglas uniformes para cada operación. El proyecto propone una aplicación web con separación entre presentación, lógica de negocio y persistencia. Esta arquitectura facilita el mantenimiento, permite que el frontend consuma servicios REST y aplica la autenticación en el backend, donde no puede ser omitida por manipulación de la interfaz.</w:t>
      </w:r>
    </w:p>
    <w:p>
      <w:pPr>
        <w:spacing w:before="0" w:after="120" w:line="240" w:lineRule="auto"/>
        <w:jc w:val="both"/>
      </w:pPr>
      <w:r>
        <w:t>El alcance académico cubre el flujo completo solicitado: autenticación, catálogos, cuentas por puesto y socio, generación masiva, consumo, cobranza múltiple, bancos referenciales, canjes simulados, ingresos externos, egresos, vouchers y reportes XLSX. Por decisión de alcance no existe pasarela de pago ni integración con entidades financieras reales.</w:t>
      </w:r>
    </w:p>
    <w:p>
      <w:pPr>
        <w:pStyle w:val="Heading1"/>
        <w:keepNext/>
      </w:pPr>
      <w:r>
        <w:t>5.3. Diagnóstico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La situación problemática se caracteriza por la necesidad de administrar información relacionada entre sí y conservar evidencia de cada cobro. La oportunidad de mejora consiste en reemplazar tareas dispersas por un flujo digital único, con validaciones, autenticación y persistencia. Para valorar el contexto se aplicó el análisis SEPTE a cuatro variables: social, económica, política-legal y tecnológica.</w:t>
      </w:r>
    </w:p>
    <w:p>
      <w:pPr>
        <w:pStyle w:val="Heading2"/>
        <w:keepNext/>
      </w:pPr>
      <w:r>
        <w:t>5.3.1. Variable social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La población peruana presenta una alta penetración de telefonía móvil, pero mantiene brechas de conectividad. En el primer trimestre de 2025, el 95,2 % de los hogares contaba con telefonía móvil y el 58,9 % con Internet; el acceso a Internet alcanzaba 80,3 % en Lima Metropolitana y 20,5 % en el área rural.</w:t>
      </w:r>
      <w:r>
        <w:rPr>
          <w:rFonts w:ascii="Arial" w:hAnsi="Arial" w:eastAsia="Arial"/>
          <w:color w:val="000000"/>
          <w:sz w:val="22"/>
        </w:rPr>
        <w:t/>
      </w:r>
      <w:r>
        <w:footnoteReference w:id="1"/>
      </w:r>
      <w:r>
        <w:rPr>
          <w:rFonts w:ascii="Arial" w:hAnsi="Arial" w:eastAsia="Arial"/>
          <w:color w:val="000000"/>
          <w:sz w:val="22"/>
        </w:rPr>
        <w:t xml:space="preserve"> Esta realidad favorece una aplicación web para usuarios urbanos, pero exige una interfaz clara, ligera y con mensajes comprensibles para personas con distintos niveles de experiencia digital.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Oportunidad: centralizar la atención y facilitar consultas sin depender de conocimientos técnicos avanzados. Amenaza: una interfaz compleja o que requiera conectividad constante de alta calidad puede excluir usuarios. Respuesta del proyecto: navegación simple, formularios breves, mensajes visibles y diseño adaptable.</w:t>
      </w:r>
    </w:p>
    <w:p>
      <w:pPr>
        <w:pStyle w:val="Heading2"/>
        <w:keepNext/>
      </w:pPr>
      <w:r>
        <w:t>5.3.2. Variable económica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El tejido empresarial peruano está compuesto principalmente por unidades pequeñas. PRODUCE informó que el país cerró 2024 con 2 346 592 empresas formales; 99,1 % correspondía a micro y pequeñas empresas, que representaban 20,2 % del PBI y 86,5 % del empleo privado. Comercio y servicios concentraban 85,8 % de las MYPE.</w:t>
      </w:r>
      <w:r>
        <w:rPr>
          <w:rFonts w:ascii="Arial" w:hAnsi="Arial" w:eastAsia="Arial"/>
          <w:color w:val="000000"/>
          <w:sz w:val="22"/>
        </w:rPr>
        <w:t/>
      </w:r>
      <w:r>
        <w:footnoteReference w:id="2"/>
      </w:r>
      <w:r>
        <w:rPr>
          <w:rFonts w:ascii="Arial" w:hAnsi="Arial" w:eastAsia="Arial"/>
          <w:color w:val="000000"/>
          <w:sz w:val="22"/>
        </w:rPr>
        <w:t xml:space="preserve"> El costo administrativo de registrar deudas, pagos y recibos de forma manual afecta especialmente a organizaciones de recursos limitados.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Oportunidad: una solución basada en tecnologías abiertas puede reducir dependencia de licencias propietarias y ordenar procesos de cobranza. Amenaza: presupuestos limitados pueden retrasar infraestructura, capacitación o mantenimiento. Respuesta del proyecto: arquitectura modular, uso de MySQL y una configuración H2 para demostración y pruebas.</w:t>
      </w:r>
    </w:p>
    <w:p>
      <w:pPr>
        <w:pStyle w:val="Heading2"/>
        <w:keepNext/>
      </w:pPr>
      <w:r>
        <w:t>5.3.3. Variable política y legal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El sistema procesa nombres, fechas de nacimiento, credenciales y operaciones económicas; por tanto, debe considerar la Ley N.° 29733 y su reglamento aprobado por el Decreto Supremo N.° 016-2024-JUS.</w:t>
      </w:r>
      <w:r>
        <w:rPr>
          <w:rFonts w:ascii="Arial" w:hAnsi="Arial" w:eastAsia="Arial"/>
          <w:color w:val="000000"/>
          <w:sz w:val="22"/>
        </w:rPr>
        <w:t/>
      </w:r>
      <w:r>
        <w:footnoteReference w:id="3"/>
      </w:r>
      <w:r>
        <w:rPr>
          <w:rFonts w:ascii="Arial" w:hAnsi="Arial" w:eastAsia="Arial"/>
          <w:color w:val="000000"/>
          <w:sz w:val="22"/>
        </w:rPr>
        <w:t xml:space="preserve"> La Política Nacional de Transformación Digital al 2030 también promueve conectividad, economía digital, pagos digitales y transformación de las MIPYME.</w:t>
      </w:r>
      <w:r>
        <w:rPr>
          <w:rFonts w:ascii="Arial" w:hAnsi="Arial" w:eastAsia="Arial"/>
          <w:color w:val="000000"/>
          <w:sz w:val="22"/>
        </w:rPr>
        <w:t/>
      </w:r>
      <w:r>
        <w:footnoteReference w:id="4"/>
      </w:r>
    </w:p>
    <w:p>
      <w:pPr>
        <w:spacing w:before="0" w:after="120" w:line="240" w:lineRule="auto"/>
        <w:jc w:val="both"/>
      </w:pPr>
      <w:r>
        <w:t>Oportunidad: las políticas públicas respaldan la modernización y la gestión digital. Amenaza: un tratamiento inadecuado de credenciales o datos personales genera riesgos legales y reputacionales. Respuesta del proyecto: contraseñas BCrypt, tokens JWT, roles, rutas protegidas, ocultamiento de contraseñas y trazabilidad del usuario en recibos y egresos.</w:t>
      </w:r>
    </w:p>
    <w:p>
      <w:pPr>
        <w:pStyle w:val="Heading2"/>
        <w:keepNext/>
      </w:pPr>
      <w:r>
        <w:t>5.3.4. Variable tecnológica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La disponibilidad de frameworks maduros permite construir soluciones empresariales con menor costo de entrada. Spring Boot proporciona seguridad, persistencia y API REST, mientras Angular organiza componentes y servicios. En 2026, PRODUCE informó que 74 % de los proyectos de digitalización financiados por ProInnóvate habían incrementado las ventas de las empresas beneficiarias, reforzando el valor de automatizar procesos internos.</w:t>
      </w:r>
      <w:r>
        <w:rPr>
          <w:rFonts w:ascii="Arial" w:hAnsi="Arial" w:eastAsia="Arial"/>
          <w:color w:val="000000"/>
          <w:sz w:val="22"/>
        </w:rPr>
        <w:t/>
      </w:r>
      <w:r>
        <w:footnoteReference w:id="5"/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Oportunidad: automatizar el flujo administrativo con tecnologías documentadas y probables. Amenaza: dependencias desactualizadas, fallas de red y configuración insegura. Respuesta del proyecto: versiones declaradas, configuración por ambiente, pruebas automatizadas, manejo centralizado de errores y colección Postman.</w:t>
      </w:r>
    </w:p>
    <w:p>
      <w:pPr>
        <w:pStyle w:val="Heading2"/>
        <w:keepNext/>
      </w:pPr>
      <w:r>
        <w:t>5.3.5. Síntesis SEPTE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400"/>
        <w:gridCol w:w="2572"/>
      </w:tblGrid>
      <w:tr>
        <w:trPr>
          <w:trHeight w:hRule="atLeast"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Oportunidad identificada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Amenaza principal</w:t>
            </w:r>
          </w:p>
        </w:tc>
        <w:tc>
          <w:tcPr>
            <w:tcW w:type="dxa" w:w="2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Respuesta propuesta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Social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Atención digital y consulta centralizada.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Brecha de conectividad y habilidades.</w:t>
            </w:r>
          </w:p>
        </w:tc>
        <w:tc>
          <w:tcPr>
            <w:tcW w:type="dxa" w:w="2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Interfaz simple, ligera y adaptable.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Económica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Reducir tareas manuales en organizaciones pequeñas.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Presupuesto limitado para tecnología.</w:t>
            </w:r>
          </w:p>
        </w:tc>
        <w:tc>
          <w:tcPr>
            <w:tcW w:type="dxa" w:w="2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Tecnologías abiertas y arquitectura modular.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Política-legal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Impulso nacional a la transformación digital.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Riesgo por tratamiento inadecuado de datos.</w:t>
            </w:r>
          </w:p>
        </w:tc>
        <w:tc>
          <w:tcPr>
            <w:tcW w:type="dxa" w:w="2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BCrypt, JWT y control en backend.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Tecnológica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Frameworks maduros y automatización.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Obsolescencia o configuración insegura.</w:t>
            </w:r>
          </w:p>
        </w:tc>
        <w:tc>
          <w:tcPr>
            <w:tcW w:type="dxa" w:w="2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Versiones declaradas, pruebas y documentación.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5.4. Objetivos</w:t>
      </w:r>
    </w:p>
    <w:p>
      <w:pPr>
        <w:pStyle w:val="Heading2"/>
        <w:keepNext/>
      </w:pPr>
      <w:r>
        <w:t>Objetivo general</w:t>
      </w:r>
    </w:p>
    <w:p>
      <w:pPr>
        <w:spacing w:before="0" w:after="120" w:line="240" w:lineRule="auto"/>
        <w:jc w:val="both"/>
      </w:pPr>
      <w:r>
        <w:t>Desarrollar y validar, antes de la sesión 13 del curso, una aplicación web empresarial que centralice socios, puestos, servicios, cuentas por cobrar, tesorería y reportes, utilizando Spring Boot y Angular, con autenticación segura, reglas transaccionales y persistencia en base de datos.</w:t>
      </w:r>
    </w:p>
    <w:p>
      <w:pPr>
        <w:pStyle w:val="Heading2"/>
        <w:keepNext/>
      </w:pPr>
      <w:r>
        <w:t>Objetivos específicos SMART</w:t>
      </w:r>
    </w:p>
    <w:p>
      <w:pPr>
        <w:spacing w:before="0" w:after="80" w:line="240" w:lineRule="auto"/>
        <w:ind w:left="369" w:hanging="369"/>
      </w:pPr>
      <w:r>
        <w:t>1.</w:t>
        <w:tab/>
        <w:t>Implementar antes de la sesión 13 un servicio REST de autenticación, catálogos administrativos y operaciones de tesorería, verificando persistencia, validaciones y autorización por roles.</w:t>
      </w:r>
    </w:p>
    <w:p>
      <w:pPr>
        <w:spacing w:before="0" w:after="80" w:line="240" w:lineRule="auto"/>
        <w:ind w:left="369" w:hanging="369"/>
      </w:pPr>
      <w:r>
        <w:t>2.</w:t>
        <w:tab/>
        <w:t>Completar antes de la entrega final un flujo demostrable de cargos, consumo, cobranza múltiple, canje simulado, ingreso, egreso y reporte, manteniendo las once pruebas automatizadas y la compilación Angular sin fallos.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86"/>
        <w:gridCol w:w="3686"/>
      </w:tblGrid>
      <w:tr>
        <w:trPr>
          <w:trHeight w:hRule="atLeast"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Criterio SMART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Objetivo 1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Objetivo 2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Específico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Login, roles y catálogos REST.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Flujo administrativo y tesorería.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Medible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52 endpoints con persistencia.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11 pruebas y Angular sin fallos.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Alcanzable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 apoya en el código de clase.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Lógica modular de nivel académico.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Relevante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Cumple la rúbrica técnica.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Abarca RF-01 a RF-33 casi por completo.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 tiempo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Antes de la sesión 13.</w:t>
            </w:r>
          </w:p>
        </w:tc>
        <w:tc>
          <w:tcPr>
            <w:tcW w:type="dxa" w:w="36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Antes de la entrega final.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5.5. Justificación del proyecto</w:t>
      </w:r>
    </w:p>
    <w:p>
      <w:pPr>
        <w:spacing w:before="0" w:after="120" w:line="240" w:lineRule="auto"/>
        <w:jc w:val="both"/>
      </w:pPr>
      <w:r>
        <w:t>La aplicabilidad del proyecto radica en integrar datos y operaciones que suelen encontrarse separados. El registro único de socios, puestos, servicios y bancos evita duplicidad; las cuentas relacionan período, destinatario, concepto y consumo; y los comprobantes conservan monto, fecha, estado y operador. Así, la consulta deja de depender de revisar varios archivos.</w:t>
      </w:r>
    </w:p>
    <w:p>
      <w:pPr>
        <w:spacing w:before="0" w:after="120" w:line="240" w:lineRule="auto"/>
        <w:jc w:val="both"/>
      </w:pPr>
      <w:r>
        <w:rPr>
          <w:rFonts w:ascii="Arial" w:hAnsi="Arial" w:eastAsia="Arial"/>
          <w:color w:val="000000"/>
          <w:sz w:val="22"/>
        </w:rPr>
        <w:t>El aporte empresarial consiste en mejorar la trazabilidad y reducir errores de registro. El aporte para las personas es una atención más ordenada y verificable. El aporte académico es demostrar la integración de Spring Data, Lombok, Spring MVC, Spring Security y Angular en una solución coherente. La adopción de herramientas digitales también puede optimizar tiempo, costos y decisiones, objetivo promovido por la iniciativa pública Mype Digital.</w:t>
      </w:r>
      <w:r>
        <w:rPr>
          <w:rFonts w:ascii="Arial" w:hAnsi="Arial" w:eastAsia="Arial"/>
          <w:color w:val="000000"/>
          <w:sz w:val="22"/>
        </w:rPr>
        <w:t/>
      </w:r>
      <w:r>
        <w:footnoteReference w:id="6"/>
      </w:r>
    </w:p>
    <w:p>
      <w:pPr>
        <w:pStyle w:val="Heading2"/>
        <w:keepNext/>
      </w:pPr>
      <w:r>
        <w:t>Beneficiarios directos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Administrador, responsable de mantener catálogos y configuración.</w:t>
      </w:r>
    </w:p>
    <w:p>
      <w:pPr>
        <w:pStyle w:val="ListBullet"/>
        <w:spacing w:before="0" w:after="80" w:line="240" w:lineRule="auto"/>
      </w:pPr>
      <w:r>
        <w:t>Operador de caja, responsable de consultar deudas, registrar pagos, ingresos, egresos y emitir comprobantes.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Socios y titulares de puestos, que reciben información más clara sobre cargos y pagos.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Equipo de desarrollo, que consolida competencias de arquitectura web empresarial.</w:t>
      </w:r>
    </w:p>
    <w:p>
      <w:pPr>
        <w:pStyle w:val="Heading2"/>
        <w:keepNext/>
      </w:pPr>
      <w:r>
        <w:t>Beneficiarios indirectos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Directivos de la organización, que pueden revisar información centralizada.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Familias, trabajadores y clientes vinculados a los puestos comerciales.</w:t>
      </w:r>
    </w:p>
    <w:p>
      <w:pPr>
        <w:pStyle w:val="ListBullet"/>
        <w:spacing w:before="0" w:after="80" w:line="240" w:lineRule="auto"/>
      </w:pPr>
      <w:r>
        <w:t>Futuros equipos que fortalezcan despliegue, auditoría avanzada, rendimiento y respaldo de información.</w:t>
      </w:r>
    </w:p>
    <w:p>
      <w:pPr>
        <w:pStyle w:val="Heading1"/>
        <w:keepNext/>
      </w:pPr>
      <w:r>
        <w:t>5.6. Definición y alcance</w:t>
      </w:r>
    </w:p>
    <w:p>
      <w:pPr>
        <w:pStyle w:val="Heading2"/>
        <w:keepNext/>
      </w:pPr>
      <w:r>
        <w:t>5.6.1. Funcionamiento general</w:t>
      </w:r>
    </w:p>
    <w:p>
      <w:pPr>
        <w:spacing w:before="0" w:after="120" w:line="240" w:lineRule="auto"/>
        <w:jc w:val="both"/>
      </w:pPr>
      <w:r>
        <w:t>El usuario ingresa sus credenciales en Angular. El backend compara la contraseña mediante BCrypt y devuelve un JWT con identidad y rol. Un interceptor adjunta el token; el filtro lo valida y las reglas de seguridad restringen operaciones administrativas. Los controladores reciben solicitudes, los servicios aplican validaciones y transacciones, y los repositorios JPA persisten la información en MySQL.</w:t>
      </w:r>
    </w:p>
    <w:p>
      <w:r>
        <w:drawing>
          <wp:inline xmlns:a="http://schemas.openxmlformats.org/drawingml/2006/main" xmlns:pic="http://schemas.openxmlformats.org/drawingml/2006/picture">
            <wp:extent cx="5688000" cy="2123520"/>
            <wp:docPr id="1" name="Picture 1" title="Diagrama de arquitectura" descr="Diagrama de arquitectura: frontend Angular, API Spring Boot y persistencia MySQL o H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2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Arial" w:hAnsi="Arial" w:eastAsia="Arial"/>
          <w:i/>
          <w:color w:val="4B5563"/>
          <w:sz w:val="19"/>
        </w:rPr>
        <w:t>Figura 1. Arquitectura lógica de la solución desarrollada.</w:t>
      </w:r>
    </w:p>
    <w:p>
      <w:pPr>
        <w:pStyle w:val="Heading2"/>
        <w:keepNext/>
      </w:pPr>
      <w:r>
        <w:t>5.6.2. Alcance funcional implementado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172"/>
      </w:tblGrid>
      <w:tr>
        <w:trPr>
          <w:trHeight w:hRule="atLeast"/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Módulo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Funciones entregadas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Acceso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Login, JWT, BCrypt, roles, guard, interceptor y cierre de sesión.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Socios y giros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CRUD, validaciones, etapas y estados.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Puestos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CRUD, giro obligatorio y socio opcional.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Servicios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Recurrencia, costo, moneda, destino y consumo.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Caja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Cuentas individuales/masivas, filtros, selección, pago y exoneración por lote.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Resumen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Consulta y totales independientes por socio o puesto.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Recibos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Correlativo, filtros por tipo/fecha y voucher detallado.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Bancos e ingresos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CRUD referencial, canje simulado e ingresos externos.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Egresos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Registro, CSV, procesamiento, anulación y comprobante.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Reportes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XLSX diario, mensual, socios, egresos y bancos.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5.6.3. Reglas principales</w:t>
      </w:r>
    </w:p>
    <w:p>
      <w:pPr>
        <w:pStyle w:val="ListBullet"/>
        <w:spacing w:before="0" w:after="80" w:line="240" w:lineRule="auto"/>
      </w:pPr>
      <w:r>
        <w:t>Solo las credenciales válidas generan un token; los roles ADMIN y OPERADOR delimitan las operaciones.</w:t>
      </w:r>
    </w:p>
    <w:p>
      <w:pPr>
        <w:pStyle w:val="ListBullet"/>
        <w:spacing w:before="0" w:after="80" w:line="240" w:lineRule="auto"/>
      </w:pPr>
      <w:r>
        <w:t>Las rutas de negocio exigen autenticación Bearer y el frontend protege la navegación.</w:t>
      </w:r>
    </w:p>
    <w:p>
      <w:pPr>
        <w:pStyle w:val="ListBullet"/>
        <w:spacing w:before="0" w:after="80" w:line="240" w:lineRule="auto"/>
      </w:pPr>
      <w:r>
        <w:t>El destino del servicio debe coincidir con una cuenta asignada a puesto o socio; el socio del puesto es opcional.</w:t>
      </w:r>
    </w:p>
    <w:p>
      <w:pPr>
        <w:pStyle w:val="ListBullet"/>
        <w:spacing w:before="0" w:after="80" w:line="240" w:lineRule="auto"/>
      </w:pPr>
      <w:r>
        <w:t>Los cargos por consumo se calculan con lectura final menos lectura inicial, multiplicado por el costo unitario.</w:t>
      </w:r>
    </w:p>
    <w:p>
      <w:pPr>
        <w:pStyle w:val="ListBullet"/>
        <w:spacing w:before="0" w:after="80" w:line="240" w:lineRule="auto"/>
      </w:pPr>
      <w:r>
        <w:t>Una cuenta pendiente puede pagarse o exonerarse una sola vez; las operaciones en lote validan todas las cuentas dentro de una transacción.</w:t>
      </w:r>
    </w:p>
    <w:p>
      <w:pPr>
        <w:pStyle w:val="ListBullet"/>
        <w:spacing w:before="0" w:after="80" w:line="240" w:lineRule="auto"/>
      </w:pPr>
      <w:r>
        <w:t>Recibos y egresos usan correlativos bloqueados transaccionalmente y conservan al operador autenticado.</w:t>
      </w:r>
    </w:p>
    <w:p>
      <w:pPr>
        <w:pStyle w:val="Heading2"/>
        <w:keepNext/>
      </w:pPr>
      <w:r>
        <w:t>5.6.4. Límites y alcance académico</w:t>
      </w:r>
    </w:p>
    <w:p>
      <w:pPr>
        <w:spacing w:before="0" w:after="120" w:line="240" w:lineRule="auto"/>
        <w:jc w:val="both"/>
      </w:pPr>
      <w:r>
        <w:t>La versión entregada no procesa tarjetas, no consulta movimientos bancarios y no ejecuta transferencias. Bancos, depósitos y canjes son registros internos digitados para demostrar la lógica del sistema. Para producción se requerirían migraciones versionadas, HTTPS, secretos externos, copias de seguridad, auditoría ampliada y pruebas de carga.</w:t>
      </w:r>
    </w:p>
    <w:p>
      <w:pPr>
        <w:pStyle w:val="Heading2"/>
        <w:keepNext/>
      </w:pPr>
      <w:r>
        <w:t>5.6.5. Documentación de sustento</w:t>
      </w:r>
    </w:p>
    <w:p>
      <w:pPr>
        <w:pStyle w:val="ListBullet"/>
        <w:spacing w:before="0" w:after="80" w:line="240" w:lineRule="auto"/>
      </w:pPr>
      <w:r>
        <w:t>README con instalación, credenciales de dos roles, importación CSV, alcance y secuencia de demostración.</w:t>
      </w:r>
    </w:p>
    <w:p>
      <w:pPr>
        <w:pStyle w:val="ListBullet"/>
        <w:spacing w:before="0" w:after="80" w:line="240" w:lineRule="auto"/>
      </w:pPr>
      <w:r>
        <w:rPr>
          <w:rFonts w:ascii="Arial" w:hAnsi="Arial" w:eastAsia="Arial"/>
          <w:color w:val="000000"/>
          <w:sz w:val="22"/>
        </w:rPr>
        <w:t>Script SQL para crear la base de datos MySQL.</w:t>
      </w:r>
    </w:p>
    <w:p>
      <w:pPr>
        <w:pStyle w:val="ListBullet"/>
        <w:spacing w:before="0" w:after="80" w:line="240" w:lineRule="auto"/>
      </w:pPr>
      <w:r>
        <w:t>Colección Postman con 26 solicitudes para autenticación, catálogos, cuentas, tesorería y reportes.</w:t>
      </w:r>
    </w:p>
    <w:p>
      <w:pPr>
        <w:pStyle w:val="ListBullet"/>
        <w:spacing w:before="0" w:after="80" w:line="240" w:lineRule="auto"/>
      </w:pPr>
      <w:r>
        <w:t>Pruebas JUnit y MockMvc para repositorios, autenticación y reglas transaccionales de cobranza.</w:t>
      </w:r>
    </w:p>
    <w:p>
      <w:pPr>
        <w:pStyle w:val="ListBullet"/>
        <w:spacing w:before="0" w:after="80" w:line="240" w:lineRule="auto"/>
      </w:pPr>
      <w:r>
        <w:t>Documento de distribución equilibrada con ocho responsabilidades para cada uno de los cuatro integrantes.</w:t>
      </w:r>
    </w:p>
    <w:p>
      <w:pPr>
        <w:pStyle w:val="ListBullet"/>
        <w:spacing w:before="0" w:after="80" w:line="240" w:lineRule="auto"/>
      </w:pPr>
      <w:r>
        <w:t>Plantilla CSV de egresos y evidencias visuales incorporadas en los anexos.</w:t>
      </w:r>
    </w:p>
    <w:p>
      <w:pPr>
        <w:pStyle w:val="Heading1"/>
        <w:keepNext/>
      </w:pPr>
      <w:r>
        <w:t>5.7. Productos y entregables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172"/>
      </w:tblGrid>
      <w:tr>
        <w:trPr>
          <w:trHeight w:hRule="atLeast"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Producto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Contenido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Ubicación / evidencia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Java 21 con seguridad, validaciones, transacciones y XLSX.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Carpeta backend/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Angular con trece pantallas y diez servicios HTTP.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Carpeta frontend/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Diez entidades JPA y script MySQL.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database/crear_base.sql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Pruebas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Once pruebas automatizadas aprobadas.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backend/src/test/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Colección con 26 solicitudes.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docs/Sistema_Gestion.postman_collection.json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Carga masiva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Plantilla CSV de egresos.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docs/plantilla_egresos.csv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Documentación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Guía, alcance y reparto equilibrado.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README.md y docs/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Informe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 académico editable con anexos.</w:t>
            </w:r>
          </w:p>
        </w:tc>
        <w:tc>
          <w:tcPr>
            <w:tcW w:type="dxa" w:w="3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docs/Informe_Final_Proyecto_Sistema_Gestion.docx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Resumen cuantitativo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000"/>
        <w:gridCol w:w="4472"/>
      </w:tblGrid>
      <w:tr>
        <w:trPr>
          <w:trHeight w:hRule="atLeast"/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Indicador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Resultado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Evidencia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Endpoints REST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52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Anotaciones de controladores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Controladores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Paquete controllers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Entidades JPA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Paquete entities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Repositorios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Paquete repositories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Pantallas Angular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13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Carpeta pages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Servicios Angular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Carpeta services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Solicitudes Postman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26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Colección JSON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Pruebas automatizadas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11 aprobadas</w:t>
            </w:r>
          </w:p>
        </w:tc>
        <w:tc>
          <w:tcPr>
            <w:tcW w:type="dxa" w:w="44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mvn test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5.8. Conclusiones</w:t>
      </w:r>
    </w:p>
    <w:p>
      <w:pPr>
        <w:spacing w:before="0" w:after="80" w:line="240" w:lineRule="auto"/>
        <w:ind w:left="369" w:hanging="369"/>
      </w:pPr>
      <w:r>
        <w:t>1.</w:t>
        <w:tab/>
        <w:t>La integración de Angular y Spring Boot permitió construir un flujo administrativo completo con responsabilidades separadas: interfaz, seguridad, reglas transaccionales y persistencia.</w:t>
      </w:r>
    </w:p>
    <w:p>
      <w:pPr>
        <w:spacing w:before="0" w:after="80" w:line="240" w:lineRule="auto"/>
        <w:ind w:left="369" w:hanging="369"/>
      </w:pPr>
      <w:r>
        <w:t>2.</w:t>
        <w:tab/>
        <w:t>La autenticación con BCrypt, JWT y roles, junto con validaciones, bloqueos de correlativo y operaciones atómicas, mejora la confiabilidad frente al manejo manual.</w:t>
      </w:r>
    </w:p>
    <w:p>
      <w:pPr>
        <w:spacing w:before="0" w:after="80" w:line="240" w:lineRule="auto"/>
        <w:ind w:left="369" w:hanging="369"/>
      </w:pPr>
      <w:r>
        <w:t>3.</w:t>
        <w:tab/>
        <w:t>Las once pruebas aprobadas, la compilación Angular y la validación integrada sustentan el alcance: cuentas por socio o puesto, consumos, cobranza múltiple, tesorería, egresos, vouchers y XLSX.</w:t>
      </w:r>
    </w:p>
    <w:p>
      <w:pPr>
        <w:pStyle w:val="Heading1"/>
        <w:keepNext/>
      </w:pPr>
      <w:r>
        <w:t>5.9. Recomendaciones</w:t>
      </w:r>
    </w:p>
    <w:p>
      <w:pPr>
        <w:spacing w:before="0" w:after="80" w:line="240" w:lineRule="auto"/>
        <w:ind w:left="369" w:hanging="369"/>
      </w:pPr>
      <w:r>
        <w:t>1.</w:t>
        <w:tab/>
        <w:t>Fortalecer una futura puesta en producción con HTTPS, secretos externos, migraciones de esquema, copias de seguridad y renovación controlada de JWT.</w:t>
      </w:r>
    </w:p>
    <w:p>
      <w:pPr>
        <w:spacing w:before="0" w:after="80" w:line="240" w:lineRule="auto"/>
        <w:ind w:left="369" w:hanging="369"/>
      </w:pPr>
      <w:r>
        <w:t>2.</w:t>
        <w:tab/>
        <w:t>Ampliar la auditoría con historial de cambios por campo y políticas de retención; mantener el canje como simulación mientras no exista autorización para integraciones reales.</w:t>
      </w:r>
    </w:p>
    <w:p>
      <w:pPr>
        <w:spacing w:before="0" w:after="80" w:line="240" w:lineRule="auto"/>
        <w:ind w:left="369" w:hanging="369"/>
      </w:pPr>
      <w:r>
        <w:t>3.</w:t>
        <w:tab/>
        <w:t>Realizar pruebas de usabilidad, accesibilidad, concurrencia y rendimiento; medir tiempos de atención antes y después de la adopción.</w:t>
      </w:r>
    </w:p>
    <w:p>
      <w:pPr>
        <w:pStyle w:val="Heading1"/>
        <w:keepNext/>
      </w:pPr>
      <w:r>
        <w:t>5.10. Glosario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172"/>
      </w:tblGrid>
      <w:tr>
        <w:trPr>
          <w:trHeight w:hRule="atLeast"/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Término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Definición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API REST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Interfaz HTTP que expone recursos y operaciones mediante métodos como GET, POST, PUT y DELETE.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Angular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Framework frontend utilizado para construir la aplicación web y sus formularios.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BCrypt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Algoritmo adaptativo usado para almacenar contraseñas mediante hashes seguros.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CRUD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Conjunto de operaciones de crear, consultar, actualizar y eliminar información.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DTO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Objeto que transporta datos entre la API y sus consumidores sin exponer directamente toda la entidad.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JPA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Especificación Java para mapear objetos a tablas y gestionar persistencia.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JWT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Token firmado que representa la identidad y autorización de una sesión.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Maven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Herramienta que gestiona dependencias, compilación y pruebas del backend.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MySQL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Motor relacional utilizado como base de datos principal.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SEPTE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Análisis de variables sociales, económicas, políticas, tecnológicas y ecológicas.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Spring Boot</w:t>
            </w:r>
          </w:p>
        </w:tc>
        <w:tc>
          <w:tcPr>
            <w:tcW w:type="dxa" w:w="71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Framework Java utilizado para la API, seguridad y acceso a datos.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5.11. Bibliografía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1.</w:t>
        <w:tab/>
      </w:r>
      <w:r>
        <w:rPr>
          <w:rFonts w:ascii="Arial" w:hAnsi="Arial" w:eastAsia="Arial"/>
          <w:color w:val="000000"/>
          <w:sz w:val="22"/>
        </w:rPr>
        <w:t>CIBERTEC. Plan de Proyecto de Investigación Aplicada: Desarrollo de Aplicaciones Web I (4694). 2026.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2.</w:t>
        <w:tab/>
      </w:r>
      <w:r>
        <w:rPr>
          <w:rFonts w:ascii="Arial" w:hAnsi="Arial" w:eastAsia="Arial"/>
          <w:color w:val="000000"/>
          <w:sz w:val="22"/>
        </w:rPr>
        <w:t>Documento de referencia. Especificación de Requisitos de Software: Sistema de Gestión Administrativa y de Caja. Versión 1.0, 20 de julio de 2026.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3.</w:t>
        <w:tab/>
      </w:r>
      <w:r>
        <w:rPr>
          <w:rFonts w:ascii="Arial" w:hAnsi="Arial" w:eastAsia="Arial"/>
          <w:color w:val="000000"/>
          <w:sz w:val="22"/>
        </w:rPr>
        <w:t>Instituto Nacional de Estadística e Informática. Estadísticas de las Tecnologías de Información y Comunicación en los Hogares. Informe Técnico N.° 02, junio de 2025. https://www1.inei.gob.pe/media/MenuRecursivo/boletines/informe-tecnico_tecnologiasdelainformacion_ene_feb_mar2025.pdf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4.</w:t>
        <w:tab/>
      </w:r>
      <w:r>
        <w:rPr>
          <w:rFonts w:ascii="Arial" w:hAnsi="Arial" w:eastAsia="Arial"/>
          <w:color w:val="000000"/>
          <w:sz w:val="22"/>
        </w:rPr>
        <w:t>Ministerio de la Producción. Perú cerró el 2024 con 2.34 millones de empresas formales. 17 de mayo de 2025. https://www.gob.pe/institucion/produce/noticias/1168972-produce-peru-cerro-el-2024-con-2-34-millones-de-empresas-formales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5.</w:t>
        <w:tab/>
      </w:r>
      <w:r>
        <w:rPr>
          <w:rFonts w:ascii="Arial" w:hAnsi="Arial" w:eastAsia="Arial"/>
          <w:color w:val="000000"/>
          <w:sz w:val="22"/>
        </w:rPr>
        <w:t>Ministerio de Justicia y Derechos Humanos. Decreto Supremo N.° 016-2024-JUS, Reglamento de la Ley N.° 29733. 30 de noviembre de 2024. https://www.gob.pe/institucion/anpd/normas-legales/6554453-n-016-2024-jus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6.</w:t>
        <w:tab/>
      </w:r>
      <w:r>
        <w:rPr>
          <w:rFonts w:ascii="Arial" w:hAnsi="Arial" w:eastAsia="Arial"/>
          <w:color w:val="000000"/>
          <w:sz w:val="22"/>
        </w:rPr>
        <w:t>Presidencia del Consejo de Ministros. Política Nacional de Transformación Digital al 2030. https://www.gob.pe/44545-politica-nacional-de-transformacion-digital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7.</w:t>
        <w:tab/>
      </w:r>
      <w:r>
        <w:rPr>
          <w:rFonts w:ascii="Arial" w:hAnsi="Arial" w:eastAsia="Arial"/>
          <w:color w:val="000000"/>
          <w:sz w:val="22"/>
        </w:rPr>
        <w:t>Ministerio de la Producción. Mype Digital: Digitaliza tu negocio y haz crecer tu mype. https://www.gob.pe/mype-digital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8.</w:t>
        <w:tab/>
      </w:r>
      <w:r>
        <w:rPr>
          <w:rFonts w:ascii="Arial" w:hAnsi="Arial" w:eastAsia="Arial"/>
          <w:color w:val="000000"/>
          <w:sz w:val="22"/>
        </w:rPr>
        <w:t>Ministerio de la Producción - ProInnóvate. Tecnologías digitales: siete herramientas que transforman la gestión en los negocios peruanos. 14 de marzo de 2026. https://www.gob.pe/institucion/produce/noticias/1365702-tecnologias-digitales-siete-herramientas-que-transforman-la-gestion-en-los-negocios-peruanos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9.</w:t>
        <w:tab/>
      </w:r>
      <w:r>
        <w:rPr>
          <w:rFonts w:ascii="Arial" w:hAnsi="Arial" w:eastAsia="Arial"/>
          <w:color w:val="000000"/>
          <w:sz w:val="22"/>
        </w:rPr>
        <w:t>Spring. Spring Boot Reference Documentation. https://docs.spring.io/spring-boot/</w:t>
      </w:r>
    </w:p>
    <w:p>
      <w:pPr>
        <w:spacing w:before="0" w:after="80" w:line="240" w:lineRule="auto"/>
        <w:ind w:left="369" w:hanging="369"/>
      </w:pPr>
      <w:r>
        <w:rPr>
          <w:rFonts w:ascii="Arial" w:hAnsi="Arial" w:eastAsia="Arial"/>
          <w:color w:val="000000"/>
          <w:sz w:val="22"/>
        </w:rPr>
        <w:t>10.</w:t>
        <w:tab/>
      </w:r>
      <w:r>
        <w:rPr>
          <w:rFonts w:ascii="Arial" w:hAnsi="Arial" w:eastAsia="Arial"/>
          <w:color w:val="000000"/>
          <w:sz w:val="22"/>
        </w:rPr>
        <w:t>Angular. Angular Documentation. https://angular.dev/</w:t>
      </w:r>
    </w:p>
    <w:p>
      <w:pPr>
        <w:spacing w:before="0" w:after="160" w:line="240" w:lineRule="auto"/>
        <w:jc w:val="both"/>
      </w:pPr>
      <w:r>
        <w:rPr>
          <w:rFonts w:ascii="Arial" w:hAnsi="Arial" w:eastAsia="Arial"/>
          <w:i/>
          <w:color w:val="4B5563"/>
          <w:sz w:val="22"/>
        </w:rPr>
        <w:t>Fuentes web consultadas el 18 de agosto de 2026.</w:t>
      </w:r>
    </w:p>
    <w:p>
      <w:pPr>
        <w:pStyle w:val="Heading1"/>
        <w:keepNext/>
      </w:pPr>
      <w:r>
        <w:t>5.12. Anexos</w:t>
      </w:r>
    </w:p>
    <w:p>
      <w:pPr>
        <w:pStyle w:val="Heading2"/>
        <w:keepNext/>
      </w:pPr>
      <w:r>
        <w:t>Anexo A. Matriz de cumplimiento de la rúbrica técnica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5272"/>
        <w:gridCol w:w="1800"/>
      </w:tblGrid>
      <w:tr>
        <w:trPr>
          <w:trHeight w:hRule="atLeast"/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Criterio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Implementación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Estado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Login REST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/api/auth/login, JWT y BCrypt.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Roles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ADMIN y OPERADOR con reglas del backend.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Métodos HTTP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GET, POST, PUT y DELETE en API REST.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Angular consume REST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Diez servicios HttpClient e interceptor.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Persistencia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Data JPA con MySQL y perfil H2.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Cobranza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Individual, masiva, consumo y operaciones en lote.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Tesorería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Bancos referenciales, ingresos y egresos.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Comprobantes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Correlativos, voucher, procesamiento y anulación.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Reportes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Cinco exportaciones XLSX.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  <w:tr>
        <w:trPr>
          <w:trHeight w:hRule="atLeast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Pruebas</w:t>
            </w:r>
          </w:p>
        </w:tc>
        <w:tc>
          <w:tcPr>
            <w:tcW w:type="dxa" w:w="5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Once casos aprobados y compilación Angular.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Cumple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Anexo B. Evidencias visuales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 title="Pantalla de inicio de sesión del Sistema de Gestión." descr="Pantalla de inicio de sesión del Sistema de Gest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Arial" w:hAnsi="Arial" w:eastAsia="Arial"/>
          <w:i/>
          <w:color w:val="4B5563"/>
          <w:sz w:val="19"/>
        </w:rPr>
        <w:t>Figura 2. Pantalla de inicio de sesión y credenciales de demostración.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84620"/>
            <wp:docPr id="3" name="Picture 3" title="Panel principal con accesos a socios, giros, puestos, servicios, caja y recibos." descr="Panel principal con accesos a socios, giros, puestos, servicios, caja y recib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Arial" w:hAnsi="Arial" w:eastAsia="Arial"/>
          <w:i/>
          <w:color w:val="4B5563"/>
          <w:sz w:val="19"/>
        </w:rPr>
        <w:t>Figura 3. Panel principal con acceso a los seis módulos funcionales.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16867"/>
            <wp:docPr id="4" name="Picture 4" title="Pantalla de registro y consulta de socios." descr="Pantalla de registro y consulta de soc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oc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Arial" w:hAnsi="Arial" w:eastAsia="Arial"/>
          <w:i/>
          <w:color w:val="4B5563"/>
          <w:sz w:val="19"/>
        </w:rPr>
        <w:t>Figura 4. Registro y directorio de socios.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84620"/>
            <wp:docPr id="5" name="Picture 5" title="Pantalla de cuentas por cobrar con una cuenta pagada y otra pendiente." descr="Pantalla de cuentas por cobrar con una cuenta pagada y otra pendi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en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Arial" w:hAnsi="Arial" w:eastAsia="Arial"/>
          <w:i/>
          <w:color w:val="4B5563"/>
          <w:sz w:val="19"/>
        </w:rPr>
        <w:t>Figura 5. Cuenta pagada y cuenta pendiente del puesto P-101.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 title="Pantalla de consulta de recibos con el comprobante REC-000001." descr="Pantalla de consulta de recibos con el comprobante REC-0000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cib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Arial" w:hAnsi="Arial" w:eastAsia="Arial"/>
          <w:i/>
          <w:color w:val="4B5563"/>
          <w:sz w:val="19"/>
        </w:rPr>
        <w:t>Figura 6. Consulta del recibo REC-000001 emitido por el pago.</w:t>
      </w:r>
    </w:p>
    <w:p>
      <w:r>
        <w:br w:type="page"/>
      </w:r>
    </w:p>
    <w:p>
      <w:pPr>
        <w:pStyle w:val="Heading2"/>
        <w:keepNext/>
      </w:pPr>
      <w:r>
        <w:t>Anexo C. Evidencia de pruebas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72"/>
        <w:gridCol w:w="2300"/>
      </w:tblGrid>
      <w:tr>
        <w:trPr>
          <w:trHeight w:hRule="atLeast"/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Clase de prueba</w:t>
            </w:r>
          </w:p>
        </w:tc>
        <w:tc>
          <w:tcPr>
            <w:tcW w:type="dxa" w:w="4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Casos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Resultado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SocioRepositoryTest</w:t>
            </w:r>
          </w:p>
        </w:tc>
        <w:tc>
          <w:tcPr>
            <w:tcW w:type="dxa" w:w="4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Insertar, listar, actualizar y eliminar.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4 aprobados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AuthIntegrationTest</w:t>
            </w:r>
          </w:p>
        </w:tc>
        <w:tc>
          <w:tcPr>
            <w:tcW w:type="dxa" w:w="4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Login válido, inválido y ruta sin token.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3 aprobados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CuentaCobrarServiceTest</w:t>
            </w:r>
          </w:p>
        </w:tc>
        <w:tc>
          <w:tcPr>
            <w:tcW w:type="dxa" w:w="4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Crear, exonerar, pagar y evitar doble pago.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4 aprobados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4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Ejecución Maven completa.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11 aprobados; 0 fallos</w:t>
            </w:r>
          </w:p>
        </w:tc>
      </w:tr>
    </w:tbl>
    <w:p>
      <w:pPr>
        <w:spacing w:after="20"/>
      </w:pPr>
    </w:p>
    <w:p>
      <w:pPr>
        <w:spacing w:before="0" w:after="120" w:line="240" w:lineRule="auto"/>
        <w:jc w:val="both"/>
      </w:pPr>
      <w:r>
        <w:t>Validaciones adicionales: la compilación Angular finalizó correctamente; las once pruebas Maven aprobaron; la colección Postman es JSON válido; y el flujo integrado contempla autenticación, catálogos, cuentas, recibos, egresos y reportes sin pasarela de pagos.</w:t>
      </w:r>
    </w:p>
    <w:p>
      <w:pPr>
        <w:pStyle w:val="Heading2"/>
        <w:keepNext/>
      </w:pPr>
      <w:r>
        <w:t>Anexo D. Distribución del trabajo para cuatro integrantes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72"/>
        <w:gridCol w:w="3800"/>
      </w:tblGrid>
      <w:tr>
        <w:trPr>
          <w:trHeight w:hRule="atLeast"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Integrante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Responsabilidad principal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304F"/>
          </w:tcPr>
          <w:p>
            <w:pPr>
              <w:spacing w:after="40"/>
            </w:pPr>
            <w:r>
              <w:rPr>
                <w:sz w:val="17"/>
              </w:rPr>
              <w:t>Productos verificables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Integrante 1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Seguridad, roles, socios y pruebas base.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 responsabilidades; RF-01 a RF-05.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Integrante 2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Giros, puestos, servicios y consumo.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8 responsabilidades; RF-06 a RF-17.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Integrante 3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Cuentas, lotes, resumen y recibos.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 responsabilidades; RF-16 y RF-18 a RF-29.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Integrante 4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Bancos, ingresos, egresos, XLSX e integración.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7FC"/>
          </w:tcPr>
          <w:p>
            <w:pPr>
              <w:spacing w:after="40"/>
            </w:pPr>
            <w:r>
              <w:rPr>
                <w:sz w:val="17"/>
              </w:rPr>
              <w:t>8 responsabilidades; RF-24 a RF-33.</w:t>
            </w:r>
          </w:p>
        </w:tc>
      </w:tr>
    </w:tbl>
    <w:p>
      <w:pPr>
        <w:spacing w:after="20"/>
      </w:pPr>
    </w:p>
    <w:p>
      <w:pPr>
        <w:spacing w:before="0" w:after="120" w:line="240" w:lineRule="auto"/>
        <w:jc w:val="both"/>
      </w:pPr>
      <w:r>
        <w:t>El reparto asigna ocho responsabilidades a cada integrante y exige revisión cruzada: cada persona explica su módulo y valida al menos una funcionalidad desarrollada por otro miembro.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4B5563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Instituto Nacional de Estadística e Informática. Estadísticas de las Tecnologías de Información y Comunicación en los Hogares. Informe Técnico N.° 02, junio de 2025, pp. 2 y 7.</w:t>
      </w:r>
    </w:p>
  </w:footnote>
  <w:footnote w:id="2">
    <w:p>
      <w:r>
        <w:footnoteRef/>
      </w:r>
      <w:r>
        <w:t> Ministerio de la Producción. Perú cerró el 2024 con 2.34 millones de empresas formales. Nota de prensa, 17 de mayo de 2025.</w:t>
      </w:r>
    </w:p>
  </w:footnote>
  <w:footnote w:id="3">
    <w:p>
      <w:r>
        <w:footnoteRef/>
      </w:r>
      <w:r>
        <w:t> Ministerio de Justicia y Derechos Humanos. Decreto Supremo N.° 016-2024-JUS, Reglamento de la Ley N.° 29733, 30 de noviembre de 2024.</w:t>
      </w:r>
    </w:p>
  </w:footnote>
  <w:footnote w:id="4">
    <w:p>
      <w:r>
        <w:footnoteRef/>
      </w:r>
      <w:r>
        <w:t> Presidencia del Consejo de Ministros. Política Nacional de Transformación Digital al 2030.</w:t>
      </w:r>
    </w:p>
  </w:footnote>
  <w:footnote w:id="5">
    <w:p>
      <w:r>
        <w:footnoteRef/>
      </w:r>
      <w:r>
        <w:t> Ministerio de la Producción - ProInnóvate. Tecnologías digitales: siete herramientas que transforman la gestión en los negocios peruanos. 14 de marzo de 2026.</w:t>
      </w:r>
    </w:p>
  </w:footnote>
  <w:footnote w:id="6">
    <w:p>
      <w:r>
        <w:footnoteRef/>
      </w:r>
      <w:r>
        <w:t> Ministerio de la Producción. Mype Digital: Digitaliza tu negocio y haz crecer tu mype.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4B5563"/>
        <w:sz w:val="17"/>
      </w:rPr>
      <w:t>DESARROLLO DE APLICACIONES WEB I  |  PROYECTO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230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6F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230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0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40" w:lineRule="auto"/>
    </w:pPr>
    <w:rPr>
      <w:rFonts w:asciiTheme="majorHAnsi" w:eastAsiaTheme="majorEastAsia" w:hAnsiTheme="majorHAnsi" w:cstheme="majorBidi" w:ascii="Arial" w:hAnsi="Arial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40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240" w:lineRule="auto"/>
      <w:contextualSpacing/>
    </w:pPr>
    <w:rPr>
      <w:rFonts w:ascii="Arial" w:hAnsi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40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- Sistema Web de Gestión Administrativa y de Caja</dc:title>
  <dc:subject>Informe final actualizado del Sistema de Gestión Administrativa y de Caja</dc:subject>
  <dc:creator>Equipo de proyecto - CIBERTEC</dc:creator>
  <cp:keywords>Spring Boot, Angular, JWT, cuentas, egresos, reportes XLSX</cp:keywords>
  <dc:description>Informe académico editable generado a partir de la aplicación implementada.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