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0"/>
        <w:jc w:val="center"/>
        <w:rPr>
          <w:rFonts w:cs="" w:asciiTheme="minorBidi" w:cstheme="minorBidi" w:hAnsiTheme="minorBidi"/>
          <w:b/>
          <w:bCs/>
          <w:color w:val="C00000"/>
          <w:sz w:val="56"/>
          <w:szCs w:val="56"/>
        </w:rPr>
      </w:pPr>
      <w:r>
        <w:rPr>
          <w:rFonts w:cs="" w:cstheme="minorBidi"/>
          <w:b/>
          <w:bCs/>
          <w:color w:val="C00000"/>
          <w:sz w:val="56"/>
          <w:szCs w:val="56"/>
        </w:rPr>
        <w:t>PENETRATION TESTING REPORT</w:t>
      </w:r>
    </w:p>
    <w:p>
      <w:pPr>
        <w:pStyle w:val="Normal"/>
        <w:spacing w:before="0" w:after="400"/>
        <w:jc w:val="center"/>
        <w:rPr>
          <w:rFonts w:cs="" w:asciiTheme="minorBidi" w:cstheme="minorBidi" w:hAnsiTheme="minorBidi"/>
          <w:color w:val="C00000"/>
          <w:sz w:val="32"/>
          <w:szCs w:val="32"/>
        </w:rPr>
      </w:pPr>
      <w:r>
        <w:rPr>
          <w:rFonts w:cs="" w:cstheme="minorBidi"/>
          <w:color w:val="C00000"/>
          <w:sz w:val="32"/>
          <w:szCs w:val="32"/>
        </w:rPr>
        <w:t>FOOTPRINTING &amp; NETWORK SCANNING PHASES</w:t>
      </w:r>
    </w:p>
    <w:p>
      <w:pPr>
        <w:pStyle w:val="Normal"/>
        <w:jc w:val="center"/>
        <w:rPr>
          <w:rFonts w:cs="" w:asciiTheme="minorBidi" w:cstheme="minorBidi" w:hAnsiTheme="minorBidi"/>
          <w:color w:val="404040"/>
          <w:sz w:val="24"/>
          <w:szCs w:val="24"/>
        </w:rPr>
      </w:pPr>
      <w:r>
        <w:rPr>
          <w:rFonts w:cs="" w:cstheme="minorBidi"/>
          <w:color w:val="404040"/>
          <w:sz w:val="24"/>
          <w:szCs w:val="24"/>
        </w:rPr>
        <w:t>W2-PM</w:t>
      </w:r>
      <w:r>
        <w:rPr>
          <w:rFonts w:cs="" w:cstheme="minorBidi"/>
          <w:color w:val="404040"/>
          <w:sz w:val="24"/>
          <w:szCs w:val="24"/>
        </w:rPr>
        <w:t>1-5</w:t>
      </w:r>
      <w:r>
        <w:rPr>
          <w:rFonts w:cs="" w:cstheme="minorBidi"/>
          <w:color w:val="404040"/>
          <w:sz w:val="24"/>
          <w:szCs w:val="24"/>
        </w:rPr>
        <w:t>-FINAL | CYBERSECURITY |  NETWORKWALKS</w:t>
      </w:r>
    </w:p>
    <w:p>
      <w:pPr>
        <w:pStyle w:val="Normal"/>
        <w:jc w:val="center"/>
        <w:rPr>
          <w:rFonts w:cs="" w:asciiTheme="minorBidi" w:cstheme="minorBidi" w:hAnsiTheme="minorBidi"/>
        </w:rPr>
      </w:pPr>
      <w:r>
        <w:rPr>
          <w:rFonts w:cs="" w:asciiTheme="minorBidi" w:cstheme="minorBidi" w:hAnsiTheme="minorBidi"/>
        </w:rPr>
      </w:r>
    </w:p>
    <w:tbl>
      <w:tblPr>
        <w:tblStyle w:val="TableGrid"/>
        <w:tblW w:w="4700" w:type="pct"/>
        <w:jc w:val="start"/>
        <w:tblInd w:w="279" w:type="dxa"/>
        <w:tblLayout w:type="fixed"/>
        <w:tblCellMar>
          <w:top w:w="0" w:type="dxa"/>
          <w:start w:w="108" w:type="dxa"/>
          <w:bottom w:w="0" w:type="dxa"/>
          <w:end w:w="108" w:type="dxa"/>
        </w:tblCellMar>
        <w:tblLook w:firstRow="0" w:noVBand="0" w:lastRow="0" w:firstColumn="0" w:lastColumn="0" w:noHBand="0" w:val="0000"/>
      </w:tblPr>
      <w:tblGrid>
        <w:gridCol w:w="3277"/>
        <w:gridCol w:w="6198"/>
      </w:tblGrid>
      <w:tr>
        <w:trPr>
          <w:trHeight w:val="857" w:hRule="atLeast"/>
        </w:trPr>
        <w:tc>
          <w:tcPr>
            <w:tcW w:w="3277" w:type="dxa"/>
            <w:tcBorders/>
            <w:shd w:color="auto" w:fill="595959" w:themeFill="text1" w:themeFillTint="a6" w:val="clear"/>
            <w:vAlign w:val="center"/>
          </w:tcPr>
          <w:p>
            <w:pPr>
              <w:pStyle w:val="Normal"/>
              <w:widowControl/>
              <w:suppressAutoHyphens w:val="true"/>
              <w:spacing w:before="0" w:after="0"/>
              <w:jc w:val="center"/>
              <w:rPr>
                <w:rFonts w:cs="" w:asciiTheme="minorBidi" w:cstheme="minorBidi" w:hAnsiTheme="minorBidi"/>
                <w:color w:themeColor="background1" w:val="FFFFFF"/>
              </w:rPr>
            </w:pPr>
            <w:r>
              <w:rPr>
                <w:rFonts w:eastAsia="Calibri" w:cs="" w:cstheme="minorBidi"/>
                <w:b/>
                <w:bCs/>
                <w:color w:themeColor="background1" w:val="FFFFFF"/>
                <w:kern w:val="0"/>
                <w:sz w:val="22"/>
                <w:szCs w:val="22"/>
                <w:lang w:val="en-ZA" w:eastAsia="en-ZA" w:bidi="ar-SA"/>
              </w:rPr>
              <w:t>Pentester Name</w:t>
              <w:br/>
              <w:t>(Cybersecurity Professional)</w:t>
            </w:r>
          </w:p>
        </w:tc>
        <w:tc>
          <w:tcPr>
            <w:tcW w:w="6198" w:type="dxa"/>
            <w:tcBorders/>
            <w:shd w:color="auto" w:fill="595959" w:themeFill="text1" w:themeFillTint="a6" w:val="clear"/>
            <w:vAlign w:val="center"/>
          </w:tcPr>
          <w:p>
            <w:pPr>
              <w:pStyle w:val="Normal"/>
              <w:widowControl/>
              <w:suppressAutoHyphens w:val="true"/>
              <w:spacing w:before="0" w:after="0"/>
              <w:jc w:val="start"/>
              <w:rPr>
                <w:rFonts w:cs="" w:asciiTheme="minorBidi" w:cstheme="minorBidi" w:hAnsiTheme="minorBidi"/>
                <w:b/>
                <w:bCs/>
                <w:color w:themeColor="background1" w:val="FFFFFF"/>
              </w:rPr>
            </w:pPr>
            <w:r>
              <w:rPr>
                <w:rFonts w:eastAsia="Calibri" w:cs="" w:cstheme="minorBidi"/>
                <w:b/>
                <w:bCs/>
                <w:color w:themeColor="background1" w:val="FFFFFF"/>
                <w:kern w:val="0"/>
                <w:sz w:val="22"/>
                <w:szCs w:val="22"/>
                <w:lang w:val="en-ZA" w:eastAsia="en-ZA" w:bidi="ar-SA"/>
              </w:rPr>
              <w:t>Patrick Alabi</w:t>
            </w:r>
          </w:p>
        </w:tc>
      </w:tr>
      <w:tr>
        <w:trPr>
          <w:trHeight w:val="440" w:hRule="atLeast"/>
        </w:trPr>
        <w:tc>
          <w:tcPr>
            <w:tcW w:w="3277" w:type="dxa"/>
            <w:tcBorders/>
            <w:shd w:color="auto" w:fill="C00000" w:val="clear"/>
            <w:vAlign w:val="center"/>
          </w:tcPr>
          <w:p>
            <w:pPr>
              <w:pStyle w:val="Normal"/>
              <w:widowControl/>
              <w:suppressAutoHyphens w:val="true"/>
              <w:spacing w:before="0" w:after="0"/>
              <w:jc w:val="center"/>
              <w:rPr>
                <w:rFonts w:cs="" w:asciiTheme="minorBidi" w:cstheme="minorBidi" w:hAnsiTheme="minorBidi"/>
              </w:rPr>
            </w:pPr>
            <w:r>
              <w:rPr>
                <w:rFonts w:eastAsia="Calibri" w:cs="" w:cstheme="minorBidi"/>
                <w:b/>
                <w:bCs/>
                <w:kern w:val="0"/>
                <w:sz w:val="22"/>
                <w:szCs w:val="22"/>
                <w:lang w:val="en-ZA" w:eastAsia="en-ZA" w:bidi="ar-SA"/>
              </w:rPr>
              <w:t>Program/Batch</w:t>
            </w:r>
          </w:p>
        </w:tc>
        <w:tc>
          <w:tcPr>
            <w:tcW w:w="6198" w:type="dxa"/>
            <w:tcBorders/>
            <w:vAlign w:val="center"/>
          </w:tcPr>
          <w:p>
            <w:pPr>
              <w:pStyle w:val="Normal"/>
              <w:widowControl/>
              <w:suppressAutoHyphens w:val="true"/>
              <w:spacing w:before="0" w:after="0"/>
              <w:jc w:val="start"/>
              <w:rPr>
                <w:rFonts w:cs="" w:asciiTheme="minorBidi" w:cstheme="minorBidi" w:hAnsiTheme="minorBidi"/>
              </w:rPr>
            </w:pPr>
            <w:r>
              <w:rPr>
                <w:rFonts w:eastAsia="Calibri" w:cs="" w:cstheme="minorBidi"/>
                <w:kern w:val="0"/>
                <w:sz w:val="22"/>
                <w:szCs w:val="22"/>
                <w:lang w:val="en-ZA" w:eastAsia="en-ZA" w:bidi="ar-SA"/>
              </w:rPr>
              <w:t>B083-Networkwalks</w:t>
            </w:r>
          </w:p>
        </w:tc>
      </w:tr>
      <w:tr>
        <w:trPr>
          <w:trHeight w:val="440" w:hRule="atLeast"/>
        </w:trPr>
        <w:tc>
          <w:tcPr>
            <w:tcW w:w="3277" w:type="dxa"/>
            <w:tcBorders/>
            <w:shd w:color="auto" w:fill="C00000" w:val="clear"/>
            <w:vAlign w:val="center"/>
          </w:tcPr>
          <w:p>
            <w:pPr>
              <w:pStyle w:val="Normal"/>
              <w:widowControl/>
              <w:suppressAutoHyphens w:val="true"/>
              <w:spacing w:before="0" w:after="0"/>
              <w:jc w:val="center"/>
              <w:rPr>
                <w:rFonts w:cs="" w:asciiTheme="minorBidi" w:cstheme="minorBidi" w:hAnsiTheme="minorBidi"/>
              </w:rPr>
            </w:pPr>
            <w:r>
              <w:rPr>
                <w:rFonts w:eastAsia="Calibri" w:cs="" w:cstheme="minorBidi"/>
                <w:b/>
                <w:bCs/>
                <w:kern w:val="0"/>
                <w:sz w:val="22"/>
                <w:szCs w:val="22"/>
                <w:lang w:val="en-ZA" w:eastAsia="en-ZA" w:bidi="ar-SA"/>
              </w:rPr>
              <w:t>Date</w:t>
            </w:r>
          </w:p>
        </w:tc>
        <w:tc>
          <w:tcPr>
            <w:tcW w:w="6198" w:type="dxa"/>
            <w:tcBorders/>
            <w:vAlign w:val="center"/>
          </w:tcPr>
          <w:p>
            <w:pPr>
              <w:pStyle w:val="Normal"/>
              <w:widowControl/>
              <w:suppressAutoHyphens w:val="true"/>
              <w:spacing w:before="0" w:after="0"/>
              <w:jc w:val="start"/>
              <w:rPr>
                <w:rFonts w:cs="" w:asciiTheme="minorBidi" w:cstheme="minorBidi" w:hAnsiTheme="minorBidi"/>
              </w:rPr>
            </w:pPr>
            <w:r>
              <w:rPr>
                <w:rFonts w:eastAsia="Calibri" w:cs="" w:cstheme="minorBidi"/>
                <w:kern w:val="0"/>
                <w:sz w:val="22"/>
                <w:szCs w:val="22"/>
                <w:lang w:val="en-ZA" w:eastAsia="en-ZA" w:bidi="ar-SA"/>
              </w:rPr>
              <w:t>15 September 2026</w:t>
            </w:r>
          </w:p>
        </w:tc>
      </w:tr>
      <w:tr>
        <w:trPr>
          <w:trHeight w:val="857" w:hRule="atLeast"/>
        </w:trPr>
        <w:tc>
          <w:tcPr>
            <w:tcW w:w="3277" w:type="dxa"/>
            <w:tcBorders/>
            <w:shd w:color="auto" w:fill="C00000" w:val="clear"/>
            <w:vAlign w:val="center"/>
          </w:tcPr>
          <w:p>
            <w:pPr>
              <w:pStyle w:val="Normal"/>
              <w:widowControl/>
              <w:suppressAutoHyphens w:val="true"/>
              <w:spacing w:before="0" w:after="0"/>
              <w:jc w:val="center"/>
              <w:rPr>
                <w:rFonts w:cs="" w:asciiTheme="minorBidi" w:cstheme="minorBidi" w:hAnsiTheme="minorBidi"/>
              </w:rPr>
            </w:pPr>
            <w:r>
              <w:rPr>
                <w:rFonts w:eastAsia="Calibri" w:cs="" w:cstheme="minorBidi"/>
                <w:b/>
                <w:bCs/>
                <w:kern w:val="0"/>
                <w:sz w:val="22"/>
                <w:szCs w:val="22"/>
                <w:lang w:val="en-ZA" w:eastAsia="en-ZA" w:bidi="ar-SA"/>
              </w:rPr>
              <w:t>Modules completed</w:t>
            </w:r>
          </w:p>
        </w:tc>
        <w:tc>
          <w:tcPr>
            <w:tcW w:w="6198" w:type="dxa"/>
            <w:tcBorders/>
            <w:vAlign w:val="center"/>
          </w:tcPr>
          <w:p>
            <w:pPr>
              <w:pStyle w:val="Normal"/>
              <w:widowControl/>
              <w:suppressAutoHyphens w:val="true"/>
              <w:spacing w:before="0" w:after="0"/>
              <w:jc w:val="start"/>
              <w:rPr>
                <w:rFonts w:cs="" w:asciiTheme="minorBidi" w:cstheme="minorBidi" w:hAnsiTheme="minorBidi"/>
              </w:rPr>
            </w:pPr>
            <w:r>
              <w:rPr>
                <w:rFonts w:eastAsia="Calibri" w:cs="" w:cstheme="minorBidi"/>
                <w:kern w:val="0"/>
                <w:sz w:val="22"/>
                <w:szCs w:val="22"/>
                <w:lang w:val="en-ZA" w:eastAsia="en-ZA" w:bidi="ar-SA"/>
              </w:rPr>
              <w:t>W2-PM1 (Multiple Kali Tools)</w:t>
            </w:r>
          </w:p>
          <w:p>
            <w:pPr>
              <w:pStyle w:val="Normal"/>
              <w:widowControl/>
              <w:suppressAutoHyphens w:val="true"/>
              <w:spacing w:before="0" w:after="0"/>
              <w:jc w:val="start"/>
              <w:rPr>
                <w:rFonts w:cs="" w:asciiTheme="minorBidi" w:cstheme="minorBidi" w:hAnsiTheme="minorBidi"/>
              </w:rPr>
            </w:pPr>
            <w:r>
              <w:rPr>
                <w:rFonts w:eastAsia="Calibri" w:cs="" w:cstheme="minorBidi"/>
                <w:kern w:val="0"/>
                <w:sz w:val="22"/>
                <w:szCs w:val="22"/>
                <w:lang w:val="en-ZA" w:eastAsia="en-ZA" w:bidi="ar-SA"/>
              </w:rPr>
              <w:t>W2-PM2 (GHDB)</w:t>
            </w:r>
          </w:p>
          <w:p>
            <w:pPr>
              <w:pStyle w:val="Normal"/>
              <w:widowControl/>
              <w:suppressAutoHyphens w:val="true"/>
              <w:spacing w:before="0" w:after="0"/>
              <w:jc w:val="start"/>
              <w:rPr>
                <w:rFonts w:cs="" w:asciiTheme="minorBidi" w:cstheme="minorBidi" w:hAnsiTheme="minorBidi"/>
              </w:rPr>
            </w:pPr>
            <w:r>
              <w:rPr>
                <w:rFonts w:eastAsia="Calibri" w:cs="" w:cstheme="minorBidi"/>
                <w:kern w:val="0"/>
                <w:sz w:val="22"/>
                <w:szCs w:val="22"/>
                <w:lang w:val="en-ZA" w:eastAsia="en-ZA" w:bidi="ar-SA"/>
              </w:rPr>
              <w:t>W2-PM3 (Maltego)</w:t>
            </w:r>
          </w:p>
          <w:p>
            <w:pPr>
              <w:pStyle w:val="Normal"/>
              <w:widowControl/>
              <w:suppressAutoHyphens w:val="true"/>
              <w:spacing w:before="0" w:after="0"/>
              <w:jc w:val="start"/>
              <w:rPr>
                <w:rFonts w:cs="" w:asciiTheme="minorBidi" w:cstheme="minorBidi" w:hAnsiTheme="minorBidi"/>
              </w:rPr>
            </w:pPr>
            <w:r>
              <w:rPr>
                <w:rFonts w:eastAsia="Calibri" w:cs="" w:cstheme="minorBidi"/>
                <w:kern w:val="0"/>
                <w:sz w:val="22"/>
                <w:szCs w:val="22"/>
                <w:lang w:val="en-ZA" w:eastAsia="en-ZA" w:bidi="ar-SA"/>
              </w:rPr>
              <w:t>W2-PM4 (theHarvester)</w:t>
            </w:r>
          </w:p>
          <w:p>
            <w:pPr>
              <w:pStyle w:val="Normal"/>
              <w:widowControl/>
              <w:suppressAutoHyphens w:val="true"/>
              <w:spacing w:before="0" w:after="0"/>
              <w:jc w:val="start"/>
              <w:rPr>
                <w:rFonts w:cs="" w:asciiTheme="minorBidi" w:cstheme="minorBidi" w:hAnsiTheme="minorBidi"/>
              </w:rPr>
            </w:pPr>
            <w:r>
              <w:rPr>
                <w:rFonts w:eastAsia="Calibri" w:cs="" w:cstheme="minorBidi"/>
                <w:kern w:val="0"/>
                <w:sz w:val="22"/>
                <w:szCs w:val="22"/>
                <w:lang w:val="en-ZA" w:eastAsia="en-ZA" w:bidi="ar-SA"/>
              </w:rPr>
              <w:t>W2-PM5 (Zenmap Scanning)</w:t>
            </w:r>
          </w:p>
        </w:tc>
      </w:tr>
      <w:tr>
        <w:trPr>
          <w:trHeight w:val="881" w:hRule="atLeast"/>
        </w:trPr>
        <w:tc>
          <w:tcPr>
            <w:tcW w:w="3277" w:type="dxa"/>
            <w:tcBorders/>
            <w:shd w:color="auto" w:fill="C00000" w:val="clear"/>
            <w:vAlign w:val="center"/>
          </w:tcPr>
          <w:p>
            <w:pPr>
              <w:pStyle w:val="Normal"/>
              <w:widowControl/>
              <w:suppressAutoHyphens w:val="true"/>
              <w:spacing w:before="0" w:after="0"/>
              <w:jc w:val="center"/>
              <w:rPr>
                <w:rFonts w:cs="" w:asciiTheme="minorBidi" w:cstheme="minorBidi" w:hAnsiTheme="minorBidi"/>
              </w:rPr>
            </w:pPr>
            <w:r>
              <w:rPr>
                <w:rFonts w:eastAsia="Calibri" w:cs="" w:cstheme="minorBidi"/>
                <w:b/>
                <w:bCs/>
                <w:kern w:val="0"/>
                <w:sz w:val="22"/>
                <w:szCs w:val="22"/>
                <w:lang w:val="en-ZA" w:eastAsia="en-ZA" w:bidi="ar-SA"/>
              </w:rPr>
              <w:t>Client/Target</w:t>
            </w:r>
          </w:p>
        </w:tc>
        <w:tc>
          <w:tcPr>
            <w:tcW w:w="6198" w:type="dxa"/>
            <w:tcBorders/>
            <w:vAlign w:val="center"/>
          </w:tcPr>
          <w:p>
            <w:pPr>
              <w:pStyle w:val="Normal"/>
              <w:suppressAutoHyphens w:val="true"/>
              <w:rPr/>
            </w:pPr>
            <w:r>
              <w:rPr/>
              <w:t>1. Networkwalks (secured written permission already)</w:t>
              <w:br/>
              <w:t>2. Microsoft.com (accessing publicly available information)</w:t>
              <w:br/>
              <w:t>3. My own local LAN Network</w:t>
            </w:r>
          </w:p>
        </w:tc>
      </w:tr>
      <w:tr>
        <w:trPr>
          <w:trHeight w:val="415" w:hRule="atLeast"/>
        </w:trPr>
        <w:tc>
          <w:tcPr>
            <w:tcW w:w="3277" w:type="dxa"/>
            <w:tcBorders/>
            <w:shd w:color="auto" w:fill="C00000" w:val="clear"/>
            <w:vAlign w:val="center"/>
          </w:tcPr>
          <w:p>
            <w:pPr>
              <w:pStyle w:val="Normal"/>
              <w:widowControl/>
              <w:suppressAutoHyphens w:val="true"/>
              <w:spacing w:before="0" w:after="0"/>
              <w:jc w:val="center"/>
              <w:rPr>
                <w:rFonts w:cs="" w:asciiTheme="minorBidi" w:cstheme="minorBidi" w:hAnsiTheme="minorBidi"/>
                <w:b/>
                <w:bCs/>
              </w:rPr>
            </w:pPr>
            <w:r>
              <w:rPr>
                <w:rFonts w:eastAsia="Calibri" w:cs="" w:cstheme="minorBidi"/>
                <w:b/>
                <w:bCs/>
                <w:kern w:val="0"/>
                <w:sz w:val="22"/>
                <w:szCs w:val="22"/>
                <w:lang w:val="en-ZA" w:eastAsia="en-ZA" w:bidi="ar-SA"/>
              </w:rPr>
              <w:t>Permission secured from client?</w:t>
            </w:r>
          </w:p>
        </w:tc>
        <w:tc>
          <w:tcPr>
            <w:tcW w:w="6198" w:type="dxa"/>
            <w:tcBorders/>
            <w:vAlign w:val="center"/>
          </w:tcPr>
          <w:p>
            <w:pPr>
              <w:pStyle w:val="Normal"/>
              <w:suppressAutoHyphens w:val="true"/>
              <w:rPr/>
            </w:pPr>
            <w:r>
              <w:rPr/>
              <w:t>Yes</w:t>
            </w:r>
          </w:p>
        </w:tc>
      </w:tr>
      <w:tr>
        <w:trPr>
          <w:trHeight w:val="979" w:hRule="atLeast"/>
        </w:trPr>
        <w:tc>
          <w:tcPr>
            <w:tcW w:w="3277" w:type="dxa"/>
            <w:tcBorders/>
            <w:shd w:color="auto" w:fill="C00000" w:val="clear"/>
            <w:vAlign w:val="center"/>
          </w:tcPr>
          <w:p>
            <w:pPr>
              <w:pStyle w:val="Normal"/>
              <w:widowControl/>
              <w:suppressAutoHyphens w:val="true"/>
              <w:spacing w:before="0" w:after="0"/>
              <w:jc w:val="center"/>
              <w:rPr>
                <w:rFonts w:cs="" w:asciiTheme="minorBidi" w:cstheme="minorBidi" w:hAnsiTheme="minorBidi"/>
                <w:b/>
                <w:bCs/>
              </w:rPr>
            </w:pPr>
            <w:r>
              <w:rPr>
                <w:rFonts w:eastAsia="Calibri" w:cs="" w:cstheme="minorBidi"/>
                <w:b/>
                <w:bCs/>
                <w:kern w:val="0"/>
                <w:sz w:val="22"/>
                <w:szCs w:val="22"/>
                <w:lang w:val="en-ZA" w:eastAsia="en-ZA" w:bidi="ar-SA"/>
              </w:rPr>
              <w:t>Phases covered</w:t>
            </w:r>
          </w:p>
        </w:tc>
        <w:tc>
          <w:tcPr>
            <w:tcW w:w="6198" w:type="dxa"/>
            <w:tcBorders/>
            <w:vAlign w:val="center"/>
          </w:tcPr>
          <w:p>
            <w:pPr>
              <w:pStyle w:val="Normal"/>
              <w:suppressAutoHyphens w:val="true"/>
              <w:rPr/>
            </w:pPr>
            <w:r>
              <w:rPr/>
              <w:t>Phase 1: Reconnaissance &amp; Footprinting</w:t>
              <w:br/>
              <w:t>Phase 2: Scanning &amp; Network Discovery</w:t>
            </w:r>
          </w:p>
        </w:tc>
      </w:tr>
    </w:tbl>
    <w:p>
      <w:pPr>
        <w:pStyle w:val="Normal"/>
        <w:rPr>
          <w:rFonts w:cs="" w:asciiTheme="minorBidi" w:cstheme="minorBidi" w:hAnsiTheme="minorBidi"/>
        </w:rPr>
      </w:pPr>
      <w:r>
        <w:rPr>
          <w:rFonts w:cs="" w:asciiTheme="minorBidi" w:cstheme="minorBidi" w:hAnsiTheme="minorBidi"/>
        </w:rPr>
      </w:r>
    </w:p>
    <w:p>
      <w:pPr>
        <w:pStyle w:val="Normal"/>
        <w:rPr>
          <w:rFonts w:cs="" w:asciiTheme="minorBidi" w:cstheme="minorBidi" w:hAnsiTheme="minorBidi"/>
        </w:rPr>
      </w:pPr>
      <w:r>
        <w:rPr>
          <w:rFonts w:cs="" w:asciiTheme="minorBidi" w:cstheme="minorBidi" w:hAnsiTheme="minorBidi"/>
        </w:rPr>
      </w:r>
    </w:p>
    <w:p>
      <w:pPr>
        <w:pStyle w:val="Normal"/>
        <w:rPr>
          <w:rFonts w:cs="" w:asciiTheme="minorBidi" w:cstheme="minorBidi" w:hAnsiTheme="minorBidi"/>
        </w:rPr>
      </w:pPr>
      <w:r>
        <w:rPr>
          <w:rFonts w:cs="" w:asciiTheme="minorBidi" w:cstheme="minorBidi" w:hAnsiTheme="minorBidi"/>
        </w:rPr>
      </w:r>
    </w:p>
    <w:p>
      <w:pPr>
        <w:pStyle w:val="Normal"/>
        <w:rPr>
          <w:rFonts w:cs="" w:asciiTheme="minorBidi" w:cstheme="minorBidi" w:hAnsiTheme="minorBidi"/>
        </w:rPr>
      </w:pPr>
      <w:r>
        <w:rPr>
          <w:rFonts w:cs="" w:asciiTheme="minorBidi" w:cstheme="minorBidi" w:hAnsiTheme="minorBidi"/>
        </w:rPr>
      </w:r>
    </w:p>
    <w:p>
      <w:pPr>
        <w:pStyle w:val="Heading1"/>
        <w:rPr>
          <w:rFonts w:cs="" w:asciiTheme="minorBidi" w:cstheme="minorBidi" w:hAnsiTheme="minorBidi"/>
        </w:rPr>
      </w:pPr>
      <w:r>
        <w:rPr>
          <w:rFonts w:cs="" w:cstheme="minorBidi"/>
        </w:rPr>
        <w:t>1. Liability Disclaimer</w:t>
      </w:r>
    </w:p>
    <w:p>
      <w:pPr>
        <w:pStyle w:val="Normal"/>
        <w:spacing w:before="0" w:after="120"/>
        <w:rPr>
          <w:rFonts w:cs="" w:asciiTheme="minorBidi" w:cstheme="minorBidi" w:hAnsiTheme="minorBidi"/>
        </w:rPr>
      </w:pPr>
      <w:r>
        <w:rPr>
          <w:rFonts w:cs="" w:cstheme="minorBidi"/>
        </w:rPr>
        <w:t>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pPr>
        <w:pStyle w:val="Normal"/>
        <w:rPr>
          <w:rFonts w:cs="" w:asciiTheme="minorBidi" w:cstheme="minorBidi" w:hAnsiTheme="minorBidi"/>
        </w:rPr>
      </w:pPr>
      <w:r>
        <w:rPr>
          <w:rFonts w:cs="" w:asciiTheme="minorBidi" w:cstheme="minorBidi" w:hAnsiTheme="minorBidi"/>
        </w:rPr>
      </w:r>
      <w:r>
        <w:br w:type="page"/>
      </w:r>
    </w:p>
    <w:p>
      <w:pPr>
        <w:pStyle w:val="Heading1"/>
        <w:spacing w:before="0" w:after="120"/>
        <w:rPr>
          <w:rFonts w:cs="" w:asciiTheme="minorBidi" w:cstheme="minorBidi" w:hAnsiTheme="minorBidi"/>
        </w:rPr>
      </w:pPr>
      <w:r>
        <w:rPr>
          <w:rFonts w:cs="" w:cstheme="minorBidi"/>
        </w:rPr>
        <w:t>2. Introduction</w:t>
      </w:r>
    </w:p>
    <w:p>
      <w:pPr>
        <w:pStyle w:val="Normal"/>
        <w:rPr>
          <w:rFonts w:cs="" w:asciiTheme="minorBidi" w:cstheme="minorBidi" w:hAnsiTheme="minorBidi"/>
        </w:rPr>
      </w:pPr>
      <w:r>
        <w:rPr/>
        <w:t>This final Week 2 report consolidates the five completed project modules: multiple Kali Linux footprinting tools (W2-PM1), Google Hacking Database reconnaissance (W2-PM2), Maltego footprinting (W2-PM3), theHarvester reconnaissance against microsoft.com (W2-PM4), and Zenmap network discovery on my local LAN (W2-PM5).</w:t>
      </w:r>
    </w:p>
    <w:p>
      <w:pPr>
        <w:pStyle w:val="Normal"/>
        <w:rPr>
          <w:rFonts w:cs="" w:asciiTheme="minorBidi" w:cstheme="minorBidi" w:hAnsiTheme="minorBidi"/>
        </w:rPr>
      </w:pPr>
      <w:r>
        <w:rPr/>
        <w:t>The activities demonstrate a progression from passive information gathering to network discovery. Work against networkwalks.com was performed with the required permission, Microsoft.com information was gathered from public sources as specified by the practical, and Zenmap scanning was performed against my own local network. Screenshots have been added in the evidence section of this report.</w:t>
      </w:r>
    </w:p>
    <w:p>
      <w:pPr>
        <w:pStyle w:val="Normal"/>
        <w:spacing w:before="0" w:after="120"/>
        <w:rPr>
          <w:rFonts w:cs="" w:asciiTheme="minorBidi" w:cstheme="minorBidi" w:hAnsiTheme="minorBidi"/>
        </w:rPr>
      </w:pPr>
      <w:r>
        <w:rPr>
          <w:rFonts w:cs="" w:asciiTheme="minorBidi" w:cstheme="minorBidi" w:hAnsiTheme="minorBidi"/>
        </w:rPr>
      </w:r>
    </w:p>
    <w:p>
      <w:pPr>
        <w:pStyle w:val="Normal"/>
        <w:spacing w:before="0" w:after="120"/>
        <w:rPr>
          <w:rFonts w:cs="" w:asciiTheme="minorBidi" w:cstheme="minorBidi" w:hAnsiTheme="minorBidi"/>
        </w:rPr>
      </w:pPr>
      <w:r>
        <w:rPr>
          <w:rFonts w:cs="" w:asciiTheme="minorBidi" w:cstheme="minorBidi" w:hAnsiTheme="minorBidi"/>
        </w:rPr>
      </w:r>
    </w:p>
    <w:p>
      <w:pPr>
        <w:pStyle w:val="Heading1"/>
        <w:rPr>
          <w:rFonts w:cs="" w:asciiTheme="minorBidi" w:cstheme="minorBidi" w:hAnsiTheme="minorBidi"/>
        </w:rPr>
      </w:pPr>
      <w:r>
        <w:rPr>
          <w:rFonts w:cs="" w:cstheme="minorBidi"/>
        </w:rPr>
        <w:t>3. Tools Used</w:t>
      </w:r>
    </w:p>
    <w:p>
      <w:pPr>
        <w:pStyle w:val="Normal"/>
        <w:spacing w:before="0" w:after="120"/>
        <w:rPr>
          <w:rFonts w:cs="" w:asciiTheme="minorBidi" w:cstheme="minorBidi" w:hAnsiTheme="minorBidi"/>
        </w:rPr>
      </w:pPr>
      <w:r>
        <w:rPr>
          <w:rFonts w:cs="" w:cstheme="minorBidi"/>
        </w:rPr>
        <w:t>The table below lists each tool used in this report and its purpose.</w:t>
      </w:r>
    </w:p>
    <w:tbl>
      <w:tblPr>
        <w:tblW w:w="5000" w:type="pct"/>
        <w:jc w:val="start"/>
        <w:tblInd w:w="0" w:type="dxa"/>
        <w:tblLayout w:type="fixed"/>
        <w:tblCellMar>
          <w:top w:w="60" w:type="dxa"/>
          <w:start w:w="120" w:type="dxa"/>
          <w:bottom w:w="60" w:type="dxa"/>
          <w:end w:w="120" w:type="dxa"/>
        </w:tblCellMar>
        <w:tblLook w:firstRow="0" w:noVBand="0" w:lastRow="0" w:firstColumn="0" w:lastColumn="0" w:noHBand="0" w:val="0000"/>
      </w:tblPr>
      <w:tblGrid>
        <w:gridCol w:w="2912"/>
        <w:gridCol w:w="7168"/>
      </w:tblGrid>
      <w:tr>
        <w:trPr/>
        <w:tc>
          <w:tcPr>
            <w:tcW w:w="2912" w:type="dxa"/>
            <w:tcBorders>
              <w:top w:val="single" w:sz="4" w:space="0" w:color="000000"/>
              <w:start w:val="single" w:sz="4" w:space="0" w:color="000000"/>
              <w:bottom w:val="single" w:sz="4" w:space="0" w:color="000000"/>
              <w:end w:val="single" w:sz="4" w:space="0" w:color="000000"/>
            </w:tcBorders>
            <w:shd w:color="auto" w:fill="C00000" w:val="clear"/>
          </w:tcPr>
          <w:p>
            <w:pPr>
              <w:pStyle w:val="Normal"/>
              <w:rPr>
                <w:rFonts w:cs="" w:asciiTheme="minorBidi" w:cstheme="minorBidi" w:hAnsiTheme="minorBidi"/>
              </w:rPr>
            </w:pPr>
            <w:r>
              <w:rPr>
                <w:rFonts w:cs="" w:cstheme="minorBidi"/>
                <w:b/>
                <w:bCs/>
                <w:color w:val="FFFFFF"/>
              </w:rPr>
              <w:t>Tool</w:t>
            </w:r>
          </w:p>
        </w:tc>
        <w:tc>
          <w:tcPr>
            <w:tcW w:w="7168" w:type="dxa"/>
            <w:tcBorders>
              <w:top w:val="single" w:sz="4" w:space="0" w:color="000000"/>
              <w:start w:val="single" w:sz="4" w:space="0" w:color="000000"/>
              <w:bottom w:val="single" w:sz="4" w:space="0" w:color="000000"/>
              <w:end w:val="single" w:sz="4" w:space="0" w:color="000000"/>
            </w:tcBorders>
            <w:shd w:color="auto" w:fill="C00000" w:val="clear"/>
          </w:tcPr>
          <w:p>
            <w:pPr>
              <w:pStyle w:val="Normal"/>
              <w:rPr>
                <w:rFonts w:cs="" w:asciiTheme="minorBidi" w:cstheme="minorBidi" w:hAnsiTheme="minorBidi"/>
              </w:rPr>
            </w:pPr>
            <w:r>
              <w:rPr>
                <w:rFonts w:cs="" w:cstheme="minorBidi"/>
                <w:b/>
                <w:bCs/>
                <w:color w:val="FFFFFF"/>
              </w:rPr>
              <w:t>Purpose</w:t>
            </w:r>
          </w:p>
        </w:tc>
      </w:tr>
      <w:tr>
        <w:trPr/>
        <w:tc>
          <w:tcPr>
            <w:tcW w:w="2912"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rPr>
            </w:pPr>
            <w:r>
              <w:rPr>
                <w:rFonts w:cs="" w:cstheme="minorBidi"/>
                <w:color w:val="000000"/>
              </w:rPr>
              <w:t>Kali Linux &amp; Windows</w:t>
            </w:r>
          </w:p>
        </w:tc>
        <w:tc>
          <w:tcPr>
            <w:tcW w:w="7168"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rPr>
            </w:pPr>
            <w:r>
              <w:rPr>
                <w:rFonts w:cs="" w:cstheme="minorBidi"/>
              </w:rPr>
              <w:t>Operating systems used for reconnaissance activities</w:t>
            </w:r>
          </w:p>
        </w:tc>
      </w:tr>
      <w:tr>
        <w:trPr/>
        <w:tc>
          <w:tcPr>
            <w:tcW w:w="2912"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color w:val="000000"/>
              </w:rPr>
            </w:pPr>
            <w:r>
              <w:rPr>
                <w:rFonts w:cs="" w:cstheme="minorBidi"/>
                <w:color w:val="000000"/>
              </w:rPr>
              <w:t>WHOIS</w:t>
            </w:r>
          </w:p>
        </w:tc>
        <w:tc>
          <w:tcPr>
            <w:tcW w:w="7168"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color w:val="000000"/>
              </w:rPr>
            </w:pPr>
            <w:r>
              <w:rPr>
                <w:rFonts w:cs="" w:cstheme="minorBidi"/>
                <w:color w:val="000000"/>
              </w:rPr>
              <w:t>Find domain registration details (owner, dates, name servers).</w:t>
            </w:r>
          </w:p>
        </w:tc>
      </w:tr>
      <w:tr>
        <w:trPr/>
        <w:tc>
          <w:tcPr>
            <w:tcW w:w="2912"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rPr>
            </w:pPr>
            <w:r>
              <w:rPr>
                <w:rFonts w:cs="" w:cstheme="minorBidi"/>
                <w:color w:val="000000"/>
              </w:rPr>
              <w:t>whatweb</w:t>
            </w:r>
          </w:p>
        </w:tc>
        <w:tc>
          <w:tcPr>
            <w:tcW w:w="7168"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rPr>
            </w:pPr>
            <w:r>
              <w:rPr>
                <w:rFonts w:cs="" w:cstheme="minorBidi"/>
                <w:color w:val="000000"/>
              </w:rPr>
              <w:t>Fingerprint web technologies (server, CMS, plugins, IP).</w:t>
            </w:r>
          </w:p>
        </w:tc>
      </w:tr>
      <w:tr>
        <w:trPr/>
        <w:tc>
          <w:tcPr>
            <w:tcW w:w="2912"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rPr>
            </w:pPr>
            <w:r>
              <w:rPr>
                <w:rFonts w:cs="" w:cstheme="minorBidi"/>
                <w:color w:val="000000"/>
              </w:rPr>
              <w:t>nslookup</w:t>
            </w:r>
          </w:p>
        </w:tc>
        <w:tc>
          <w:tcPr>
            <w:tcW w:w="7168"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rPr>
            </w:pPr>
            <w:r>
              <w:rPr>
                <w:rFonts w:cs="" w:cstheme="minorBidi"/>
                <w:color w:val="000000"/>
              </w:rPr>
              <w:t>Resolve the domain name to its IP address using DNS.</w:t>
            </w:r>
          </w:p>
        </w:tc>
      </w:tr>
      <w:tr>
        <w:trPr/>
        <w:tc>
          <w:tcPr>
            <w:tcW w:w="2912"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rPr>
            </w:pPr>
            <w:r>
              <w:rPr>
                <w:rFonts w:cs="" w:cstheme="minorBidi"/>
                <w:color w:val="000000"/>
              </w:rPr>
              <w:t>curl -I</w:t>
            </w:r>
          </w:p>
        </w:tc>
        <w:tc>
          <w:tcPr>
            <w:tcW w:w="7168"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rPr>
            </w:pPr>
            <w:r>
              <w:rPr>
                <w:rFonts w:cs="" w:cstheme="minorBidi"/>
                <w:color w:val="000000"/>
              </w:rPr>
              <w:t>Read the HTTP response headers of the website.</w:t>
            </w:r>
          </w:p>
        </w:tc>
      </w:tr>
      <w:tr>
        <w:trPr/>
        <w:tc>
          <w:tcPr>
            <w:tcW w:w="2912"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rPr>
            </w:pPr>
            <w:r>
              <w:rPr>
                <w:rFonts w:cs="" w:cstheme="minorBidi"/>
                <w:color w:val="000000"/>
              </w:rPr>
              <w:t>wafw00f</w:t>
            </w:r>
          </w:p>
        </w:tc>
        <w:tc>
          <w:tcPr>
            <w:tcW w:w="7168"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rPr>
            </w:pPr>
            <w:r>
              <w:rPr>
                <w:rFonts w:cs="" w:cstheme="minorBidi"/>
                <w:color w:val="000000"/>
              </w:rPr>
              <w:t>Detect whether a Web Application Firewall protects the site.</w:t>
            </w:r>
          </w:p>
        </w:tc>
      </w:tr>
      <w:tr>
        <w:trPr/>
        <w:tc>
          <w:tcPr>
            <w:tcW w:w="2912"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rPr>
            </w:pPr>
            <w:r>
              <w:rPr>
                <w:rFonts w:cs="" w:cstheme="minorBidi"/>
                <w:color w:val="000000"/>
              </w:rPr>
              <w:t>dnsrecon</w:t>
            </w:r>
          </w:p>
        </w:tc>
        <w:tc>
          <w:tcPr>
            <w:tcW w:w="7168"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rPr>
            </w:pPr>
            <w:r>
              <w:rPr>
                <w:rFonts w:cs="" w:cstheme="minorBidi"/>
                <w:color w:val="000000"/>
              </w:rPr>
              <w:t>Enumerate all DNS records (NS, MX, SPF, TXT, SRV).</w:t>
            </w:r>
          </w:p>
        </w:tc>
      </w:tr>
      <w:tr>
        <w:trPr/>
        <w:tc>
          <w:tcPr>
            <w:tcW w:w="2912"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rPr>
            </w:pPr>
            <w:r>
              <w:rPr>
                <w:rFonts w:cs="" w:cstheme="minorBidi"/>
                <w:color w:val="000000"/>
              </w:rPr>
              <w:t>Zenmap (Nmap GUI)</w:t>
            </w:r>
          </w:p>
        </w:tc>
        <w:tc>
          <w:tcPr>
            <w:tcW w:w="7168"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rPr>
            </w:pPr>
            <w:r>
              <w:rPr>
                <w:rFonts w:cs="" w:cstheme="minorBidi"/>
                <w:color w:val="000000"/>
              </w:rPr>
              <w:t>Scan the local subnet to find live hosts, IPs and MAC addresses.</w:t>
            </w:r>
          </w:p>
        </w:tc>
      </w:tr>
      <w:tr>
        <w:trPr/>
        <w:tc>
          <w:tcPr>
            <w:tcW w:w="2912"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color w:val="000000"/>
              </w:rPr>
            </w:pPr>
            <w:r>
              <w:rPr>
                <w:rFonts w:cs="" w:cstheme="minorBidi"/>
              </w:rPr>
              <w:t>Windows CMD</w:t>
            </w:r>
          </w:p>
        </w:tc>
        <w:tc>
          <w:tcPr>
            <w:tcW w:w="7168" w:type="dxa"/>
            <w:tcBorders>
              <w:top w:val="single" w:sz="4" w:space="0" w:color="000000"/>
              <w:start w:val="single" w:sz="4" w:space="0" w:color="000000"/>
              <w:bottom w:val="single" w:sz="4" w:space="0" w:color="000000"/>
              <w:end w:val="single" w:sz="4" w:space="0" w:color="000000"/>
            </w:tcBorders>
          </w:tcPr>
          <w:p>
            <w:pPr>
              <w:pStyle w:val="Normal"/>
              <w:rPr>
                <w:rFonts w:cs="" w:asciiTheme="minorBidi" w:cstheme="minorBidi" w:hAnsiTheme="minorBidi"/>
                <w:color w:val="000000"/>
              </w:rPr>
            </w:pPr>
            <w:r>
              <w:rPr>
                <w:rFonts w:cs="" w:cstheme="minorBidi"/>
              </w:rPr>
              <w:t>Local IP and MAC address identification</w:t>
            </w:r>
          </w:p>
        </w:tc>
      </w:tr>
      <w:tr>
        <w:trPr/>
        <w:tc>
          <w:tcPr>
            <w:tcW w:w="2912" w:type="dxa"/>
            <w:tcBorders/>
          </w:tcPr>
          <w:p>
            <w:pPr>
              <w:pStyle w:val="Normal"/>
              <w:rPr/>
            </w:pPr>
            <w:r>
              <w:rPr/>
              <w:t>GHDB (Google Hacking Database)</w:t>
            </w:r>
          </w:p>
        </w:tc>
        <w:tc>
          <w:tcPr>
            <w:tcW w:w="7168" w:type="dxa"/>
            <w:tcBorders/>
          </w:tcPr>
          <w:p>
            <w:pPr>
              <w:pStyle w:val="Normal"/>
              <w:rPr/>
            </w:pPr>
            <w:r>
              <w:rPr/>
              <w:t>Use Google dorks to identify publicly indexed exposed devices and files.</w:t>
            </w:r>
          </w:p>
        </w:tc>
      </w:tr>
      <w:tr>
        <w:trPr/>
        <w:tc>
          <w:tcPr>
            <w:tcW w:w="2912" w:type="dxa"/>
            <w:tcBorders/>
          </w:tcPr>
          <w:p>
            <w:pPr>
              <w:pStyle w:val="Normal"/>
              <w:rPr/>
            </w:pPr>
            <w:r>
              <w:rPr/>
              <w:t>Maltego</w:t>
            </w:r>
          </w:p>
        </w:tc>
        <w:tc>
          <w:tcPr>
            <w:tcW w:w="7168" w:type="dxa"/>
            <w:tcBorders/>
          </w:tcPr>
          <w:p>
            <w:pPr>
              <w:pStyle w:val="Normal"/>
              <w:rPr/>
            </w:pPr>
            <w:r>
              <w:rPr/>
              <w:t>Map relationships around a domain and run email-related transforms.</w:t>
            </w:r>
          </w:p>
        </w:tc>
      </w:tr>
      <w:tr>
        <w:trPr/>
        <w:tc>
          <w:tcPr>
            <w:tcW w:w="2912" w:type="dxa"/>
            <w:tcBorders/>
          </w:tcPr>
          <w:p>
            <w:pPr>
              <w:pStyle w:val="Normal"/>
              <w:rPr/>
            </w:pPr>
            <w:r>
              <w:rPr/>
              <w:t>theHarvester</w:t>
            </w:r>
          </w:p>
        </w:tc>
        <w:tc>
          <w:tcPr>
            <w:tcW w:w="7168" w:type="dxa"/>
            <w:tcBorders/>
          </w:tcPr>
          <w:p>
            <w:pPr>
              <w:pStyle w:val="Normal"/>
              <w:rPr/>
            </w:pPr>
            <w:r>
              <w:rPr/>
              <w:t>Gather publicly available email addresses, sub-domains and hosts from multiple sources.</w:t>
            </w:r>
          </w:p>
        </w:tc>
      </w:tr>
    </w:tbl>
    <w:p>
      <w:pPr>
        <w:pStyle w:val="Heading1"/>
        <w:rPr>
          <w:rFonts w:cs="" w:asciiTheme="minorBidi" w:cstheme="minorBidi" w:hAnsiTheme="minorBidi"/>
        </w:rPr>
      </w:pPr>
      <w:r>
        <w:rPr>
          <w:rFonts w:cs="" w:asciiTheme="minorBidi" w:cstheme="minorBidi" w:hAnsiTheme="minorBidi"/>
        </w:rPr>
      </w:r>
    </w:p>
    <w:p>
      <w:pPr>
        <w:pStyle w:val="Heading1"/>
        <w:rPr>
          <w:rFonts w:cs="" w:asciiTheme="minorBidi" w:cstheme="minorBidi" w:hAnsiTheme="minorBidi"/>
        </w:rPr>
      </w:pPr>
      <w:r>
        <w:rPr>
          <w:rFonts w:cs="" w:cstheme="minorBidi"/>
        </w:rPr>
        <w:t>4. Activities Performed</w:t>
      </w:r>
    </w:p>
    <w:p>
      <w:pPr>
        <w:pStyle w:val="Heading2"/>
        <w:rPr>
          <w:color w:val="C9211E"/>
        </w:rPr>
      </w:pPr>
      <w:r>
        <w:rPr>
          <w:rFonts w:cs="" w:cstheme="minorBidi"/>
          <w:color w:val="C9211E"/>
        </w:rPr>
        <w:t>4.1 Footprinting &amp; Reconnaissance</w:t>
      </w:r>
    </w:p>
    <w:p>
      <w:pPr>
        <w:pStyle w:val="FirstParagraph"/>
        <w:rPr/>
      </w:pPr>
      <w:r>
        <w:rPr/>
        <w:t>I completed W2-PM1 by performing passive reconnaissance of networkwalks.com with six Kali Linux tools. WHOIS returned domain registration and name-server information; WhatWeb identified the web stack; Nslookup resolved the domain; Curl inspected HTTP response headers; Wafw00f identified the WAF; and DNSRecon enumerated DNS infrastructure.</w:t>
      </w:r>
    </w:p>
    <w:p>
      <w:pPr>
        <w:pStyle w:val="BodyText"/>
        <w:rPr/>
      </w:pPr>
      <w:r>
        <w:rPr/>
        <w:t>WHOIS identified GoDaddy as the registrar, a 2019 creation date, a 2027 expiry date, and HostGator name servers. The registrant information was privacy-protected. WhatWeb identified Apache, Bootstrap 7.1, jQuery 3.7.1, WordPress 7.1 and WordPress Download Manager 3.3.58, with the site resolving to 192.232.216.135.</w:t>
      </w:r>
    </w:p>
    <w:p>
      <w:pPr>
        <w:pStyle w:val="BodyText"/>
        <w:rPr/>
      </w:pPr>
      <w:r>
        <w:rPr/>
        <w:t>Curl returned HTTP/2 200 response headers and exposed the WordPress REST API reference /wp-json/. Wafw00f identified ModSecurity (SpiderLabs), while DNSRecon returned SOA, NS, MX, A, TXT and SRV records and reported unsigned DNSSEC.</w:t>
      </w:r>
    </w:p>
    <w:p>
      <w:pPr>
        <w:pStyle w:val="Heading2"/>
        <w:rPr>
          <w:color w:val="C9211E"/>
        </w:rPr>
      </w:pPr>
      <w:r>
        <w:rPr>
          <w:color w:val="C9211E"/>
        </w:rPr>
        <w:t>4.2 Footprinting &amp; Reconnaissance with GHDB</w:t>
      </w:r>
    </w:p>
    <w:p>
      <w:pPr>
        <w:pStyle w:val="FirstParagraph"/>
        <w:rPr/>
      </w:pPr>
      <w:r>
        <w:rPr/>
        <w:t>W2-PM2 used the Google Hacking Database (GHDB) and Google search operators to identify publicly indexed exposures. The practical required two searches: ten live exposed security-camera interfaces and ten listings containing downloadable mathematics PDF material.</w:t>
      </w:r>
    </w:p>
    <w:p>
      <w:pPr>
        <w:pStyle w:val="BodyText"/>
        <w:rPr/>
      </w:pPr>
      <w:r>
        <w:rPr/>
        <w:t>For Task 1, the completed worksheet recorded ten exposed camera endpoints and their associated Google dorks, with no usernames or passwords recorded. Because these were live third-party camera interfaces, the final report intentionally records the finding and methodology without reproducing the live access links.</w:t>
      </w:r>
    </w:p>
    <w:p>
      <w:pPr>
        <w:pStyle w:val="BodyText"/>
        <w:rPr/>
      </w:pPr>
      <w:r>
        <w:rPr/>
        <w:t>For Task 2, ten publicly indexed mathematics PDF directory listings were recorded. The exercise demonstrated how search-engine indexing can expose directory structures and documents without directly interacting with a target system.</w:t>
      </w:r>
    </w:p>
    <w:p>
      <w:pPr>
        <w:pStyle w:val="Heading2"/>
        <w:rPr>
          <w:color w:val="C9211E"/>
        </w:rPr>
      </w:pPr>
      <w:r>
        <w:rPr>
          <w:color w:val="C9211E"/>
        </w:rPr>
        <w:t>4.3 Footprinting with Maltego</w:t>
      </w:r>
    </w:p>
    <w:p>
      <w:pPr>
        <w:pStyle w:val="FirstParagraph"/>
        <w:rPr/>
      </w:pPr>
      <w:r>
        <w:rPr/>
        <w:t>W2-PM3 involved downloading and installing Maltego on Windows, completing the initial configuration and creating the free Maltego account. A Domain entity was then created for networkwalks.com and email-related transforms were run to identify email addresses associated with the organization.</w:t>
      </w:r>
    </w:p>
    <w:p>
      <w:pPr>
        <w:pStyle w:val="BodyText"/>
        <w:rPr/>
      </w:pPr>
      <w:r>
        <w:rPr/>
        <w:t>Evidence below confirmed that email-related entities were harvested from the domain. The result provides useful reconnaissance context because exposed organizational email addresses can contribute to later social-engineering and phishing risk assessments.</w:t>
      </w:r>
    </w:p>
    <w:p>
      <w:pPr>
        <w:pStyle w:val="Heading2"/>
        <w:rPr>
          <w:color w:val="C9211E"/>
        </w:rPr>
      </w:pPr>
      <w:r>
        <w:rPr>
          <w:color w:val="C9211E"/>
        </w:rPr>
        <w:t>4.4 Footprinting &amp; Reconnaissance with theHarvester</w:t>
      </w:r>
    </w:p>
    <w:p>
      <w:pPr>
        <w:pStyle w:val="FirstParagraph"/>
        <w:rPr/>
      </w:pPr>
      <w:r>
        <w:rPr/>
        <w:t xml:space="preserve">For W2-PM4, I used theHarvester 4.8.2 against microsoft.com. Task 1 used the command "theHarvester -d microsoft.com -l 1000 -b baidu". The run returned </w:t>
      </w:r>
      <w:r>
        <w:rPr/>
        <w:t>0</w:t>
      </w:r>
      <w:r>
        <w:rPr/>
        <w:t xml:space="preserve"> email</w:t>
      </w:r>
      <w:r>
        <w:rPr/>
        <w:t>s</w:t>
      </w:r>
      <w:r>
        <w:rPr/>
        <w:t xml:space="preserve"> address and </w:t>
      </w:r>
      <w:r>
        <w:rPr/>
        <w:t>7</w:t>
      </w:r>
      <w:r>
        <w:rPr/>
        <w:t xml:space="preserve"> hosts, with no IPs or people reported.</w:t>
      </w:r>
    </w:p>
    <w:p>
      <w:pPr>
        <w:pStyle w:val="BodyText"/>
        <w:rPr/>
      </w:pPr>
      <w:r>
        <w:rPr/>
        <w:t>Task 2 used "theHarvester -d microsoft.com -l 50 -b all". The run returned 7 email addresses, no IPs and no people, and reported 1,312 hosts. Several data sources could not be used because API keys were missing or source connections failed; the run also reported an API-endpoint wordlist error. These limitations were documented rather than treated as findings.</w:t>
      </w:r>
    </w:p>
    <w:p>
      <w:pPr>
        <w:pStyle w:val="BodyText"/>
        <w:rPr/>
      </w:pPr>
      <w:r>
        <w:rPr/>
        <w:t>The results demonstrate the scale of information that can be assembled from public sources. TheHarvester documentation also notes that results can change as external information sources change, so the output represents the state observed during this task.</w:t>
      </w:r>
    </w:p>
    <w:p>
      <w:pPr>
        <w:pStyle w:val="Heading2"/>
        <w:rPr>
          <w:color w:val="C9211E"/>
        </w:rPr>
      </w:pPr>
      <w:r>
        <w:rPr>
          <w:color w:val="C9211E"/>
        </w:rPr>
        <w:t>4.5 Network Scanning with Zenmap</w:t>
      </w:r>
    </w:p>
    <w:p>
      <w:pPr>
        <w:pStyle w:val="FirstParagraph"/>
        <w:rPr/>
      </w:pPr>
      <w:r>
        <w:rPr/>
        <w:t>W2-PM5, I used Zenmap, the Nmap graphical interface, to perform a Ping Scan of the local 10.0.0.0/24 subnet. The completed scan reported four live hosts.</w:t>
      </w:r>
    </w:p>
    <w:p>
      <w:pPr>
        <w:pStyle w:val="BodyText"/>
        <w:rPr/>
      </w:pPr>
      <w:r>
        <w:rPr/>
        <w:t>The observed live hosts were 10.0.0.1, 10.0.0.2, 10.0.0.9 and 10.0.0.10. The scan output recorded the MAC addresses 52:54:00:12:35:00 (QEMU virtual NIC), 08:00:27:A7:5B:C5 (Oracle VirtualBox virtual NIC), 08:00:27:FF:36:16 (Oracle VirtualBox virtual NIC), and 08-00-27-E7-F1-2D for the local machine. The scan covered 256 IP addresses and completed with four hosts up.</w:t>
      </w:r>
    </w:p>
    <w:p>
      <w:pPr>
        <w:pStyle w:val="BodyText"/>
        <w:rPr/>
      </w:pPr>
      <w:r>
        <w:rPr/>
        <w:t>The Zenmap Topology view was also used as required by the task, with the legend enabled and the topology saved as a PDF.</w:t>
      </w:r>
    </w:p>
    <w:p>
      <w:pPr>
        <w:pStyle w:val="Heading1"/>
        <w:spacing w:before="0" w:after="120"/>
        <w:rPr>
          <w:rFonts w:cs="" w:asciiTheme="minorBidi" w:cstheme="minorBidi" w:hAnsiTheme="minorBidi"/>
        </w:rPr>
      </w:pPr>
      <w:r>
        <w:rPr>
          <w:rFonts w:cs="" w:cstheme="minorBidi"/>
        </w:rPr>
        <w:t>5. Risk Analysis / Impact</w:t>
      </w:r>
    </w:p>
    <w:p>
      <w:pPr>
        <w:pStyle w:val="FirstParagraph"/>
        <w:rPr>
          <w:rFonts w:asciiTheme="minorBidi" w:hAnsiTheme="minorBidi"/>
        </w:rPr>
      </w:pPr>
      <w:r>
        <w:rPr/>
        <w:t>Based on the combined results from W2-PM1 through W2-PM5, the following are potential security risks and observations. They represent information exposure and discovery findings, not confirmed vulnerabilities.</w:t>
      </w:r>
    </w:p>
    <w:tbl>
      <w:tblPr>
        <w:tblStyle w:val="Table"/>
        <w:tblW w:w="5000" w:type="pct"/>
        <w:jc w:val="start"/>
        <w:tblInd w:w="0" w:type="dxa"/>
        <w:tblLayout w:type="fixed"/>
        <w:tblCellMar>
          <w:top w:w="0" w:type="dxa"/>
          <w:start w:w="108" w:type="dxa"/>
          <w:bottom w:w="0" w:type="dxa"/>
          <w:end w:w="108" w:type="dxa"/>
        </w:tblCellMar>
        <w:tblLook w:firstRow="1" w:noVBand="0" w:lastRow="0" w:firstColumn="0" w:lastColumn="0" w:noHBand="0" w:val="0020"/>
      </w:tblPr>
      <w:tblGrid>
        <w:gridCol w:w="545"/>
        <w:gridCol w:w="2146"/>
        <w:gridCol w:w="2412"/>
        <w:gridCol w:w="3403"/>
        <w:gridCol w:w="1574"/>
      </w:tblGrid>
      <w:tr>
        <w:trPr>
          <w:tblHeader w:val="true"/>
          <w:cnfStyle w:val="100000000000" w:firstRow="1" w:lastRow="0" w:firstColumn="0" w:lastColumn="0" w:oddVBand="0" w:evenVBand="0" w:oddHBand="0" w:evenHBand="0" w:firstRowFirstColumn="0" w:firstRowLastColumn="0" w:lastRowFirstColumn="0" w:lastRowLastColumn="0"/>
        </w:trPr>
        <w:tc>
          <w:tcPr>
            <w:tcW w:w="545" w:type="dxa"/>
            <w:tcBorders>
              <w:top w:val="single" w:sz="4" w:space="0" w:color="000000"/>
              <w:start w:val="single" w:sz="4" w:space="0" w:color="000000"/>
              <w:bottom w:val="single" w:sz="4" w:space="0" w:color="000000"/>
              <w:end w:val="single" w:sz="4" w:space="0" w:color="000000"/>
            </w:tcBorders>
            <w:shd w:color="auto" w:fill="F2F2F2" w:themeFill="background1" w:themeFillShade="f2" w:val="clear"/>
            <w:vAlign w:val="center"/>
          </w:tcPr>
          <w:p>
            <w:pPr>
              <w:pStyle w:val="Compact"/>
              <w:widowControl/>
              <w:suppressAutoHyphens w:val="true"/>
              <w:spacing w:before="36" w:after="36"/>
              <w:jc w:val="center"/>
              <w:rPr>
                <w:rFonts w:asciiTheme="minorBidi" w:hAnsiTheme="minorBidi"/>
                <w:b/>
                <w:bCs/>
                <w:sz w:val="20"/>
                <w:szCs w:val="20"/>
              </w:rPr>
            </w:pPr>
            <w:r>
              <w:rPr>
                <w:rFonts w:eastAsia=""/>
                <w:b/>
                <w:bCs/>
                <w:kern w:val="0"/>
                <w:sz w:val="20"/>
                <w:szCs w:val="20"/>
                <w:lang w:bidi="ar-SA"/>
              </w:rPr>
              <w:t>#</w:t>
            </w:r>
          </w:p>
        </w:tc>
        <w:tc>
          <w:tcPr>
            <w:tcW w:w="2146" w:type="dxa"/>
            <w:tcBorders>
              <w:top w:val="single" w:sz="4" w:space="0" w:color="000000"/>
              <w:start w:val="single" w:sz="4" w:space="0" w:color="000000"/>
              <w:bottom w:val="single" w:sz="4" w:space="0" w:color="000000"/>
              <w:end w:val="single" w:sz="4" w:space="0" w:color="000000"/>
            </w:tcBorders>
            <w:shd w:color="auto" w:fill="F2F2F2" w:themeFill="background1" w:themeFillShade="f2" w:val="clear"/>
            <w:vAlign w:val="center"/>
          </w:tcPr>
          <w:p>
            <w:pPr>
              <w:pStyle w:val="Compact"/>
              <w:widowControl/>
              <w:suppressAutoHyphens w:val="true"/>
              <w:spacing w:before="36" w:after="36"/>
              <w:jc w:val="center"/>
              <w:rPr>
                <w:rFonts w:asciiTheme="minorBidi" w:hAnsiTheme="minorBidi"/>
                <w:b/>
                <w:bCs/>
                <w:sz w:val="20"/>
                <w:szCs w:val="20"/>
              </w:rPr>
            </w:pPr>
            <w:r>
              <w:rPr>
                <w:rFonts w:eastAsia=""/>
                <w:b/>
                <w:bCs/>
                <w:kern w:val="0"/>
                <w:sz w:val="20"/>
                <w:szCs w:val="20"/>
                <w:lang w:bidi="ar-SA"/>
              </w:rPr>
              <w:t>Risk / Finding</w:t>
            </w:r>
          </w:p>
        </w:tc>
        <w:tc>
          <w:tcPr>
            <w:tcW w:w="2412" w:type="dxa"/>
            <w:tcBorders>
              <w:top w:val="single" w:sz="4" w:space="0" w:color="000000"/>
              <w:start w:val="single" w:sz="4" w:space="0" w:color="000000"/>
              <w:bottom w:val="single" w:sz="4" w:space="0" w:color="000000"/>
              <w:end w:val="single" w:sz="4" w:space="0" w:color="000000"/>
            </w:tcBorders>
            <w:shd w:color="auto" w:fill="F2F2F2" w:themeFill="background1" w:themeFillShade="f2" w:val="clear"/>
            <w:vAlign w:val="center"/>
          </w:tcPr>
          <w:p>
            <w:pPr>
              <w:pStyle w:val="Compact"/>
              <w:widowControl/>
              <w:suppressAutoHyphens w:val="true"/>
              <w:spacing w:before="36" w:after="36"/>
              <w:jc w:val="center"/>
              <w:rPr>
                <w:rFonts w:asciiTheme="minorBidi" w:hAnsiTheme="minorBidi"/>
                <w:b/>
                <w:bCs/>
                <w:sz w:val="20"/>
                <w:szCs w:val="20"/>
              </w:rPr>
            </w:pPr>
            <w:r>
              <w:rPr>
                <w:rFonts w:eastAsia=""/>
                <w:b/>
                <w:bCs/>
                <w:kern w:val="0"/>
                <w:sz w:val="20"/>
                <w:szCs w:val="20"/>
                <w:lang w:bidi="ar-SA"/>
              </w:rPr>
              <w:t>Evidence / Observation</w:t>
            </w:r>
          </w:p>
        </w:tc>
        <w:tc>
          <w:tcPr>
            <w:tcW w:w="3403" w:type="dxa"/>
            <w:tcBorders>
              <w:top w:val="single" w:sz="4" w:space="0" w:color="000000"/>
              <w:start w:val="single" w:sz="4" w:space="0" w:color="000000"/>
              <w:bottom w:val="single" w:sz="4" w:space="0" w:color="000000"/>
              <w:end w:val="single" w:sz="4" w:space="0" w:color="000000"/>
            </w:tcBorders>
            <w:shd w:color="auto" w:fill="F2F2F2" w:themeFill="background1" w:themeFillShade="f2" w:val="clear"/>
            <w:vAlign w:val="center"/>
          </w:tcPr>
          <w:p>
            <w:pPr>
              <w:pStyle w:val="Compact"/>
              <w:widowControl/>
              <w:suppressAutoHyphens w:val="true"/>
              <w:spacing w:before="36" w:after="36"/>
              <w:jc w:val="center"/>
              <w:rPr>
                <w:rFonts w:asciiTheme="minorBidi" w:hAnsiTheme="minorBidi"/>
                <w:b/>
                <w:bCs/>
                <w:sz w:val="20"/>
                <w:szCs w:val="20"/>
              </w:rPr>
            </w:pPr>
            <w:r>
              <w:rPr>
                <w:rFonts w:eastAsia=""/>
                <w:b/>
                <w:bCs/>
                <w:kern w:val="0"/>
                <w:sz w:val="20"/>
                <w:szCs w:val="20"/>
                <w:lang w:bidi="ar-SA"/>
              </w:rPr>
              <w:t>Potential Impact</w:t>
            </w:r>
          </w:p>
        </w:tc>
        <w:tc>
          <w:tcPr>
            <w:tcW w:w="1574" w:type="dxa"/>
            <w:tcBorders>
              <w:top w:val="single" w:sz="4" w:space="0" w:color="000000"/>
              <w:start w:val="single" w:sz="4" w:space="0" w:color="000000"/>
              <w:bottom w:val="single" w:sz="4" w:space="0" w:color="000000"/>
              <w:end w:val="single" w:sz="4" w:space="0" w:color="000000"/>
            </w:tcBorders>
            <w:shd w:color="auto" w:fill="F2F2F2" w:themeFill="background1" w:themeFillShade="f2" w:val="clear"/>
            <w:vAlign w:val="center"/>
          </w:tcPr>
          <w:p>
            <w:pPr>
              <w:pStyle w:val="Compact"/>
              <w:widowControl/>
              <w:suppressAutoHyphens w:val="true"/>
              <w:spacing w:before="36" w:after="36"/>
              <w:jc w:val="center"/>
              <w:rPr>
                <w:rFonts w:asciiTheme="minorBidi" w:hAnsiTheme="minorBidi"/>
                <w:b/>
                <w:bCs/>
                <w:sz w:val="20"/>
                <w:szCs w:val="20"/>
              </w:rPr>
            </w:pPr>
            <w:r>
              <w:rPr>
                <w:rFonts w:eastAsia=""/>
                <w:b/>
                <w:bCs/>
                <w:kern w:val="0"/>
                <w:sz w:val="20"/>
                <w:szCs w:val="20"/>
                <w:lang w:bidi="ar-SA"/>
              </w:rPr>
              <w:t>Risk Level</w:t>
            </w:r>
          </w:p>
        </w:tc>
      </w:tr>
      <w:tr>
        <w:trPr/>
        <w:tc>
          <w:tcPr>
            <w:tcW w:w="545"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center"/>
              <w:rPr>
                <w:rFonts w:asciiTheme="minorBidi" w:hAnsiTheme="minorBidi"/>
                <w:sz w:val="20"/>
                <w:szCs w:val="20"/>
              </w:rPr>
            </w:pPr>
            <w:r>
              <w:rPr>
                <w:rFonts w:eastAsia=""/>
                <w:kern w:val="0"/>
                <w:sz w:val="20"/>
                <w:szCs w:val="20"/>
                <w:lang w:bidi="ar-SA"/>
              </w:rPr>
              <w:t>1</w:t>
            </w:r>
          </w:p>
        </w:tc>
        <w:tc>
          <w:tcPr>
            <w:tcW w:w="2146"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Web technology information exposed</w:t>
            </w:r>
          </w:p>
        </w:tc>
        <w:tc>
          <w:tcPr>
            <w:tcW w:w="2412"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WhatWeb identified WordPress and WP Download Manager</w:t>
            </w:r>
          </w:p>
        </w:tc>
        <w:tc>
          <w:tcPr>
            <w:tcW w:w="3403"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Attackers may use exposed technology/version information to identify software requiring further security review</w:t>
            </w:r>
          </w:p>
        </w:tc>
        <w:tc>
          <w:tcPr>
            <w:tcW w:w="1574"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center"/>
              <w:rPr>
                <w:rFonts w:asciiTheme="minorBidi" w:hAnsiTheme="minorBidi"/>
                <w:b/>
                <w:sz w:val="20"/>
                <w:szCs w:val="20"/>
              </w:rPr>
            </w:pPr>
            <w:r>
              <w:rPr>
                <w:rFonts w:eastAsia=""/>
                <w:b/>
                <w:color w:val="FFC000"/>
                <w:kern w:val="0"/>
                <w:sz w:val="36"/>
                <w:szCs w:val="36"/>
                <w:lang w:bidi="ar-SA"/>
              </w:rPr>
              <w:t>●</w:t>
            </w:r>
            <w:r>
              <w:rPr>
                <w:rFonts w:eastAsia=""/>
                <w:b/>
                <w:kern w:val="0"/>
                <w:sz w:val="20"/>
                <w:szCs w:val="20"/>
                <w:lang w:bidi="ar-SA"/>
              </w:rPr>
              <w:t xml:space="preserve"> </w:t>
            </w:r>
            <w:r>
              <w:rPr>
                <w:rFonts w:eastAsia=""/>
                <w:b/>
                <w:kern w:val="0"/>
                <w:sz w:val="20"/>
                <w:szCs w:val="20"/>
                <w:lang w:bidi="ar-SA"/>
              </w:rPr>
              <w:t>Medium</w:t>
            </w:r>
          </w:p>
        </w:tc>
      </w:tr>
      <w:tr>
        <w:trPr/>
        <w:tc>
          <w:tcPr>
            <w:tcW w:w="545"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center"/>
              <w:rPr>
                <w:rFonts w:asciiTheme="minorBidi" w:hAnsiTheme="minorBidi"/>
                <w:sz w:val="20"/>
                <w:szCs w:val="20"/>
              </w:rPr>
            </w:pPr>
            <w:r>
              <w:rPr>
                <w:rFonts w:eastAsia=""/>
                <w:kern w:val="0"/>
                <w:sz w:val="20"/>
                <w:szCs w:val="20"/>
                <w:lang w:bidi="ar-SA"/>
              </w:rPr>
              <w:t>2</w:t>
            </w:r>
          </w:p>
        </w:tc>
        <w:tc>
          <w:tcPr>
            <w:tcW w:w="2146"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Server IP address identifiable</w:t>
            </w:r>
          </w:p>
        </w:tc>
        <w:tc>
          <w:tcPr>
            <w:tcW w:w="2412"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 xml:space="preserve">Nslookup resolved the domain to </w:t>
            </w:r>
            <w:r>
              <w:rPr>
                <w:rStyle w:val="VerbatimChar"/>
                <w:rFonts w:eastAsia=""/>
                <w:kern w:val="0"/>
                <w:sz w:val="20"/>
                <w:szCs w:val="20"/>
                <w:lang w:bidi="ar-SA"/>
              </w:rPr>
              <w:t>192.232.216.135</w:t>
            </w:r>
          </w:p>
        </w:tc>
        <w:tc>
          <w:tcPr>
            <w:tcW w:w="3403"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Provides information about the network location of the web service</w:t>
            </w:r>
          </w:p>
        </w:tc>
        <w:tc>
          <w:tcPr>
            <w:tcW w:w="1574"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center"/>
              <w:rPr>
                <w:rFonts w:asciiTheme="minorBidi" w:hAnsiTheme="minorBidi"/>
                <w:b/>
                <w:sz w:val="20"/>
                <w:szCs w:val="20"/>
              </w:rPr>
            </w:pPr>
            <w:r>
              <w:rPr>
                <w:rFonts w:eastAsia=""/>
                <w:b/>
                <w:color w:val="FFFF00"/>
                <w:kern w:val="0"/>
                <w:sz w:val="36"/>
                <w:szCs w:val="36"/>
                <w:lang w:bidi="ar-SA"/>
              </w:rPr>
              <w:t>●</w:t>
            </w:r>
            <w:r>
              <w:rPr>
                <w:rFonts w:eastAsia=""/>
                <w:b/>
                <w:kern w:val="0"/>
                <w:sz w:val="20"/>
                <w:szCs w:val="20"/>
                <w:lang w:bidi="ar-SA"/>
              </w:rPr>
              <w:t xml:space="preserve"> </w:t>
            </w:r>
            <w:r>
              <w:rPr>
                <w:rFonts w:eastAsia=""/>
                <w:b/>
                <w:kern w:val="0"/>
                <w:sz w:val="20"/>
                <w:szCs w:val="20"/>
                <w:lang w:bidi="ar-SA"/>
              </w:rPr>
              <w:t>Low</w:t>
            </w:r>
          </w:p>
        </w:tc>
      </w:tr>
      <w:tr>
        <w:trPr/>
        <w:tc>
          <w:tcPr>
            <w:tcW w:w="545"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center"/>
              <w:rPr>
                <w:rFonts w:asciiTheme="minorBidi" w:hAnsiTheme="minorBidi"/>
                <w:sz w:val="20"/>
                <w:szCs w:val="20"/>
              </w:rPr>
            </w:pPr>
            <w:r>
              <w:rPr>
                <w:rFonts w:eastAsia=""/>
                <w:kern w:val="0"/>
                <w:sz w:val="20"/>
                <w:szCs w:val="20"/>
                <w:lang w:bidi="ar-SA"/>
              </w:rPr>
              <w:t>3</w:t>
            </w:r>
          </w:p>
        </w:tc>
        <w:tc>
          <w:tcPr>
            <w:tcW w:w="2146"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HTTP technical information exposed</w:t>
            </w:r>
          </w:p>
        </w:tc>
        <w:tc>
          <w:tcPr>
            <w:tcW w:w="2412"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 xml:space="preserve">Curl returned HTTP response headers and exposed </w:t>
            </w:r>
            <w:r>
              <w:rPr>
                <w:rStyle w:val="VerbatimChar"/>
                <w:rFonts w:eastAsia=""/>
                <w:kern w:val="0"/>
                <w:sz w:val="20"/>
                <w:szCs w:val="20"/>
                <w:lang w:bidi="ar-SA"/>
              </w:rPr>
              <w:t>/wp-json/</w:t>
            </w:r>
          </w:p>
        </w:tc>
        <w:tc>
          <w:tcPr>
            <w:tcW w:w="3403"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May assist technology fingerprinting and further enumeration</w:t>
            </w:r>
          </w:p>
        </w:tc>
        <w:tc>
          <w:tcPr>
            <w:tcW w:w="1574"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center"/>
              <w:rPr>
                <w:rFonts w:asciiTheme="minorBidi" w:hAnsiTheme="minorBidi"/>
                <w:b/>
                <w:sz w:val="20"/>
                <w:szCs w:val="20"/>
              </w:rPr>
            </w:pPr>
            <w:r>
              <w:rPr>
                <w:rFonts w:eastAsia=""/>
                <w:b/>
                <w:color w:val="FFFF00"/>
                <w:kern w:val="0"/>
                <w:sz w:val="36"/>
                <w:szCs w:val="36"/>
                <w:lang w:bidi="ar-SA"/>
              </w:rPr>
              <w:t>●</w:t>
            </w:r>
            <w:r>
              <w:rPr>
                <w:rFonts w:eastAsia=""/>
                <w:b/>
                <w:kern w:val="0"/>
                <w:sz w:val="20"/>
                <w:szCs w:val="20"/>
                <w:lang w:bidi="ar-SA"/>
              </w:rPr>
              <w:t xml:space="preserve"> </w:t>
            </w:r>
            <w:r>
              <w:rPr>
                <w:rFonts w:eastAsia=""/>
                <w:b/>
                <w:kern w:val="0"/>
                <w:sz w:val="20"/>
                <w:szCs w:val="20"/>
                <w:lang w:bidi="ar-SA"/>
              </w:rPr>
              <w:t>Low</w:t>
            </w:r>
          </w:p>
        </w:tc>
      </w:tr>
      <w:tr>
        <w:trPr/>
        <w:tc>
          <w:tcPr>
            <w:tcW w:w="545"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center"/>
              <w:rPr>
                <w:rFonts w:asciiTheme="minorBidi" w:hAnsiTheme="minorBidi"/>
                <w:sz w:val="20"/>
                <w:szCs w:val="20"/>
              </w:rPr>
            </w:pPr>
            <w:r>
              <w:rPr>
                <w:rFonts w:eastAsia=""/>
                <w:kern w:val="0"/>
                <w:sz w:val="20"/>
                <w:szCs w:val="20"/>
                <w:lang w:bidi="ar-SA"/>
              </w:rPr>
              <w:t>4</w:t>
            </w:r>
          </w:p>
        </w:tc>
        <w:tc>
          <w:tcPr>
            <w:tcW w:w="2146"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WAF technology identifiable</w:t>
            </w:r>
          </w:p>
        </w:tc>
        <w:tc>
          <w:tcPr>
            <w:tcW w:w="2412"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Wafw00f identified ModSecurity (SpiderLabs)</w:t>
            </w:r>
          </w:p>
        </w:tc>
        <w:tc>
          <w:tcPr>
            <w:tcW w:w="3403"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start"/>
              <w:rPr>
                <w:rFonts w:asciiTheme="minorBidi" w:hAnsiTheme="minorBidi"/>
                <w:sz w:val="20"/>
                <w:szCs w:val="20"/>
              </w:rPr>
            </w:pPr>
            <w:r>
              <w:rPr>
                <w:rFonts w:eastAsia=""/>
                <w:kern w:val="0"/>
                <w:sz w:val="20"/>
                <w:szCs w:val="20"/>
                <w:lang w:bidi="ar-SA"/>
              </w:rPr>
              <w:t>Reveals information about the web application’s security architecture</w:t>
            </w:r>
          </w:p>
        </w:tc>
        <w:tc>
          <w:tcPr>
            <w:tcW w:w="1574" w:type="dxa"/>
            <w:tcBorders>
              <w:top w:val="single" w:sz="4" w:space="0" w:color="000000"/>
              <w:start w:val="single" w:sz="4" w:space="0" w:color="000000"/>
              <w:bottom w:val="single" w:sz="4" w:space="0" w:color="000000"/>
              <w:end w:val="single" w:sz="4" w:space="0" w:color="000000"/>
            </w:tcBorders>
            <w:vAlign w:val="center"/>
          </w:tcPr>
          <w:p>
            <w:pPr>
              <w:pStyle w:val="Compact"/>
              <w:widowControl/>
              <w:suppressAutoHyphens w:val="true"/>
              <w:spacing w:before="36" w:after="36"/>
              <w:jc w:val="center"/>
              <w:rPr>
                <w:rFonts w:asciiTheme="minorBidi" w:hAnsiTheme="minorBidi"/>
                <w:b/>
                <w:sz w:val="20"/>
                <w:szCs w:val="20"/>
              </w:rPr>
            </w:pPr>
            <w:r>
              <w:rPr>
                <w:rFonts w:eastAsia=""/>
                <w:b/>
                <w:color w:val="FFFF00"/>
                <w:kern w:val="0"/>
                <w:sz w:val="36"/>
                <w:szCs w:val="36"/>
                <w:lang w:bidi="ar-SA"/>
              </w:rPr>
              <w:t>●</w:t>
            </w:r>
            <w:r>
              <w:rPr>
                <w:rFonts w:eastAsia=""/>
                <w:b/>
                <w:kern w:val="0"/>
                <w:sz w:val="20"/>
                <w:szCs w:val="20"/>
                <w:lang w:bidi="ar-SA"/>
              </w:rPr>
              <w:t xml:space="preserve"> </w:t>
            </w:r>
            <w:r>
              <w:rPr>
                <w:rFonts w:eastAsia=""/>
                <w:b/>
                <w:kern w:val="0"/>
                <w:sz w:val="20"/>
                <w:szCs w:val="20"/>
                <w:lang w:bidi="ar-SA"/>
              </w:rPr>
              <w:t>Low</w:t>
            </w:r>
          </w:p>
        </w:tc>
      </w:tr>
      <w:tr>
        <w:trPr/>
        <w:tc>
          <w:tcPr>
            <w:tcW w:w="54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rPr/>
            </w:pPr>
            <w:r>
              <w:rPr/>
              <w:t>5</w:t>
            </w:r>
          </w:p>
        </w:tc>
        <w:tc>
          <w:tcPr>
            <w:tcW w:w="2146"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rPr/>
            </w:pPr>
            <w:r>
              <w:rPr/>
              <w:t>DNS infrastructure information exposed</w:t>
            </w:r>
          </w:p>
        </w:tc>
        <w:tc>
          <w:tcPr>
            <w:tcW w:w="2412"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rPr/>
            </w:pPr>
            <w:r>
              <w:rPr/>
              <w:t>DNSRecon identified DNS, mail and service-related records</w:t>
            </w:r>
          </w:p>
        </w:tc>
        <w:tc>
          <w:tcPr>
            <w:tcW w:w="3403"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rPr/>
            </w:pPr>
            <w:r>
              <w:rPr/>
              <w:t>DNS information can help build a broader infrastructure profile</w:t>
            </w:r>
          </w:p>
        </w:tc>
        <w:tc>
          <w:tcPr>
            <w:tcW w:w="157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jc w:val="center"/>
              <w:rPr>
                <w:b/>
                <w:bCs/>
                <w:sz w:val="20"/>
                <w:szCs w:val="20"/>
              </w:rPr>
            </w:pPr>
            <w:r>
              <w:rPr>
                <w:b/>
                <w:bCs/>
                <w:color w:val="FFBF00"/>
                <w:sz w:val="36"/>
                <w:szCs w:val="36"/>
              </w:rPr>
              <w:t>●</w:t>
            </w:r>
            <w:r>
              <w:rPr>
                <w:b/>
                <w:bCs/>
                <w:sz w:val="20"/>
                <w:szCs w:val="20"/>
              </w:rPr>
              <w:t xml:space="preserve"> </w:t>
            </w:r>
            <w:r>
              <w:rPr>
                <w:b/>
                <w:bCs/>
                <w:sz w:val="20"/>
                <w:szCs w:val="20"/>
              </w:rPr>
              <w:t>Medium</w:t>
            </w:r>
          </w:p>
        </w:tc>
      </w:tr>
      <w:tr>
        <w:trPr/>
        <w:tc>
          <w:tcPr>
            <w:tcW w:w="54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rPr/>
            </w:pPr>
            <w:r>
              <w:rPr/>
              <w:t>6</w:t>
            </w:r>
          </w:p>
        </w:tc>
        <w:tc>
          <w:tcPr>
            <w:tcW w:w="2146"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rPr/>
            </w:pPr>
            <w:r>
              <w:rPr/>
              <w:t>Multiple live hosts visible on local network</w:t>
            </w:r>
          </w:p>
        </w:tc>
        <w:tc>
          <w:tcPr>
            <w:tcW w:w="2412"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rPr/>
            </w:pPr>
            <w:r>
              <w:rPr/>
              <w:t>Zenmap identified four live hosts on 10.0.0.0/24</w:t>
            </w:r>
          </w:p>
        </w:tc>
        <w:tc>
          <w:tcPr>
            <w:tcW w:w="3403"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rPr/>
            </w:pPr>
            <w:r>
              <w:rPr/>
              <w:t>Unknown devices may increase the network attack surface</w:t>
            </w:r>
          </w:p>
        </w:tc>
        <w:tc>
          <w:tcPr>
            <w:tcW w:w="157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jc w:val="center"/>
              <w:rPr>
                <w:b/>
                <w:bCs/>
                <w:sz w:val="20"/>
                <w:szCs w:val="20"/>
              </w:rPr>
            </w:pPr>
            <w:r>
              <w:rPr>
                <w:b/>
                <w:bCs/>
                <w:color w:val="FFBF00"/>
                <w:sz w:val="36"/>
                <w:szCs w:val="36"/>
              </w:rPr>
              <w:t>●</w:t>
            </w:r>
            <w:r>
              <w:rPr>
                <w:b/>
                <w:bCs/>
                <w:sz w:val="20"/>
                <w:szCs w:val="20"/>
              </w:rPr>
              <w:t xml:space="preserve"> </w:t>
            </w:r>
            <w:r>
              <w:rPr>
                <w:b/>
                <w:bCs/>
                <w:sz w:val="20"/>
                <w:szCs w:val="20"/>
              </w:rPr>
              <w:t>Medium</w:t>
            </w:r>
          </w:p>
        </w:tc>
      </w:tr>
      <w:tr>
        <w:trPr/>
        <w:tc>
          <w:tcPr>
            <w:tcW w:w="54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rPr/>
            </w:pPr>
            <w:r>
              <w:rPr/>
              <w:t>7</w:t>
            </w:r>
          </w:p>
        </w:tc>
        <w:tc>
          <w:tcPr>
            <w:tcW w:w="2146"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rPr/>
            </w:pPr>
            <w:r>
              <w:rPr/>
              <w:t>Publicly indexed camera interfaces</w:t>
            </w:r>
          </w:p>
        </w:tc>
        <w:tc>
          <w:tcPr>
            <w:tcW w:w="2412"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rPr/>
            </w:pPr>
            <w:r>
              <w:rPr/>
              <w:t>GHDB identified 10 exposed camera endpoints</w:t>
            </w:r>
          </w:p>
        </w:tc>
        <w:tc>
          <w:tcPr>
            <w:tcW w:w="3403"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rPr/>
            </w:pPr>
            <w:r>
              <w:rPr/>
              <w:t>Potential privacy, access-control and security risk</w:t>
            </w:r>
          </w:p>
        </w:tc>
        <w:tc>
          <w:tcPr>
            <w:tcW w:w="157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jc w:val="center"/>
              <w:rPr>
                <w:b/>
                <w:bCs/>
                <w:sz w:val="20"/>
                <w:szCs w:val="20"/>
              </w:rPr>
            </w:pPr>
            <w:r>
              <w:rPr>
                <w:b/>
                <w:bCs/>
                <w:color w:val="FF4000"/>
                <w:sz w:val="36"/>
                <w:szCs w:val="36"/>
              </w:rPr>
              <w:t>●</w:t>
            </w:r>
            <w:r>
              <w:rPr>
                <w:b/>
                <w:bCs/>
                <w:sz w:val="20"/>
                <w:szCs w:val="20"/>
              </w:rPr>
              <w:t xml:space="preserve"> </w:t>
            </w:r>
            <w:r>
              <w:rPr>
                <w:b/>
                <w:bCs/>
                <w:sz w:val="20"/>
                <w:szCs w:val="20"/>
              </w:rPr>
              <w:t>High</w:t>
            </w:r>
          </w:p>
        </w:tc>
      </w:tr>
      <w:tr>
        <w:trPr/>
        <w:tc>
          <w:tcPr>
            <w:tcW w:w="54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rPr/>
            </w:pPr>
            <w:r>
              <w:rPr/>
              <w:t>8</w:t>
            </w:r>
          </w:p>
        </w:tc>
        <w:tc>
          <w:tcPr>
            <w:tcW w:w="2146"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rPr/>
            </w:pPr>
            <w:r>
              <w:rPr/>
              <w:t>Public directory/file exposure</w:t>
            </w:r>
          </w:p>
        </w:tc>
        <w:tc>
          <w:tcPr>
            <w:tcW w:w="2412"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rPr/>
            </w:pPr>
            <w:r>
              <w:rPr/>
              <w:t>GHDB identified 10 mathematics PDF directory listings</w:t>
            </w:r>
          </w:p>
        </w:tc>
        <w:tc>
          <w:tcPr>
            <w:tcW w:w="3403"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rPr/>
            </w:pPr>
            <w:r>
              <w:rPr/>
              <w:t>May reveal directory structure or files</w:t>
            </w:r>
          </w:p>
        </w:tc>
        <w:tc>
          <w:tcPr>
            <w:tcW w:w="157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jc w:val="center"/>
              <w:rPr>
                <w:b/>
                <w:bCs/>
                <w:sz w:val="20"/>
                <w:szCs w:val="20"/>
              </w:rPr>
            </w:pPr>
            <w:r>
              <w:rPr>
                <w:b/>
                <w:bCs/>
                <w:color w:val="FFFF00"/>
                <w:sz w:val="36"/>
                <w:szCs w:val="36"/>
              </w:rPr>
              <w:t>●</w:t>
            </w:r>
            <w:r>
              <w:rPr>
                <w:b/>
                <w:bCs/>
                <w:sz w:val="20"/>
                <w:szCs w:val="20"/>
              </w:rPr>
              <w:t xml:space="preserve"> </w:t>
            </w:r>
            <w:r>
              <w:rPr>
                <w:b/>
                <w:bCs/>
                <w:sz w:val="20"/>
                <w:szCs w:val="20"/>
              </w:rPr>
              <w:t>Low</w:t>
            </w:r>
          </w:p>
        </w:tc>
      </w:tr>
      <w:tr>
        <w:trPr/>
        <w:tc>
          <w:tcPr>
            <w:tcW w:w="54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rPr/>
            </w:pPr>
            <w:r>
              <w:rPr/>
              <w:t>9</w:t>
            </w:r>
          </w:p>
        </w:tc>
        <w:tc>
          <w:tcPr>
            <w:tcW w:w="2146"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rPr/>
            </w:pPr>
            <w:r>
              <w:rPr/>
              <w:t>Organizational email addresses exposed</w:t>
            </w:r>
          </w:p>
        </w:tc>
        <w:tc>
          <w:tcPr>
            <w:tcW w:w="2412"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rPr/>
            </w:pPr>
            <w:r>
              <w:rPr/>
              <w:t>Maltego returned email entities for networkwalks.com</w:t>
            </w:r>
          </w:p>
        </w:tc>
        <w:tc>
          <w:tcPr>
            <w:tcW w:w="3403"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rPr/>
            </w:pPr>
            <w:r>
              <w:rPr/>
              <w:t>May support phishing and social engineering</w:t>
            </w:r>
          </w:p>
        </w:tc>
        <w:tc>
          <w:tcPr>
            <w:tcW w:w="157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jc w:val="center"/>
              <w:rPr>
                <w:b/>
                <w:bCs/>
                <w:sz w:val="20"/>
                <w:szCs w:val="20"/>
              </w:rPr>
            </w:pPr>
            <w:r>
              <w:rPr>
                <w:b/>
                <w:bCs/>
                <w:color w:val="FFBF00"/>
                <w:sz w:val="36"/>
                <w:szCs w:val="36"/>
              </w:rPr>
              <w:t>●</w:t>
            </w:r>
            <w:r>
              <w:rPr>
                <w:b/>
                <w:bCs/>
                <w:sz w:val="20"/>
                <w:szCs w:val="20"/>
              </w:rPr>
              <w:t xml:space="preserve"> </w:t>
            </w:r>
            <w:r>
              <w:rPr>
                <w:b/>
                <w:bCs/>
                <w:sz w:val="20"/>
                <w:szCs w:val="20"/>
              </w:rPr>
              <w:t>Medium</w:t>
            </w:r>
          </w:p>
        </w:tc>
      </w:tr>
      <w:tr>
        <w:trPr/>
        <w:tc>
          <w:tcPr>
            <w:tcW w:w="54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rPr/>
            </w:pPr>
            <w:r>
              <w:rPr/>
              <w:t>10</w:t>
            </w:r>
          </w:p>
        </w:tc>
        <w:tc>
          <w:tcPr>
            <w:tcW w:w="2146"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rPr/>
            </w:pPr>
            <w:r>
              <w:rPr/>
              <w:t>Large public sub-domain/host footprint</w:t>
            </w:r>
          </w:p>
        </w:tc>
        <w:tc>
          <w:tcPr>
            <w:tcW w:w="2412"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rPr/>
            </w:pPr>
            <w:r>
              <w:rPr/>
              <w:t>theHarvester returned 1,312 hosts</w:t>
            </w:r>
          </w:p>
        </w:tc>
        <w:tc>
          <w:tcPr>
            <w:tcW w:w="3403"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rPr/>
            </w:pPr>
            <w:r>
              <w:rPr/>
              <w:t>Large public host footprint requires asset review</w:t>
            </w:r>
          </w:p>
        </w:tc>
        <w:tc>
          <w:tcPr>
            <w:tcW w:w="1574"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jc w:val="center"/>
              <w:rPr>
                <w:b/>
                <w:bCs/>
                <w:sz w:val="20"/>
                <w:szCs w:val="20"/>
              </w:rPr>
            </w:pPr>
            <w:r>
              <w:rPr>
                <w:b/>
                <w:bCs/>
                <w:color w:val="FFBF00"/>
                <w:sz w:val="36"/>
                <w:szCs w:val="36"/>
              </w:rPr>
              <w:t>●</w:t>
            </w:r>
            <w:r>
              <w:rPr>
                <w:b/>
                <w:bCs/>
                <w:sz w:val="20"/>
                <w:szCs w:val="20"/>
              </w:rPr>
              <w:t xml:space="preserve"> </w:t>
            </w:r>
            <w:r>
              <w:rPr>
                <w:b/>
                <w:bCs/>
                <w:sz w:val="20"/>
                <w:szCs w:val="20"/>
              </w:rPr>
              <w:t>Medium</w:t>
            </w:r>
          </w:p>
        </w:tc>
      </w:tr>
    </w:tbl>
    <w:p>
      <w:pPr>
        <w:pStyle w:val="Normal"/>
        <w:spacing w:before="80" w:after="160"/>
        <w:rPr>
          <w:rFonts w:cs="Arial"/>
          <w:b/>
          <w:sz w:val="18"/>
        </w:rPr>
      </w:pPr>
      <w:r>
        <w:rPr>
          <w:rFonts w:cs="Arial"/>
          <w:b/>
          <w:sz w:val="18"/>
        </w:rPr>
      </w:r>
    </w:p>
    <w:p>
      <w:pPr>
        <w:pStyle w:val="Normal"/>
        <w:spacing w:before="80" w:after="160"/>
        <w:rPr/>
      </w:pPr>
      <w:r>
        <w:rPr>
          <w:rFonts w:cs="Arial"/>
          <w:b/>
          <w:sz w:val="18"/>
        </w:rPr>
        <w:t xml:space="preserve">Risk level key:  </w:t>
      </w:r>
      <w:r>
        <w:rPr>
          <w:color w:val="C00000"/>
          <w:sz w:val="18"/>
        </w:rPr>
        <w:t xml:space="preserve">● Critical  </w:t>
      </w:r>
      <w:r>
        <w:rPr>
          <w:color w:val="C87E00"/>
          <w:sz w:val="18"/>
        </w:rPr>
        <w:t xml:space="preserve">● Medium  </w:t>
      </w:r>
      <w:r>
        <w:rPr>
          <w:color w:val="DBD600"/>
          <w:sz w:val="18"/>
        </w:rPr>
        <w:t>● Low</w:t>
      </w:r>
    </w:p>
    <w:p>
      <w:pPr>
        <w:pStyle w:val="FirstParagraph"/>
        <w:rPr>
          <w:rFonts w:asciiTheme="minorBidi" w:hAnsiTheme="minorBidi"/>
        </w:rPr>
      </w:pPr>
      <w:r>
        <w:rPr>
          <w:rFonts w:asciiTheme="minorBidi" w:hAnsiTheme="minorBidi"/>
        </w:rPr>
        <w:t>The risks above are observations from the footprinting and scanning exercises, not confirmed vulnerabilities.</w:t>
      </w:r>
    </w:p>
    <w:p>
      <w:pPr>
        <w:pStyle w:val="FirstParagraph"/>
        <w:rPr>
          <w:rFonts w:asciiTheme="minorBidi" w:hAnsiTheme="minorBidi"/>
        </w:rPr>
      </w:pPr>
      <w:r>
        <w:rPr>
          <w:rFonts w:asciiTheme="minorBidi" w:hAnsiTheme="minorBidi"/>
        </w:rPr>
        <w:t>The practical exercises primarily involved information gathering and host discovery. No exploitation or vulnerability validation was performed as part of these two modules.</w:t>
      </w:r>
    </w:p>
    <w:p>
      <w:pPr>
        <w:pStyle w:val="FirstParagraph"/>
        <w:rPr>
          <w:rFonts w:asciiTheme="minorBidi" w:hAnsiTheme="minorBidi"/>
        </w:rPr>
      </w:pPr>
      <w:r>
        <w:rPr>
          <w:rFonts w:asciiTheme="minorBidi" w:hAnsiTheme="minorBidi"/>
        </w:rPr>
        <w:t>Therefore, the presence of information such as a software version, IP address or DNS record does not by itself mean that the system is vulnerable. Further authorized security testing would be required to confirm any actual vulnerability.</w:t>
      </w:r>
    </w:p>
    <w:p>
      <w:pPr>
        <w:pStyle w:val="BodyText"/>
        <w:rPr/>
      </w:pPr>
      <w:r>
        <w:rPr/>
      </w:r>
    </w:p>
    <w:p>
      <w:pPr>
        <w:pStyle w:val="Heading1"/>
        <w:rPr>
          <w:rFonts w:cs="" w:asciiTheme="minorBidi" w:cstheme="minorBidi" w:hAnsiTheme="minorBidi"/>
        </w:rPr>
      </w:pPr>
      <w:r>
        <w:rPr>
          <w:rFonts w:cs="" w:cstheme="minorBidi"/>
        </w:rPr>
        <w:t>6. Recommendations</w:t>
      </w:r>
    </w:p>
    <w:p>
      <w:pPr>
        <w:pStyle w:val="Normal"/>
        <w:spacing w:lineRule="auto" w:line="259" w:before="0" w:after="120"/>
        <w:rPr>
          <w:rFonts w:eastAsia="Times New Roman" w:cs="" w:asciiTheme="minorBidi" w:cstheme="minorBidi" w:hAnsiTheme="minorBidi"/>
          <w:lang w:val="en-US" w:eastAsia="zh-CN"/>
        </w:rPr>
      </w:pPr>
      <w:r>
        <w:rPr>
          <w:rFonts w:eastAsia="Arial" w:cs="" w:cstheme="minorBidi"/>
          <w:lang w:val="en-US" w:eastAsia="zh-CN"/>
        </w:rPr>
        <w:t>Based on the observations from these activities, I recommend the following security improvements:</w:t>
      </w:r>
    </w:p>
    <w:p>
      <w:pPr>
        <w:pStyle w:val="Normal"/>
        <w:numPr>
          <w:ilvl w:val="0"/>
          <w:numId w:val="4"/>
        </w:numPr>
        <w:spacing w:lineRule="auto" w:line="259" w:before="0" w:after="120"/>
        <w:rPr>
          <w:rFonts w:eastAsia="Arial" w:cs="" w:asciiTheme="minorBidi" w:cstheme="minorBidi" w:hAnsiTheme="minorBidi"/>
        </w:rPr>
      </w:pPr>
      <w:r>
        <w:rPr>
          <w:rFonts w:eastAsia="Arial" w:cs="" w:cstheme="minorBidi"/>
          <w:b/>
          <w:bCs/>
        </w:rPr>
        <w:t>Review publicly exposed technology information</w:t>
      </w:r>
      <w:r>
        <w:rPr>
          <w:rFonts w:eastAsia="Arial" w:cs="" w:cstheme="minorBidi"/>
        </w:rPr>
        <w:br/>
      </w:r>
      <w:r>
        <w:rPr>
          <w:rFonts w:cs="" w:cstheme="minorBidi"/>
          <w:lang w:val="en-US" w:eastAsia="zh-CN"/>
        </w:rPr>
        <w:t>Organizations should regularly review what information about their web technologies, CMS and plugins is publicly visible.</w:t>
      </w:r>
    </w:p>
    <w:p>
      <w:pPr>
        <w:pStyle w:val="Normal"/>
        <w:numPr>
          <w:ilvl w:val="0"/>
          <w:numId w:val="2"/>
        </w:numPr>
        <w:spacing w:lineRule="auto" w:line="259" w:before="0" w:after="120"/>
        <w:rPr>
          <w:rFonts w:eastAsia="Arial" w:cs="" w:asciiTheme="minorBidi" w:cstheme="minorBidi" w:hAnsiTheme="minorBidi"/>
        </w:rPr>
      </w:pPr>
      <w:r>
        <w:rPr>
          <w:rFonts w:eastAsia="Arial" w:cs="" w:cstheme="minorBidi"/>
          <w:b/>
          <w:bCs/>
        </w:rPr>
        <w:t>Keep software updated</w:t>
      </w:r>
      <w:r>
        <w:rPr>
          <w:rFonts w:eastAsia="Arial" w:cs="" w:cstheme="minorBidi"/>
        </w:rPr>
        <w:br/>
        <w:t>CMS platforms, plugins and other web technologies should be regularly updated and reviewed against current security advisories.</w:t>
      </w:r>
    </w:p>
    <w:p>
      <w:pPr>
        <w:pStyle w:val="Normal"/>
        <w:numPr>
          <w:ilvl w:val="0"/>
          <w:numId w:val="2"/>
        </w:numPr>
        <w:spacing w:lineRule="auto" w:line="259" w:before="0" w:after="120"/>
        <w:rPr>
          <w:rFonts w:eastAsia="Arial" w:cs="" w:asciiTheme="minorBidi" w:cstheme="minorBidi" w:hAnsiTheme="minorBidi"/>
        </w:rPr>
      </w:pPr>
      <w:r>
        <w:rPr>
          <w:rFonts w:eastAsia="Arial" w:cs="" w:cstheme="minorBidi"/>
          <w:b/>
          <w:bCs/>
        </w:rPr>
        <w:t>Review HTTP headers</w:t>
      </w:r>
      <w:r>
        <w:rPr>
          <w:rFonts w:eastAsia="Arial" w:cs="" w:cstheme="minorBidi"/>
        </w:rPr>
        <w:br/>
        <w:t>HTTP response headers should be reviewed to determine whether unnecessary technical information is being exposed.</w:t>
      </w:r>
    </w:p>
    <w:p>
      <w:pPr>
        <w:pStyle w:val="Normal"/>
        <w:numPr>
          <w:ilvl w:val="0"/>
          <w:numId w:val="2"/>
        </w:numPr>
        <w:spacing w:lineRule="auto" w:line="259" w:before="0" w:after="120"/>
        <w:rPr>
          <w:rFonts w:eastAsia="Arial" w:cs="" w:asciiTheme="minorBidi" w:cstheme="minorBidi" w:hAnsiTheme="minorBidi"/>
        </w:rPr>
      </w:pPr>
      <w:r>
        <w:rPr>
          <w:rFonts w:eastAsia="Arial" w:cs="" w:cstheme="minorBidi"/>
          <w:b/>
          <w:bCs/>
        </w:rPr>
        <w:t>Review DNS records regularly</w:t>
      </w:r>
      <w:r>
        <w:rPr>
          <w:rFonts w:eastAsia="Arial" w:cs="" w:cstheme="minorBidi"/>
        </w:rPr>
        <w:br/>
        <w:t>DNS records should be checked periodically to ensure that only required information and services are publicly exposed.</w:t>
      </w:r>
    </w:p>
    <w:p>
      <w:pPr>
        <w:pStyle w:val="Normal"/>
        <w:numPr>
          <w:ilvl w:val="0"/>
          <w:numId w:val="2"/>
        </w:numPr>
        <w:spacing w:lineRule="auto" w:line="259" w:before="0" w:after="120"/>
        <w:rPr>
          <w:rFonts w:cs="" w:asciiTheme="minorBidi" w:cstheme="minorBidi" w:hAnsiTheme="minorBidi"/>
        </w:rPr>
      </w:pPr>
      <w:r>
        <w:rPr>
          <w:rFonts w:eastAsia="Arial" w:cs="" w:cstheme="minorBidi"/>
          <w:b/>
          <w:bCs/>
        </w:rPr>
        <w:t>Properly configure and monitor the WAF</w:t>
      </w:r>
      <w:r>
        <w:rPr>
          <w:rFonts w:eastAsia="Arial" w:cs="" w:cstheme="minorBidi"/>
        </w:rPr>
        <w:br/>
        <w:t>Keep the WAF (ModSecurity) enabled and tuned, since it already blocks naive attacks.</w:t>
      </w:r>
    </w:p>
    <w:p>
      <w:pPr>
        <w:pStyle w:val="Normal"/>
        <w:numPr>
          <w:ilvl w:val="0"/>
          <w:numId w:val="2"/>
        </w:numPr>
        <w:spacing w:lineRule="auto" w:line="259" w:before="0" w:after="120"/>
        <w:rPr>
          <w:rFonts w:eastAsia="Arial" w:cs="" w:asciiTheme="minorBidi" w:cstheme="minorBidi" w:hAnsiTheme="minorBidi"/>
        </w:rPr>
      </w:pPr>
      <w:r>
        <w:rPr>
          <w:rFonts w:eastAsia="Arial" w:cs="" w:cstheme="minorBidi"/>
          <w:b/>
          <w:bCs/>
        </w:rPr>
        <w:t>Perform regular internal network discovery</w:t>
      </w:r>
      <w:r>
        <w:rPr>
          <w:rFonts w:eastAsia="Arial" w:cs="" w:cstheme="minorBidi"/>
        </w:rPr>
        <w:br/>
        <w:t>Organizations should periodically scan their own networks to identify active devices.</w:t>
      </w:r>
    </w:p>
    <w:p>
      <w:pPr>
        <w:pStyle w:val="Normal"/>
        <w:numPr>
          <w:ilvl w:val="0"/>
          <w:numId w:val="2"/>
        </w:numPr>
        <w:spacing w:lineRule="auto" w:line="259" w:before="0" w:after="120"/>
        <w:rPr>
          <w:rFonts w:eastAsia="Arial" w:cs="" w:asciiTheme="minorBidi" w:cstheme="minorBidi" w:hAnsiTheme="minorBidi"/>
        </w:rPr>
      </w:pPr>
      <w:r>
        <w:rPr>
          <w:rFonts w:eastAsia="Arial" w:cs="" w:cstheme="minorBidi"/>
          <w:b/>
          <w:bCs/>
        </w:rPr>
        <w:t>Investigate unknown devices</w:t>
      </w:r>
      <w:r>
        <w:rPr>
          <w:rFonts w:eastAsia="Arial" w:cs="" w:cstheme="minorBidi"/>
        </w:rPr>
        <w:br/>
        <w:t>Any unexpected device discovered during network scanning should be investigated and verified.</w:t>
      </w:r>
    </w:p>
    <w:p>
      <w:pPr>
        <w:pStyle w:val="Normal"/>
        <w:numPr>
          <w:ilvl w:val="0"/>
          <w:numId w:val="2"/>
        </w:numPr>
        <w:spacing w:lineRule="auto" w:line="259" w:before="0" w:after="120"/>
        <w:rPr>
          <w:rFonts w:eastAsia="Arial" w:cs="" w:asciiTheme="minorBidi" w:cstheme="minorBidi" w:hAnsiTheme="minorBidi"/>
        </w:rPr>
      </w:pPr>
      <w:r>
        <w:rPr>
          <w:rFonts w:eastAsia="Arial" w:cs="" w:cstheme="minorBidi"/>
          <w:b/>
          <w:bCs/>
        </w:rPr>
        <w:t>Maintain network documentation</w:t>
      </w:r>
      <w:r>
        <w:rPr>
          <w:rFonts w:eastAsia="Arial" w:cs="" w:cstheme="minorBidi"/>
        </w:rPr>
        <w:br/>
        <w:t>Network topology and device information should be documented and updated regularly.</w:t>
      </w:r>
    </w:p>
    <w:p>
      <w:pPr>
        <w:pStyle w:val="Normal"/>
        <w:numPr>
          <w:ilvl w:val="0"/>
          <w:numId w:val="2"/>
        </w:numPr>
        <w:spacing w:lineRule="auto" w:line="259" w:before="0" w:after="120"/>
        <w:rPr>
          <w:rFonts w:eastAsia="Arial" w:cs="" w:asciiTheme="minorBidi" w:cstheme="minorBidi" w:hAnsiTheme="minorBidi"/>
        </w:rPr>
      </w:pPr>
      <w:r>
        <w:rPr>
          <w:rFonts w:eastAsia="Arial" w:cs="" w:cstheme="minorBidi"/>
          <w:b/>
          <w:bCs/>
        </w:rPr>
        <w:t>Perform security testing with authorization</w:t>
      </w:r>
      <w:r>
        <w:rPr>
          <w:rFonts w:eastAsia="Arial" w:cs="" w:cstheme="minorBidi"/>
        </w:rPr>
        <w:br/>
        <w:t>Reconnaissance and scanning should only be performed against systems and networks where appropriate authorization has been provided.</w:t>
      </w:r>
    </w:p>
    <w:p>
      <w:pPr>
        <w:pStyle w:val="Normal"/>
        <w:numPr>
          <w:ilvl w:val="0"/>
          <w:numId w:val="2"/>
        </w:numPr>
        <w:spacing w:lineRule="auto" w:line="259" w:before="0" w:after="120"/>
        <w:rPr>
          <w:rFonts w:eastAsia="Arial" w:cs="" w:asciiTheme="minorBidi" w:cstheme="minorBidi" w:hAnsiTheme="minorBidi"/>
        </w:rPr>
      </w:pPr>
      <w:r>
        <w:rPr>
          <w:b/>
        </w:rPr>
        <w:t>Review Google-indexed exposure</w:t>
      </w:r>
      <w:r>
        <w:rPr>
          <w:b w:val="false"/>
        </w:rPr>
        <w:br/>
        <w:t>Organizations should periodically search their own domains for exposed devices, directories and documents and remove or restrict information that should not be public.</w:t>
      </w:r>
    </w:p>
    <w:p>
      <w:pPr>
        <w:pStyle w:val="Normal"/>
        <w:numPr>
          <w:ilvl w:val="0"/>
          <w:numId w:val="2"/>
        </w:numPr>
        <w:spacing w:lineRule="auto" w:line="259" w:before="0" w:after="120"/>
        <w:rPr>
          <w:rFonts w:eastAsia="Arial" w:cs="" w:asciiTheme="minorBidi" w:cstheme="minorBidi" w:hAnsiTheme="minorBidi"/>
        </w:rPr>
      </w:pPr>
      <w:r>
        <w:rPr>
          <w:b/>
        </w:rPr>
        <w:t>Secure externally accessible surveillance devices</w:t>
      </w:r>
      <w:r>
        <w:rPr>
          <w:b w:val="false"/>
        </w:rPr>
        <w:br/>
        <w:t>Camera interfaces should require strong authentication, appropriate network restrictions and secure configuration rather than being directly exposed to the public internet.</w:t>
      </w:r>
    </w:p>
    <w:p>
      <w:pPr>
        <w:pStyle w:val="Normal"/>
        <w:numPr>
          <w:ilvl w:val="0"/>
          <w:numId w:val="2"/>
        </w:numPr>
        <w:spacing w:lineRule="auto" w:line="259" w:before="0" w:after="120"/>
        <w:rPr>
          <w:rFonts w:eastAsia="Arial" w:cs="" w:asciiTheme="minorBidi" w:cstheme="minorBidi" w:hAnsiTheme="minorBidi"/>
        </w:rPr>
      </w:pPr>
      <w:r>
        <w:rPr>
          <w:b/>
        </w:rPr>
        <w:t>Minimize public email exposure</w:t>
      </w:r>
      <w:r>
        <w:rPr>
          <w:b w:val="false"/>
        </w:rPr>
        <w:br/>
        <w:t>Public-facing contact addresses should be separated from sensitive operational accounts and protected with appropriate anti-phishing controls.</w:t>
      </w:r>
    </w:p>
    <w:p>
      <w:pPr>
        <w:pStyle w:val="Normal"/>
        <w:numPr>
          <w:ilvl w:val="0"/>
          <w:numId w:val="2"/>
        </w:numPr>
        <w:spacing w:lineRule="auto" w:line="259" w:before="0" w:after="120"/>
        <w:rPr>
          <w:rFonts w:eastAsia="Arial" w:cs="" w:asciiTheme="minorBidi" w:cstheme="minorBidi" w:hAnsiTheme="minorBidi"/>
        </w:rPr>
      </w:pPr>
      <w:r>
        <w:rPr>
          <w:b/>
        </w:rPr>
        <w:t>Maintain an accurate sub-domain inventory</w:t>
      </w:r>
      <w:r>
        <w:rPr>
          <w:b w:val="false"/>
        </w:rPr>
        <w:br/>
        <w:t>Large externally visible host lists should be reviewed so that unused, forgotten or unnecessary sub-domains can be removed or restricted.</w:t>
      </w:r>
    </w:p>
    <w:p>
      <w:pPr>
        <w:pStyle w:val="Normal"/>
        <w:rPr/>
      </w:pPr>
      <w:r>
        <w:rPr>
          <w:b/>
        </w:rPr>
        <w:t>Review Google-indexed exposure</w:t>
      </w:r>
      <w:r>
        <w:rPr>
          <w:b w:val="false"/>
        </w:rPr>
        <w:br/>
        <w:t>Organizations should periodically search their own domains for exposed devices, directories and documents and remove or restrict information that should not be public.</w:t>
      </w:r>
    </w:p>
    <w:p>
      <w:pPr>
        <w:pStyle w:val="Normal"/>
        <w:rPr/>
      </w:pPr>
      <w:r>
        <w:rPr>
          <w:b/>
        </w:rPr>
        <w:t>Secure externally accessible surveillance devices</w:t>
      </w:r>
      <w:r>
        <w:rPr>
          <w:b w:val="false"/>
        </w:rPr>
        <w:br/>
        <w:t>Camera interfaces should require strong authentication, appropriate network restrictions and secure configuration rather than being directly exposed to the public internet.</w:t>
      </w:r>
    </w:p>
    <w:p>
      <w:pPr>
        <w:pStyle w:val="Normal"/>
        <w:rPr/>
      </w:pPr>
      <w:r>
        <w:rPr>
          <w:b/>
        </w:rPr>
        <w:t>Minimize public email exposure</w:t>
      </w:r>
      <w:r>
        <w:rPr>
          <w:b w:val="false"/>
        </w:rPr>
        <w:br/>
        <w:t>Public-facing contact addresses should be separated from sensitive operational accounts and protected with appropriate anti-phishing controls.</w:t>
      </w:r>
    </w:p>
    <w:p>
      <w:pPr>
        <w:pStyle w:val="Normal"/>
        <w:rPr/>
      </w:pPr>
      <w:r>
        <w:rPr>
          <w:b/>
        </w:rPr>
        <w:t>Maintain an accurate sub-domain inventory</w:t>
      </w:r>
      <w:r>
        <w:rPr>
          <w:b w:val="false"/>
        </w:rPr>
        <w:br/>
        <w:t>Large externally visible host lists should be reviewed so that unused, forgotten or unnecessary sub-domains can be removed or restricted.</w:t>
      </w:r>
    </w:p>
    <w:p>
      <w:pPr>
        <w:pStyle w:val="Normal"/>
        <w:spacing w:before="0" w:after="60"/>
        <w:rPr>
          <w:rFonts w:cs="" w:asciiTheme="minorBidi" w:cstheme="minorBidi" w:hAnsiTheme="minorBidi"/>
        </w:rPr>
      </w:pPr>
      <w:r>
        <w:rPr>
          <w:rFonts w:cs="" w:asciiTheme="minorBidi" w:cstheme="minorBidi" w:hAnsiTheme="minorBidi"/>
        </w:rPr>
      </w:r>
    </w:p>
    <w:p>
      <w:pPr>
        <w:pStyle w:val="Heading1"/>
        <w:rPr>
          <w:rFonts w:cs="" w:asciiTheme="minorBidi" w:cstheme="minorBidi" w:hAnsiTheme="minorBidi"/>
        </w:rPr>
      </w:pPr>
      <w:r>
        <w:rPr>
          <w:rFonts w:cs="" w:cstheme="minorBidi"/>
        </w:rPr>
        <w:t>7. Conclusion</w:t>
      </w:r>
    </w:p>
    <w:p>
      <w:pPr>
        <w:pStyle w:val="Normal"/>
        <w:spacing w:before="0" w:after="120"/>
        <w:rPr>
          <w:rFonts w:cs="" w:asciiTheme="minorBidi" w:cstheme="minorBidi" w:hAnsiTheme="minorBidi"/>
        </w:rPr>
      </w:pPr>
      <w:r>
        <w:rPr/>
        <w:t>During Week 2 of my Cybersecurity &amp; Ethical Hacking internship, I completed five practical modules covering passive footprinting, Google-based reconnaissance, relationship mapping, public-source harvesting and local network discovery.</w:t>
      </w:r>
    </w:p>
    <w:p>
      <w:pPr>
        <w:pStyle w:val="Normal"/>
        <w:spacing w:before="0" w:after="120"/>
        <w:rPr>
          <w:rFonts w:cs="" w:asciiTheme="minorBidi" w:cstheme="minorBidi" w:hAnsiTheme="minorBidi"/>
        </w:rPr>
      </w:pPr>
      <w:r>
        <w:rPr/>
        <w:t>Across the modules, I used WHOIS, WhatWeb, Nslookup, Curl, Wafw00f, DNSRecon, GHDB, Maltego, theHarvester and Zenmap. These tools demonstrated how publicly available information can reveal domain registration details, technologies, DNS infrastructure, indexed exposures, organizational email information, public hosts and active local devices.</w:t>
      </w:r>
    </w:p>
    <w:p>
      <w:pPr>
        <w:pStyle w:val="Normal"/>
        <w:spacing w:before="0" w:after="120"/>
        <w:rPr>
          <w:rFonts w:cs="" w:asciiTheme="minorBidi" w:cstheme="minorBidi" w:hAnsiTheme="minorBidi"/>
        </w:rPr>
      </w:pPr>
      <w:r>
        <w:rPr/>
        <w:t>TheHarvester showed how results can vary by source and how missing API keys or source failures can affect collection. Zenmap then provided a practical view of local network discovery by identifying four live hosts and their MAC addresses on the scanned subnet.</w:t>
      </w:r>
    </w:p>
    <w:p>
      <w:pPr>
        <w:pStyle w:val="Normal"/>
        <w:spacing w:before="0" w:after="120"/>
        <w:rPr>
          <w:rFonts w:cs="" w:asciiTheme="minorBidi" w:cstheme="minorBidi" w:hAnsiTheme="minorBidi"/>
        </w:rPr>
      </w:pPr>
      <w:r>
        <w:rPr/>
        <w:t>The combined exercises showed that reconnaissance is a major part of cybersecurity assessment. Before exploitation is considered, a security professional can build an understanding of the visible attack surface and identify information that defenders may need to reduce or monitor.</w:t>
      </w:r>
    </w:p>
    <w:p>
      <w:pPr>
        <w:pStyle w:val="Normal"/>
        <w:spacing w:before="0" w:after="120"/>
        <w:rPr>
          <w:rFonts w:cs="" w:asciiTheme="minorBidi" w:cstheme="minorBidi" w:hAnsiTheme="minorBidi"/>
        </w:rPr>
      </w:pPr>
      <w:r>
        <w:rPr/>
        <w:t>I also learned that technical findings must be documented with their evidence, limitations and potential impact. Public exposure does not automatically mean a confirmed vulnerability; further authorized validation is required before assigning a confirmed vulnerability status.</w:t>
      </w:r>
    </w:p>
    <w:p>
      <w:pPr>
        <w:pStyle w:val="Normal"/>
        <w:spacing w:before="0" w:after="120"/>
        <w:rPr>
          <w:rFonts w:cs="" w:asciiTheme="minorBidi" w:cstheme="minorBidi" w:hAnsiTheme="minorBidi"/>
        </w:rPr>
      </w:pPr>
      <w:r>
        <w:rPr/>
        <w:t>Finally, all reconnaissance and scanning activities must remain within an authorized scope. The Networkwalks practicals were completed for educational purposes, with Networkwalks used under the stated permission, Microsoft.com information gathered from public sources as specified by the task, and Zenmap used on my own local network.</w:t>
      </w:r>
    </w:p>
    <w:p>
      <w:pPr>
        <w:pStyle w:val="Normal"/>
        <w:spacing w:before="0" w:after="120"/>
        <w:rPr>
          <w:rFonts w:cs="" w:asciiTheme="minorBidi" w:cstheme="minorBidi" w:hAnsiTheme="minorBidi"/>
        </w:rPr>
      </w:pPr>
      <w:r>
        <w:rPr>
          <w:rFonts w:cs="" w:asciiTheme="minorBidi" w:cstheme="minorBidi" w:hAnsiTheme="minorBidi"/>
        </w:rPr>
      </w:r>
    </w:p>
    <w:p>
      <w:pPr>
        <w:pStyle w:val="Heading1"/>
        <w:rPr>
          <w:rFonts w:cs="" w:asciiTheme="minorBidi" w:cstheme="minorBidi" w:hAnsiTheme="minorBidi"/>
        </w:rPr>
      </w:pPr>
      <w:r>
        <w:rPr>
          <w:rFonts w:cs="" w:cstheme="minorBidi"/>
        </w:rPr>
        <w:t>8. Evidences Collected</w:t>
      </w:r>
    </w:p>
    <w:p>
      <w:pPr>
        <w:pStyle w:val="Normal"/>
        <w:rPr/>
      </w:pPr>
      <w:r>
        <w:rPr/>
        <w:t>Figure 1 – W2-PM1: WHOIS and WhatWeb output.</w:t>
      </w:r>
    </w:p>
    <w:p>
      <w:pPr>
        <w:pStyle w:val="Normal"/>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400800" cy="340487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400800" cy="3404870"/>
                    </a:xfrm>
                    <a:prstGeom prst="rect">
                      <a:avLst/>
                    </a:prstGeom>
                    <a:noFill/>
                  </pic:spPr>
                </pic:pic>
              </a:graphicData>
            </a:graphic>
          </wp:anchor>
        </w:drawing>
      </w:r>
      <w:r>
        <w:rPr/>
        <w:tab/>
      </w:r>
    </w:p>
    <w:p>
      <w:pPr>
        <w:pStyle w:val="Normal"/>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400800" cy="340487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400800" cy="3404870"/>
                    </a:xfrm>
                    <a:prstGeom prst="rect">
                      <a:avLst/>
                    </a:prstGeom>
                    <a:noFill/>
                  </pic:spPr>
                </pic:pic>
              </a:graphicData>
            </a:graphic>
          </wp:anchor>
        </w:drawing>
      </w:r>
    </w:p>
    <w:p>
      <w:pPr>
        <w:pStyle w:val="Normal"/>
        <w:rPr/>
      </w:pPr>
      <w:r>
        <w:rPr/>
        <w:t>Figure 2 – W2-PM1: Nslookup, Curl and Wafw00f output.</w:t>
      </w:r>
    </w:p>
    <w:p>
      <w:pPr>
        <w:pStyle w:val="Normal"/>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400800" cy="340169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400800" cy="3401695"/>
                    </a:xfrm>
                    <a:prstGeom prst="rect">
                      <a:avLst/>
                    </a:prstGeom>
                    <a:noFill/>
                  </pic:spPr>
                </pic:pic>
              </a:graphicData>
            </a:graphic>
          </wp:anchor>
        </w:drawing>
      </w:r>
    </w:p>
    <w:p>
      <w:pPr>
        <w:pStyle w:val="Normal"/>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400800" cy="341185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400800" cy="3411855"/>
                    </a:xfrm>
                    <a:prstGeom prst="rect">
                      <a:avLst/>
                    </a:prstGeom>
                    <a:noFill/>
                  </pic:spPr>
                </pic:pic>
              </a:graphicData>
            </a:graphic>
          </wp:anchor>
        </w:drawing>
      </w:r>
    </w:p>
    <w:p>
      <w:pPr>
        <w:pStyle w:val="Normal"/>
        <w:rPr/>
      </w:pPr>
      <w:r>
        <w:rPr/>
        <w:t>Figure 3 – W2-PM1: DNSRecon output.</w:t>
      </w:r>
    </w:p>
    <w:p>
      <w:pPr>
        <w:pStyle w:val="Normal"/>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400800" cy="341185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400800" cy="3411855"/>
                    </a:xfrm>
                    <a:prstGeom prst="rect">
                      <a:avLst/>
                    </a:prstGeom>
                    <a:noFill/>
                  </pic:spPr>
                </pic:pic>
              </a:graphicData>
            </a:graphic>
          </wp:anchor>
        </w:drawing>
      </w:r>
    </w:p>
    <w:p>
      <w:pPr>
        <w:pStyle w:val="Normal"/>
        <w:rPr/>
      </w:pPr>
      <w:r>
        <w:rPr/>
      </w:r>
    </w:p>
    <w:p>
      <w:pPr>
        <w:pStyle w:val="Normal"/>
        <w:rPr/>
      </w:pPr>
      <w:r>
        <w:rPr/>
        <w:t>Figure 4 – W2-PM2: GHDB search and completed findings evidence.</w:t>
      </w:r>
    </w:p>
    <w:p>
      <w:pPr>
        <w:pStyle w:val="Normal"/>
        <w:rPr/>
      </w:pPr>
      <w:r>
        <w:rPr/>
      </w:r>
    </w:p>
    <w:p>
      <w:pPr>
        <w:pStyle w:val="Normal"/>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400800" cy="340487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400800" cy="3404870"/>
                    </a:xfrm>
                    <a:prstGeom prst="rect">
                      <a:avLst/>
                    </a:prstGeom>
                    <a:noFill/>
                  </pic:spPr>
                </pic:pic>
              </a:graphicData>
            </a:graphic>
          </wp:anchor>
        </w:drawing>
      </w:r>
    </w:p>
    <w:p>
      <w:pPr>
        <w:pStyle w:val="Normal"/>
        <w:rPr/>
      </w:pPr>
      <w:r>
        <w:rPr/>
      </w:r>
    </w:p>
    <w:p>
      <w:pPr>
        <w:pStyle w:val="Normal"/>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400800" cy="333756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400800" cy="3337560"/>
                    </a:xfrm>
                    <a:prstGeom prst="rect">
                      <a:avLst/>
                    </a:prstGeom>
                    <a:noFill/>
                  </pic:spPr>
                </pic:pic>
              </a:graphicData>
            </a:graphic>
          </wp:anchor>
        </w:drawing>
      </w:r>
    </w:p>
    <w:p>
      <w:pPr>
        <w:pStyle w:val="Normal"/>
        <w:rPr/>
      </w:pPr>
      <w:r>
        <w:rPr/>
        <w:t>Figure 5 – W2-PM3: Maltego domain entity and email transform results.</w:t>
      </w:r>
    </w:p>
    <w:p>
      <w:pPr>
        <w:pStyle w:val="Normal"/>
        <w:rPr/>
      </w:pPr>
      <w:r>
        <w:rPr/>
      </w:r>
    </w:p>
    <w:p>
      <w:pPr>
        <w:pStyle w:val="Normal"/>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400800" cy="341820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400800" cy="3418205"/>
                    </a:xfrm>
                    <a:prstGeom prst="rect">
                      <a:avLst/>
                    </a:prstGeom>
                    <a:noFill/>
                  </pic:spPr>
                </pic:pic>
              </a:graphicData>
            </a:graphic>
          </wp:anchor>
        </w:drawing>
      </w:r>
    </w:p>
    <w:p>
      <w:pPr>
        <w:pStyle w:val="Normal"/>
        <w:rPr/>
      </w:pPr>
      <w:r>
        <w:rPr/>
        <w:t>Figure 6 – W2-PM4: theHarvester Baidu results.</w:t>
      </w:r>
    </w:p>
    <w:p>
      <w:pPr>
        <w:pStyle w:val="Normal"/>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400800" cy="341185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6400800" cy="3411855"/>
                    </a:xfrm>
                    <a:prstGeom prst="rect">
                      <a:avLst/>
                    </a:prstGeom>
                    <a:noFill/>
                  </pic:spPr>
                </pic:pic>
              </a:graphicData>
            </a:graphic>
          </wp:anchor>
        </w:drawing>
      </w:r>
    </w:p>
    <w:p>
      <w:pPr>
        <w:pStyle w:val="Normal"/>
        <w:rPr/>
      </w:pPr>
      <w:r>
        <w:rPr/>
        <w:t>Figure 7 – W2-PM4: theHarvester all-source results and limitations.</w:t>
      </w:r>
    </w:p>
    <w:p>
      <w:pPr>
        <w:pStyle w:val="Normal"/>
        <w:rPr/>
      </w:pPr>
      <w:r>
        <w:rPr/>
      </w:r>
    </w:p>
    <w:p>
      <w:pPr>
        <w:pStyle w:val="Normal"/>
        <w:rPr/>
      </w:pPr>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400800" cy="341185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6400800" cy="3411855"/>
                    </a:xfrm>
                    <a:prstGeom prst="rect">
                      <a:avLst/>
                    </a:prstGeom>
                    <a:noFill/>
                  </pic:spPr>
                </pic:pic>
              </a:graphicData>
            </a:graphic>
          </wp:anchor>
        </w:drawing>
      </w:r>
      <w:r>
        <w:rPr/>
        <w:tab/>
      </w:r>
    </w:p>
    <w:p>
      <w:pPr>
        <w:pStyle w:val="Normal"/>
        <w:rPr/>
      </w:pPr>
      <w:r>
        <w:rPr/>
      </w:r>
    </w:p>
    <w:p>
      <w:pPr>
        <w:pStyle w:val="Normal"/>
        <w:rPr/>
      </w:pPr>
      <w:r>
        <w:rPr/>
        <w:t>Figure 8 – W2-PM5: Zenmap Ping Scan results showing the four live hosts.</w:t>
      </w:r>
    </w:p>
    <w:p>
      <w:pPr>
        <w:pStyle w:val="Normal"/>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400800" cy="344741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6400800" cy="3447415"/>
                    </a:xfrm>
                    <a:prstGeom prst="rect">
                      <a:avLst/>
                    </a:prstGeom>
                    <a:noFill/>
                  </pic:spPr>
                </pic:pic>
              </a:graphicData>
            </a:graphic>
          </wp:anchor>
        </w:drawing>
      </w:r>
    </w:p>
    <w:p>
      <w:pPr>
        <w:pStyle w:val="Normal"/>
        <w:rPr/>
      </w:pPr>
      <w:r>
        <w:rPr/>
        <w:t>Figure 9 – W2-PM5: Zenmap Topology view and saved PDF evidence.</w:t>
      </w:r>
    </w:p>
    <w:p>
      <w:pPr>
        <w:pStyle w:val="Normal"/>
        <w:rPr/>
      </w:pPr>
      <w:r>
        <w:rPr/>
      </w:r>
    </w:p>
    <w:p>
      <w:pPr>
        <w:pStyle w:val="Normal"/>
        <w:rPr/>
      </w:pPr>
      <w:r>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6400800" cy="341185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6400800" cy="3411855"/>
                    </a:xfrm>
                    <a:prstGeom prst="rect">
                      <a:avLst/>
                    </a:prstGeom>
                    <a:noFill/>
                  </pic:spPr>
                </pic:pic>
              </a:graphicData>
            </a:graphic>
          </wp:anchor>
        </w:drawing>
      </w:r>
    </w:p>
    <w:p>
      <w:pPr>
        <w:pStyle w:val="Normal"/>
        <w:spacing w:before="0" w:after="120"/>
        <w:rPr>
          <w:rFonts w:cs="" w:asciiTheme="minorBidi" w:cstheme="minorBidi" w:hAnsiTheme="minorBidi"/>
        </w:rPr>
      </w:pPr>
      <w:r>
        <w:rPr>
          <w:rFonts w:cs="" w:asciiTheme="minorBidi" w:cstheme="minorBidi" w:hAnsiTheme="minorBidi"/>
        </w:rPr>
      </w:r>
    </w:p>
    <w:p>
      <w:pPr>
        <w:pStyle w:val="Normal"/>
        <w:rPr>
          <w:rFonts w:cs="" w:asciiTheme="minorBidi" w:cstheme="minorBidi" w:hAnsiTheme="minorBidi"/>
        </w:rPr>
      </w:pPr>
      <w:r>
        <w:rPr>
          <w:rFonts w:cs="" w:asciiTheme="minorBidi" w:cstheme="minorBidi" w:hAnsiTheme="minorBidi"/>
        </w:rPr>
      </w:r>
    </w:p>
    <w:p>
      <w:pPr>
        <w:pStyle w:val="Normal"/>
        <w:rPr>
          <w:rFonts w:cs="" w:asciiTheme="minorBidi" w:cstheme="minorBidi" w:hAnsiTheme="minorBidi"/>
        </w:rPr>
      </w:pPr>
      <w:r>
        <w:rPr>
          <w:rFonts w:cs="" w:cstheme="minorBidi"/>
        </w:rPr>
        <w:t>-End-</w:t>
      </w:r>
    </w:p>
    <w:p>
      <w:pPr>
        <w:pStyle w:val="Normal"/>
        <w:rPr>
          <w:rFonts w:cs="" w:asciiTheme="minorBidi" w:cstheme="minorBidi" w:hAnsiTheme="minorBidi"/>
        </w:rPr>
      </w:pPr>
      <w:r>
        <w:rPr>
          <w:rFonts w:cs="" w:asciiTheme="minorBidi" w:cstheme="minorBidi" w:hAnsiTheme="minorBidi"/>
        </w:rPr>
      </w:r>
    </w:p>
    <w:p>
      <w:pPr>
        <w:pStyle w:val="Normal"/>
        <w:rPr>
          <w:rFonts w:cs="" w:asciiTheme="minorBidi" w:cstheme="minorBidi" w:hAnsiTheme="minorBidi"/>
        </w:rPr>
      </w:pPr>
      <w:r>
        <w:rPr>
          <w:rFonts w:cs="" w:asciiTheme="minorBidi" w:cstheme="minorBidi" w:hAnsiTheme="minorBidi"/>
        </w:rPr>
      </w:r>
    </w:p>
    <w:p>
      <w:pPr>
        <w:pStyle w:val="Normal"/>
        <w:rPr>
          <w:rFonts w:cs="" w:asciiTheme="minorBidi" w:cstheme="minorBidi" w:hAnsiTheme="minorBidi"/>
          <w:b/>
          <w:bCs/>
        </w:rPr>
      </w:pPr>
      <w:r>
        <w:rPr>
          <w:rFonts w:cs="Segoe UI Emoji" w:ascii="Segoe UI Emoji" w:hAnsi="Segoe UI Emoji"/>
          <w:b/>
          <w:bCs/>
        </w:rPr>
        <w:t>👤</w:t>
      </w:r>
      <w:r>
        <w:rPr>
          <w:rFonts w:cs="" w:cstheme="minorBidi"/>
          <w:b/>
          <w:bCs/>
        </w:rPr>
        <w:t xml:space="preserve"> </w:t>
      </w:r>
      <w:r>
        <w:rPr>
          <w:rFonts w:cs="" w:cstheme="minorBidi"/>
          <w:b/>
          <w:bCs/>
        </w:rPr>
        <w:t>Author</w:t>
      </w:r>
    </w:p>
    <w:p>
      <w:pPr>
        <w:pStyle w:val="Normal"/>
        <w:rPr>
          <w:rFonts w:cs="" w:asciiTheme="minorBidi" w:cstheme="minorBidi" w:hAnsiTheme="minorBidi"/>
        </w:rPr>
      </w:pPr>
      <w:r>
        <w:rPr/>
        <w:t>Patrick Alabi</w:t>
        <w:br/>
        <w:t>Cybersecurity Professional B083</w:t>
      </w:r>
    </w:p>
    <w:p>
      <w:pPr>
        <w:pStyle w:val="Normal"/>
        <w:rPr>
          <w:rFonts w:cs="" w:asciiTheme="minorBidi" w:cstheme="minorBidi" w:hAnsiTheme="minorBidi"/>
        </w:rPr>
      </w:pPr>
      <w:r>
        <w:rPr>
          <w:rFonts w:cs="" w:asciiTheme="minorBidi" w:cstheme="minorBidi" w:hAnsiTheme="minorBidi"/>
        </w:rPr>
      </w:r>
    </w:p>
    <w:p>
      <w:pPr>
        <w:pStyle w:val="Normal"/>
        <w:rPr>
          <w:rFonts w:cs="" w:asciiTheme="minorBidi" w:cstheme="minorBidi" w:hAnsiTheme="minorBidi"/>
          <w:b/>
          <w:bCs/>
        </w:rPr>
      </w:pPr>
      <w:r>
        <w:rPr>
          <w:rFonts w:cs="Segoe UI Emoji" w:ascii="Segoe UI Emoji" w:hAnsi="Segoe UI Emoji"/>
          <w:b/>
          <w:bCs/>
        </w:rPr>
        <w:t>📌</w:t>
      </w:r>
      <w:r>
        <w:rPr>
          <w:rFonts w:cs="" w:cstheme="minorBidi"/>
          <w:b/>
          <w:bCs/>
        </w:rPr>
        <w:t xml:space="preserve"> </w:t>
      </w:r>
      <w:r>
        <w:rPr>
          <w:rFonts w:cs="" w:cstheme="minorBidi"/>
          <w:b/>
          <w:bCs/>
        </w:rPr>
        <w:t>Project Information</w:t>
      </w:r>
    </w:p>
    <w:p>
      <w:pPr>
        <w:pStyle w:val="Normal"/>
        <w:rPr>
          <w:rFonts w:cs="" w:asciiTheme="minorBidi" w:cstheme="minorBidi" w:hAnsiTheme="minorBidi"/>
        </w:rPr>
      </w:pPr>
      <w:r>
        <w:rPr/>
        <w:t xml:space="preserve">Program Name: Cybersecurity </w:t>
      </w:r>
      <w:r>
        <w:rPr/>
        <w:t xml:space="preserve">Internship </w:t>
      </w:r>
      <w:r>
        <w:rPr/>
        <w:t>program at Networkwalks | Week: 02 | Report: W2-PM</w:t>
      </w:r>
      <w:r>
        <w:rPr/>
        <w:t>1-5</w:t>
      </w:r>
      <w:r>
        <w:rPr/>
        <w:t>-FINAL</w:t>
      </w:r>
    </w:p>
    <w:p>
      <w:pPr>
        <w:pStyle w:val="Normal"/>
        <w:rPr>
          <w:rFonts w:cs="" w:asciiTheme="minorBidi" w:cstheme="minorBidi" w:hAnsiTheme="minorBidi"/>
        </w:rPr>
      </w:pPr>
      <w:r>
        <w:rPr>
          <w:rFonts w:cs="" w:asciiTheme="minorBidi" w:cstheme="minorBidi" w:hAnsiTheme="minorBidi"/>
        </w:rPr>
      </w:r>
    </w:p>
    <w:sectPr>
      <w:footerReference w:type="even" r:id="rId14"/>
      <w:footerReference w:type="default" r:id="rId15"/>
      <w:footerReference w:type="first" r:id="rId16"/>
      <w:type w:val="nextPage"/>
      <w:pgSz w:w="12240" w:h="15840"/>
      <w:pgMar w:left="1080" w:right="1080" w:gutter="0" w:header="0"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nsolas">
    <w:charset w:val="00" w:characterSet="windows-1252"/>
    <w:family w:val="swiss"/>
    <w:pitch w:val="variable"/>
  </w:font>
  <w:font w:name="Liberation Sans">
    <w:altName w:val="Arial"/>
    <w:charset w:val="00" w:characterSet="windows-1252"/>
    <w:family w:val="swiss"/>
    <w:pitch w:val="variable"/>
  </w:font>
  <w:font w:name="Segoe UI Emoj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404040"/>
        <w:sz w:val="16"/>
        <w:szCs w:val="16"/>
      </w:rPr>
      <w:t xml:space="preserve">Pentesting Project Report  |  Networkwalks  |  Page </w:t>
    </w:r>
    <w:r>
      <w:rPr>
        <w:color w:val="404040"/>
        <w:sz w:val="16"/>
        <w:szCs w:val="16"/>
      </w:rPr>
      <w:fldChar w:fldCharType="begin"/>
    </w:r>
    <w:r>
      <w:rPr>
        <w:color w:val="404040"/>
        <w:sz w:val="16"/>
        <w:szCs w:val="16"/>
      </w:rPr>
      <w:instrText xml:space="preserve"> PAGE </w:instrText>
    </w:r>
    <w:r>
      <w:rPr>
        <w:color w:val="404040"/>
        <w:sz w:val="16"/>
        <w:szCs w:val="16"/>
      </w:rPr>
      <w:fldChar w:fldCharType="separate"/>
    </w:r>
    <w:r>
      <w:rPr>
        <w:color w:val="404040"/>
        <w:sz w:val="16"/>
        <w:szCs w:val="16"/>
      </w:rPr>
      <w:t>13</w:t>
    </w:r>
    <w:r>
      <w:rPr>
        <w:color w:val="404040"/>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404040"/>
        <w:sz w:val="16"/>
        <w:szCs w:val="16"/>
      </w:rPr>
      <w:t xml:space="preserve">Pentesting Project Report  |  Networkwalks  |  Page </w:t>
    </w:r>
    <w:r>
      <w:rPr>
        <w:color w:val="404040"/>
        <w:sz w:val="16"/>
        <w:szCs w:val="16"/>
      </w:rPr>
      <w:fldChar w:fldCharType="begin"/>
    </w:r>
    <w:r>
      <w:rPr>
        <w:color w:val="404040"/>
        <w:sz w:val="16"/>
        <w:szCs w:val="16"/>
      </w:rPr>
      <w:instrText xml:space="preserve"> PAGE </w:instrText>
    </w:r>
    <w:r>
      <w:rPr>
        <w:color w:val="404040"/>
        <w:sz w:val="16"/>
        <w:szCs w:val="16"/>
      </w:rPr>
      <w:fldChar w:fldCharType="separate"/>
    </w:r>
    <w:r>
      <w:rPr>
        <w:color w:val="404040"/>
        <w:sz w:val="16"/>
        <w:szCs w:val="16"/>
      </w:rPr>
      <w:t>13</w:t>
    </w:r>
    <w:r>
      <w:rPr>
        <w:color w:val="404040"/>
        <w:sz w:val="16"/>
        <w:szCs w:val="16"/>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ZA"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Calibri"/>
        <w:sz w:val="22"/>
        <w:szCs w:val="22"/>
        <w:lang w:val="en-ZA" w:eastAsia="en-ZA"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Arial" w:hAnsi="Arial" w:eastAsia="Calibri" w:cs="Calibri"/>
      <w:color w:val="auto"/>
      <w:kern w:val="0"/>
      <w:sz w:val="22"/>
      <w:szCs w:val="22"/>
      <w:lang w:val="en-ZA" w:eastAsia="en-ZA" w:bidi="ar-SA"/>
    </w:rPr>
  </w:style>
  <w:style w:type="paragraph" w:styleId="Heading1">
    <w:name w:val="heading 1"/>
    <w:uiPriority w:val="9"/>
    <w:qFormat/>
    <w:pPr>
      <w:keepNext w:val="true"/>
      <w:widowControl/>
      <w:suppressAutoHyphens w:val="true"/>
      <w:bidi w:val="0"/>
      <w:spacing w:before="240" w:after="120"/>
      <w:jc w:val="start"/>
      <w:outlineLvl w:val="0"/>
    </w:pPr>
    <w:rPr>
      <w:rFonts w:ascii="Arial" w:hAnsi="Arial" w:eastAsia="Calibri" w:cs="Arial"/>
      <w:b/>
      <w:bCs/>
      <w:color w:val="C00000"/>
      <w:kern w:val="0"/>
      <w:sz w:val="30"/>
      <w:szCs w:val="30"/>
      <w:lang w:val="en-ZA" w:eastAsia="en-ZA" w:bidi="ar-SA"/>
    </w:rPr>
  </w:style>
  <w:style w:type="paragraph" w:styleId="Heading2">
    <w:name w:val="heading 2"/>
    <w:uiPriority w:val="9"/>
    <w:unhideWhenUsed/>
    <w:qFormat/>
    <w:pPr>
      <w:keepNext w:val="true"/>
      <w:widowControl/>
      <w:suppressAutoHyphens w:val="true"/>
      <w:bidi w:val="0"/>
      <w:spacing w:before="180" w:after="80"/>
      <w:jc w:val="start"/>
      <w:outlineLvl w:val="1"/>
    </w:pPr>
    <w:rPr>
      <w:rFonts w:ascii="Arial" w:hAnsi="Arial" w:eastAsia="Calibri" w:cs="Arial"/>
      <w:b/>
      <w:bCs/>
      <w:color w:val="000000"/>
      <w:kern w:val="0"/>
      <w:sz w:val="26"/>
      <w:szCs w:val="26"/>
      <w:lang w:val="en-ZA" w:eastAsia="en-ZA" w:bidi="ar-SA"/>
    </w:rPr>
  </w:style>
  <w:style w:type="paragraph" w:styleId="Heading3">
    <w:name w:val="heading 3"/>
    <w:uiPriority w:val="9"/>
    <w:semiHidden/>
    <w:unhideWhenUsed/>
    <w:qFormat/>
    <w:pPr>
      <w:widowControl/>
      <w:suppressAutoHyphens w:val="true"/>
      <w:bidi w:val="0"/>
      <w:spacing w:before="0" w:after="0"/>
      <w:jc w:val="start"/>
      <w:outlineLvl w:val="2"/>
    </w:pPr>
    <w:rPr>
      <w:rFonts w:ascii="Arial" w:hAnsi="Arial" w:eastAsia="Calibri" w:cs="Calibri"/>
      <w:color w:val="1F4D78"/>
      <w:kern w:val="0"/>
      <w:sz w:val="24"/>
      <w:szCs w:val="24"/>
      <w:lang w:val="en-ZA" w:eastAsia="en-ZA"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Arial" w:hAnsi="Arial" w:eastAsia="Calibri" w:cs="Calibri"/>
      <w:i/>
      <w:iCs/>
      <w:color w:val="2E74B5"/>
      <w:kern w:val="0"/>
      <w:sz w:val="22"/>
      <w:szCs w:val="22"/>
      <w:lang w:val="en-ZA" w:eastAsia="en-ZA"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Arial" w:hAnsi="Arial" w:eastAsia="Calibri" w:cs="Calibri"/>
      <w:color w:val="2E74B5"/>
      <w:kern w:val="0"/>
      <w:sz w:val="22"/>
      <w:szCs w:val="22"/>
      <w:lang w:val="en-ZA" w:eastAsia="en-ZA"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Arial" w:hAnsi="Arial" w:eastAsia="Calibri" w:cs="Calibri"/>
      <w:color w:val="1F4D78"/>
      <w:kern w:val="0"/>
      <w:sz w:val="22"/>
      <w:szCs w:val="22"/>
      <w:lang w:val="en-ZA" w:eastAsia="en-ZA" w:bidi="ar-SA"/>
    </w:rPr>
  </w:style>
  <w:style w:type="character" w:styleId="DefaultParagraphFont" w:default="1">
    <w:name w:val="Default Paragraph Font"/>
    <w:uiPriority w:val="1"/>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BodyTextChar" w:customStyle="1">
    <w:name w:val="Body Text Char"/>
    <w:basedOn w:val="DefaultParagraphFont"/>
    <w:qFormat/>
    <w:rsid w:val="0047271e"/>
    <w:rPr>
      <w:rFonts w:ascii="Arial" w:hAnsi="Arial" w:eastAsia="" w:cs="" w:asciiTheme="minorHAnsi" w:cstheme="minorBidi" w:eastAsiaTheme="minorEastAsia" w:hAnsiTheme="minorHAnsi"/>
      <w:sz w:val="24"/>
      <w:szCs w:val="24"/>
      <w:lang w:val="en-US" w:eastAsia="zh-CN"/>
    </w:rPr>
  </w:style>
  <w:style w:type="character" w:styleId="VerbatimChar" w:customStyle="1">
    <w:name w:val="Verbatim Char"/>
    <w:basedOn w:val="DefaultParagraphFont"/>
    <w:link w:val="SourceCode"/>
    <w:qFormat/>
    <w:rsid w:val="0047271e"/>
    <w:rPr>
      <w:rFonts w:ascii="Consolas" w:hAnsi="Consolas"/>
    </w:rPr>
  </w:style>
  <w:style w:type="character" w:styleId="HeaderChar" w:customStyle="1">
    <w:name w:val="Header Char"/>
    <w:basedOn w:val="DefaultParagraphFont"/>
    <w:link w:val="Header"/>
    <w:uiPriority w:val="99"/>
    <w:qFormat/>
    <w:rsid w:val="00ce6f85"/>
    <w:rPr/>
  </w:style>
  <w:style w:type="character" w:styleId="FooterChar" w:customStyle="1">
    <w:name w:val="Footer Char"/>
    <w:basedOn w:val="DefaultParagraphFont"/>
    <w:link w:val="Footer"/>
    <w:uiPriority w:val="99"/>
    <w:qFormat/>
    <w:rsid w:val="00ce6f85"/>
    <w:rPr/>
  </w:style>
  <w:style w:type="character" w:styleId="UnresolvedMention">
    <w:name w:val="Unresolved Mention"/>
    <w:basedOn w:val="DefaultParagraphFont"/>
    <w:uiPriority w:val="99"/>
    <w:semiHidden/>
    <w:unhideWhenUsed/>
    <w:qFormat/>
    <w:rsid w:val="00e0341c"/>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qFormat/>
    <w:rsid w:val="0047271e"/>
    <w:pPr>
      <w:spacing w:lineRule="auto" w:line="276" w:before="0" w:after="140"/>
    </w:pPr>
    <w:rPr>
      <w:rFonts w:cs="Arial"/>
      <w:lang w:val="en-US" w:eastAsia="zh-CN"/>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uiPriority w:val="10"/>
    <w:qFormat/>
    <w:pPr>
      <w:widowControl/>
      <w:suppressAutoHyphens w:val="true"/>
      <w:bidi w:val="0"/>
      <w:spacing w:before="0" w:after="0"/>
      <w:jc w:val="start"/>
    </w:pPr>
    <w:rPr>
      <w:rFonts w:ascii="Arial" w:hAnsi="Arial" w:eastAsia="Calibri" w:cs="Arial"/>
      <w:b/>
      <w:color w:val="auto"/>
      <w:kern w:val="0"/>
      <w:sz w:val="52"/>
      <w:szCs w:val="52"/>
      <w:lang w:val="en-ZA" w:eastAsia="en-ZA" w:bidi="ar-SA"/>
    </w:rPr>
  </w:style>
  <w:style w:type="paragraph" w:styleId="Strong1" w:customStyle="1">
    <w:name w:val="Strong1"/>
    <w:qFormat/>
    <w:pPr>
      <w:widowControl/>
      <w:suppressAutoHyphens w:val="true"/>
      <w:bidi w:val="0"/>
      <w:spacing w:before="0" w:after="0"/>
      <w:jc w:val="start"/>
    </w:pPr>
    <w:rPr>
      <w:rFonts w:ascii="Arial" w:hAnsi="Arial" w:eastAsia="Calibri" w:cs="Calibri"/>
      <w:b/>
      <w:bCs/>
      <w:color w:val="auto"/>
      <w:kern w:val="0"/>
      <w:sz w:val="22"/>
      <w:szCs w:val="22"/>
      <w:lang w:val="en-ZA" w:eastAsia="en-ZA" w:bidi="ar-SA"/>
    </w:rPr>
  </w:style>
  <w:style w:type="paragraph" w:styleId="ListParagraph">
    <w:name w:val="List Paragraph"/>
    <w:qFormat/>
    <w:pPr>
      <w:widowControl/>
      <w:suppressAutoHyphens w:val="true"/>
      <w:bidi w:val="0"/>
      <w:spacing w:before="0" w:after="0"/>
      <w:jc w:val="start"/>
    </w:pPr>
    <w:rPr>
      <w:rFonts w:ascii="Arial" w:hAnsi="Arial" w:eastAsia="Calibri" w:cs="Calibri"/>
      <w:color w:val="auto"/>
      <w:kern w:val="0"/>
      <w:sz w:val="22"/>
      <w:szCs w:val="22"/>
      <w:lang w:val="en-ZA" w:eastAsia="en-ZA" w:bidi="ar-SA"/>
    </w:rPr>
  </w:style>
  <w:style w:type="paragraph" w:styleId="FootnoteText">
    <w:name w:val="footnote text"/>
    <w:link w:val="FootnoteTextChar"/>
    <w:uiPriority w:val="99"/>
    <w:semiHidden/>
    <w:unhideWhenUsed/>
    <w:pPr>
      <w:widowControl/>
      <w:suppressAutoHyphens w:val="true"/>
      <w:bidi w:val="0"/>
      <w:spacing w:before="0" w:after="0"/>
      <w:jc w:val="start"/>
    </w:pPr>
    <w:rPr>
      <w:rFonts w:ascii="Arial" w:hAnsi="Arial" w:eastAsia="Calibri" w:cs="Calibri"/>
      <w:color w:val="auto"/>
      <w:kern w:val="0"/>
      <w:sz w:val="20"/>
      <w:szCs w:val="20"/>
      <w:lang w:val="en-ZA" w:eastAsia="en-ZA" w:bidi="ar-SA"/>
    </w:rPr>
  </w:style>
  <w:style w:type="paragraph" w:styleId="EndnoteText">
    <w:name w:val="endnote text"/>
    <w:link w:val="EndnoteTextChar"/>
    <w:uiPriority w:val="99"/>
    <w:semiHidden/>
    <w:unhideWhenUsed/>
    <w:pPr>
      <w:widowControl/>
      <w:suppressAutoHyphens w:val="true"/>
      <w:bidi w:val="0"/>
      <w:spacing w:before="0" w:after="0"/>
      <w:jc w:val="start"/>
    </w:pPr>
    <w:rPr>
      <w:rFonts w:ascii="Arial" w:hAnsi="Arial" w:eastAsia="Calibri" w:cs="Calibri"/>
      <w:color w:val="auto"/>
      <w:kern w:val="0"/>
      <w:sz w:val="20"/>
      <w:szCs w:val="20"/>
      <w:lang w:val="en-ZA" w:eastAsia="en-ZA" w:bidi="ar-SA"/>
    </w:rPr>
  </w:style>
  <w:style w:type="paragraph" w:styleId="FirstParagraph" w:customStyle="1">
    <w:name w:val="First Paragraph"/>
    <w:basedOn w:val="BodyText"/>
    <w:next w:val="BodyText"/>
    <w:qFormat/>
    <w:rsid w:val="0047271e"/>
    <w:pPr/>
    <w:rPr/>
  </w:style>
  <w:style w:type="paragraph" w:styleId="SourceCode" w:customStyle="1">
    <w:name w:val="Source Code"/>
    <w:basedOn w:val="Normal"/>
    <w:link w:val="VerbatimChar"/>
    <w:qFormat/>
    <w:rsid w:val="0047271e"/>
    <w:pPr>
      <w:spacing w:before="0" w:after="200"/>
    </w:pPr>
    <w:rPr>
      <w:rFonts w:ascii="Consolas" w:hAnsi="Consolas"/>
    </w:rPr>
  </w:style>
  <w:style w:type="paragraph" w:styleId="Compact" w:customStyle="1">
    <w:name w:val="Compact"/>
    <w:basedOn w:val="BodyText"/>
    <w:qFormat/>
    <w:rsid w:val="0047271e"/>
    <w:pPr>
      <w:spacing w:before="36" w:after="36"/>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ce6f85"/>
    <w:pPr>
      <w:tabs>
        <w:tab w:val="clear" w:pos="720"/>
        <w:tab w:val="center" w:pos="4513" w:leader="none"/>
        <w:tab w:val="right" w:pos="9026" w:leader="none"/>
      </w:tabs>
    </w:pPr>
    <w:rPr/>
  </w:style>
  <w:style w:type="paragraph" w:styleId="Footer">
    <w:name w:val="footer"/>
    <w:basedOn w:val="Normal"/>
    <w:link w:val="FooterChar"/>
    <w:uiPriority w:val="99"/>
    <w:unhideWhenUsed/>
    <w:rsid w:val="00ce6f85"/>
    <w:pPr>
      <w:tabs>
        <w:tab w:val="clear" w:pos="720"/>
        <w:tab w:val="center" w:pos="4513" w:leader="none"/>
        <w:tab w:val="right" w:pos="9026"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9d076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
    <w:name w:val="Table"/>
    <w:semiHidden/>
    <w:unhideWhenUsed/>
    <w:qFormat/>
    <w:rsid w:val="000b3ba4"/>
    <w:pPr>
      <w:spacing w:after="200"/>
    </w:pPr>
    <w:rPr>
      <w:rFonts w:asciiTheme="minorHAnsi" w:hAnsiTheme="minorHAnsi" w:eastAsiaTheme="minorEastAsia" w:cstheme="minorBidi"/>
      <w:sz w:val="24"/>
      <w:szCs w:val="24"/>
      <w:lang w:val="en-US" w:eastAsia="zh-CN"/>
    </w:rPr>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pitchFamily="0" charset="1"/>
        <a:ea typeface=""/>
        <a:cs typeface=""/>
      </a:majorFont>
      <a:minorFont>
        <a:latin typeface="Arial"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94</TotalTime>
  <Application>LibreOffice/25.8.7.3$Windows_X86_64 LibreOffice_project/30742500f2d3eb4366ac312fa33d3dcabdb3eba5</Application>
  <AppVersion>15.0000</AppVersion>
  <Pages>13</Pages>
  <Words>2053</Words>
  <Characters>12798</Characters>
  <CharactersWithSpaces>14683</CharactersWithSpaces>
  <Paragraphs>180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2026-08-16T00:31:00Z</dcterms:created>
  <dc:creator>Un-named</dc:creator>
  <dc:description/>
  <dc:language>en-US</dc:language>
  <cp:lastModifiedBy/>
  <dcterms:modified xsi:type="dcterms:W3CDTF">2026-09-15T19:02:52Z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file>