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3943" w14:textId="77777777" w:rsidR="001B2612" w:rsidRPr="00087565" w:rsidRDefault="00FC5A09" w:rsidP="001B261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087565">
        <w:rPr>
          <w:color w:val="2B2B2B"/>
        </w:rPr>
        <w:t>Given the provided data, what are three conclusions that we can draw about crowdfunding campaigns?</w:t>
      </w:r>
    </w:p>
    <w:p w14:paraId="47E7CDDE" w14:textId="38C80008" w:rsidR="00476EE2" w:rsidRPr="00087565" w:rsidRDefault="00087565" w:rsidP="001B261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>
        <w:rPr>
          <w:b/>
          <w:bCs/>
        </w:rPr>
        <w:t>Theater</w:t>
      </w:r>
      <w:r w:rsidR="00D61518" w:rsidRPr="00087565">
        <w:rPr>
          <w:b/>
          <w:bCs/>
        </w:rPr>
        <w:t xml:space="preserve"> Leads in Successful Campaigns:</w:t>
      </w:r>
      <w:r w:rsidR="00D61518" w:rsidRPr="00087565">
        <w:t xml:space="preserve"> The</w:t>
      </w:r>
      <w:r w:rsidR="00951A8E" w:rsidRPr="00087565">
        <w:t xml:space="preserve"> "</w:t>
      </w:r>
      <w:r>
        <w:t>theater</w:t>
      </w:r>
      <w:r w:rsidR="00951A8E" w:rsidRPr="00087565">
        <w:t>"</w:t>
      </w:r>
      <w:r w:rsidR="00951A8E" w:rsidRPr="00087565">
        <w:t xml:space="preserve"> </w:t>
      </w:r>
      <w:r w:rsidR="00951A8E" w:rsidRPr="00087565">
        <w:t xml:space="preserve">category </w:t>
      </w:r>
      <w:r>
        <w:t>shows the highest number of successful campaigns</w:t>
      </w:r>
      <w:r w:rsidR="00951A8E" w:rsidRPr="00087565">
        <w:t xml:space="preserve"> (1</w:t>
      </w:r>
      <w:r>
        <w:t>87</w:t>
      </w:r>
      <w:r w:rsidR="00951A8E" w:rsidRPr="00087565">
        <w:t>)</w:t>
      </w:r>
      <w:r w:rsidR="00B55A91">
        <w:t xml:space="preserve"> out of 344 total projects, resulting in a success rate of 54 percent. </w:t>
      </w:r>
    </w:p>
    <w:p w14:paraId="7A167033" w14:textId="6B486CF8" w:rsidR="00951A8E" w:rsidRPr="00087565" w:rsidRDefault="007A1B7C" w:rsidP="001B261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>
        <w:rPr>
          <w:b/>
          <w:bCs/>
        </w:rPr>
        <w:t>High Success</w:t>
      </w:r>
      <w:r w:rsidR="00D61518" w:rsidRPr="00087565">
        <w:rPr>
          <w:b/>
          <w:bCs/>
        </w:rPr>
        <w:t xml:space="preserve"> Rate in</w:t>
      </w:r>
      <w:r w:rsidR="00B55A91">
        <w:rPr>
          <w:b/>
          <w:bCs/>
        </w:rPr>
        <w:t xml:space="preserve"> </w:t>
      </w:r>
      <w:r>
        <w:rPr>
          <w:b/>
          <w:bCs/>
        </w:rPr>
        <w:t>Animation</w:t>
      </w:r>
      <w:r w:rsidR="00D61518" w:rsidRPr="00087565">
        <w:rPr>
          <w:b/>
          <w:bCs/>
        </w:rPr>
        <w:t>:</w:t>
      </w:r>
      <w:r w:rsidR="00D61518" w:rsidRPr="00087565">
        <w:t xml:space="preserve"> </w:t>
      </w:r>
      <w:r w:rsidR="00951A8E" w:rsidRPr="00087565">
        <w:t>The “</w:t>
      </w:r>
      <w:r>
        <w:t xml:space="preserve">animation” subcategory shows a notable number of successful campaigns (21) out of 34 total projects, resulting in a success rate of 62 percent. </w:t>
      </w:r>
      <w:r w:rsidR="00951A8E" w:rsidRPr="00087565">
        <w:t xml:space="preserve"> </w:t>
      </w:r>
    </w:p>
    <w:p w14:paraId="664B9BCD" w14:textId="070F1ABC" w:rsidR="00087565" w:rsidRPr="007A1B7C" w:rsidRDefault="00D61518" w:rsidP="007A1B7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087565">
        <w:rPr>
          <w:b/>
          <w:bCs/>
        </w:rPr>
        <w:t>High Success Rates during Summer Months:</w:t>
      </w:r>
      <w:r w:rsidRPr="00087565">
        <w:t xml:space="preserve"> </w:t>
      </w:r>
      <w:r w:rsidR="007A1B7C">
        <w:t>Related to seasonal engagement, the</w:t>
      </w:r>
      <w:r w:rsidRPr="00087565">
        <w:t xml:space="preserve"> months of June and July </w:t>
      </w:r>
      <w:r w:rsidR="007A1B7C">
        <w:t>shows</w:t>
      </w:r>
      <w:r w:rsidRPr="00087565">
        <w:t xml:space="preserve"> higher s</w:t>
      </w:r>
      <w:r w:rsidR="007A1B7C">
        <w:t>uccess</w:t>
      </w:r>
      <w:r w:rsidRPr="00087565">
        <w:t>, with 55 successful campaigns in June and 58 in July</w:t>
      </w:r>
      <w:r w:rsidR="007A1B7C">
        <w:t>.</w:t>
      </w:r>
    </w:p>
    <w:p w14:paraId="1A017FBF" w14:textId="2811F8AC" w:rsidR="00FC5A09" w:rsidRPr="00087565" w:rsidRDefault="00FC5A09" w:rsidP="00FC5A0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</w:pPr>
      <w:r w:rsidRPr="00087565">
        <w:t>What are some limitations of this dataset?</w:t>
      </w:r>
      <w:r w:rsidR="008112CA" w:rsidRPr="00087565">
        <w:t xml:space="preserve"> </w:t>
      </w:r>
    </w:p>
    <w:p w14:paraId="73495A06" w14:textId="7DEDE52A" w:rsidR="00D61518" w:rsidRPr="007A1B7C" w:rsidRDefault="007A1B7C" w:rsidP="00087565">
      <w:pPr>
        <w:pStyle w:val="NormalWeb"/>
        <w:spacing w:before="150" w:beforeAutospacing="0" w:after="0" w:afterAutospacing="0" w:line="360" w:lineRule="atLeast"/>
        <w:ind w:left="720"/>
      </w:pPr>
      <w:r w:rsidRPr="007A1B7C">
        <w:t>The dataset doesn’t capture non-backer engagement me</w:t>
      </w:r>
      <w:r>
        <w:t>trics</w:t>
      </w:r>
      <w:r w:rsidRPr="007A1B7C">
        <w:t>, such as social media shares, comments, or overall</w:t>
      </w:r>
      <w:r>
        <w:t xml:space="preserve"> audience</w:t>
      </w:r>
      <w:r w:rsidRPr="007A1B7C">
        <w:t xml:space="preserve"> reach, which can also influence crowdfunding campaign success.</w:t>
      </w:r>
    </w:p>
    <w:p w14:paraId="219DCC66" w14:textId="1CA96912" w:rsidR="008112CA" w:rsidRDefault="00FC5A09" w:rsidP="00E94F9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087565">
        <w:rPr>
          <w:color w:val="2B2B2B"/>
        </w:rPr>
        <w:t>What are some other possible tables and/or graphs that we could create, and what additional value would they provide?</w:t>
      </w:r>
      <w:r w:rsidR="008112CA" w:rsidRPr="00087565">
        <w:rPr>
          <w:color w:val="2B2B2B"/>
        </w:rPr>
        <w:t xml:space="preserve"> </w:t>
      </w:r>
    </w:p>
    <w:p w14:paraId="54A0EBE3" w14:textId="103E99CC" w:rsidR="000D6C70" w:rsidRDefault="00E94F95" w:rsidP="00E94F95">
      <w:pPr>
        <w:pStyle w:val="NormalWeb"/>
        <w:spacing w:before="150" w:beforeAutospacing="0" w:after="0" w:afterAutospacing="0" w:line="360" w:lineRule="atLeast"/>
        <w:ind w:left="720"/>
      </w:pPr>
      <w:r>
        <w:t>Graphs</w:t>
      </w:r>
      <w:r w:rsidRPr="00E94F95">
        <w:t xml:space="preserve"> showing the correlation</w:t>
      </w:r>
      <w:r>
        <w:t>s</w:t>
      </w:r>
      <w:r w:rsidRPr="00E94F95">
        <w:t xml:space="preserve"> between the number of backers</w:t>
      </w:r>
      <w:r>
        <w:t>, average pledge amount,</w:t>
      </w:r>
      <w:r w:rsidRPr="00E94F95">
        <w:t xml:space="preserve"> and campaign duration. </w:t>
      </w:r>
      <w:r>
        <w:t xml:space="preserve">Longer campaigns may naturally attract more backers over time. This would help illustrate how backer engagement changes during the campaign period. </w:t>
      </w:r>
    </w:p>
    <w:sectPr w:rsidR="000D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1F90"/>
    <w:multiLevelType w:val="multilevel"/>
    <w:tmpl w:val="79D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A558C"/>
    <w:multiLevelType w:val="multilevel"/>
    <w:tmpl w:val="9EFE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25103">
    <w:abstractNumId w:val="0"/>
  </w:num>
  <w:num w:numId="2" w16cid:durableId="757212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09"/>
    <w:rsid w:val="00087565"/>
    <w:rsid w:val="000D6C70"/>
    <w:rsid w:val="001B2612"/>
    <w:rsid w:val="00476EE2"/>
    <w:rsid w:val="007A1B7C"/>
    <w:rsid w:val="008112CA"/>
    <w:rsid w:val="00951A8E"/>
    <w:rsid w:val="00B55A91"/>
    <w:rsid w:val="00C9001A"/>
    <w:rsid w:val="00D61518"/>
    <w:rsid w:val="00E94F95"/>
    <w:rsid w:val="00FC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65A3"/>
  <w15:chartTrackingRefBased/>
  <w15:docId w15:val="{E9FF22F9-2D00-4BB9-A1D0-B0822028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26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Patrick J. (KSC-YA013)</dc:creator>
  <cp:keywords/>
  <dc:description/>
  <cp:lastModifiedBy>Feeney, Patrick J. (KSC-YA013)</cp:lastModifiedBy>
  <cp:revision>4</cp:revision>
  <dcterms:created xsi:type="dcterms:W3CDTF">2024-10-15T21:03:00Z</dcterms:created>
  <dcterms:modified xsi:type="dcterms:W3CDTF">2024-10-16T15:15:00Z</dcterms:modified>
</cp:coreProperties>
</file>