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2024-01-05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Production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1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0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3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2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5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1200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1800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4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2400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3600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6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4200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4800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5400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Production is the activity of transforming raw materials into goods or services. It involves the use of machines, equipment, tools, techniques and processes.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duc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/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