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ED" w:rsidRPr="00FE38B3" w:rsidRDefault="00E42BED" w:rsidP="00E42BED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产品一次送试情况（数值保留小数点后两位）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1E33EC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8D51A1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8D51A1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一次试验合格率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66kV以上交联电缆（km）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42BED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26/35kV及以下交联电力电缆（km）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8D51A1" w:rsidRDefault="008D51A1" w:rsidP="008D51A1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0.6/1kV及以下交联电力电缆（km）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1E33E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全塑力缆（km）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架空电缆（km）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控制电缆（km）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特种电缆（km)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布电线（km）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8D51A1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钢芯铝绞线（T）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51A1" w:rsidRPr="00560F20" w:rsidRDefault="008D51A1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8D51A1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铝合金导线（T）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一次送试不合格产品的信息：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7333AB" w:rsidRPr="00FE38B3" w:rsidTr="007333AB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7333AB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E42BED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  <w:tr w:rsidR="007333AB" w:rsidRPr="00FE38B3" w:rsidTr="007333AB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333AB" w:rsidRPr="00FE38B3" w:rsidRDefault="007333AB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产品送试结果情况整体分析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lastRenderedPageBreak/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E3728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C60A8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y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${gyzlqk}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992044">
        <w:rPr>
          <w:rFonts w:ascii="仿宋_GB2312" w:eastAsia="仿宋_GB2312"/>
          <w:b/>
          <w:sz w:val="32"/>
          <w:szCs w:val="30"/>
          <w:highlight w:val="yellow"/>
        </w:rPr>
        <w:t>2</w:t>
      </w:r>
      <w:r w:rsidRPr="00992044">
        <w:rPr>
          <w:rFonts w:ascii="仿宋_GB2312" w:eastAsia="仿宋_GB2312" w:hint="eastAsia"/>
          <w:b/>
          <w:sz w:val="32"/>
          <w:szCs w:val="30"/>
          <w:highlight w:val="yellow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E42BED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42BED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42BED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  <w:highlight w:val="yellow"/>
        </w:rPr>
      </w:pPr>
      <w:r w:rsidRPr="00093E75">
        <w:rPr>
          <w:rFonts w:ascii="仿宋_GB2312" w:eastAsia="仿宋_GB2312"/>
          <w:b/>
          <w:sz w:val="32"/>
          <w:szCs w:val="32"/>
          <w:highlight w:val="yellow"/>
        </w:rPr>
        <w:t>2</w:t>
      </w:r>
      <w:r w:rsidRPr="00093E75">
        <w:rPr>
          <w:rFonts w:ascii="仿宋_GB2312" w:eastAsia="仿宋_GB2312" w:hint="eastAsia"/>
          <w:b/>
          <w:sz w:val="32"/>
          <w:szCs w:val="32"/>
          <w:highlight w:val="yellow"/>
        </w:rPr>
        <w:t>、问题突出的原材料组配件</w:t>
      </w:r>
      <w:r w:rsidR="0080642A" w:rsidRPr="00093E75">
        <w:rPr>
          <w:rFonts w:ascii="仿宋_GB2312" w:eastAsia="仿宋_GB2312" w:hint="eastAsia"/>
          <w:b/>
          <w:sz w:val="32"/>
          <w:szCs w:val="32"/>
          <w:highlight w:val="yellow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  <w:highlight w:val="yellow"/>
        </w:rPr>
        <w:t>3</w:t>
      </w:r>
      <w:r w:rsidRPr="00093E75">
        <w:rPr>
          <w:rFonts w:ascii="仿宋_GB2312" w:eastAsia="仿宋_GB2312" w:hint="eastAsia"/>
          <w:b/>
          <w:sz w:val="32"/>
          <w:szCs w:val="32"/>
          <w:highlight w:val="yellow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E42BED" w:rsidRPr="00FE38B3" w:rsidTr="00E23998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E42BED" w:rsidRPr="00FE38B3" w:rsidTr="00E23998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E42BED" w:rsidRPr="00FE38B3" w:rsidTr="00E42BED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bookmarkStart w:id="8" w:name="_GoBack" w:colFirst="1" w:colLast="4"/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BED" w:rsidRPr="00FE38B3" w:rsidRDefault="00E42BED" w:rsidP="00E42BE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bookmarkEnd w:id="8"/>
      <w:tr w:rsidR="00F1252C" w:rsidRPr="00FE38B3" w:rsidTr="00E42BED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E42BED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6C5086">
        <w:rPr>
          <w:rFonts w:ascii="仿宋_GB2312" w:eastAsia="仿宋_GB2312"/>
          <w:b/>
          <w:sz w:val="32"/>
          <w:szCs w:val="32"/>
          <w:highlight w:val="yellow"/>
        </w:rPr>
        <w:t>3</w:t>
      </w:r>
      <w:r w:rsidRPr="006C5086">
        <w:rPr>
          <w:rFonts w:ascii="仿宋_GB2312" w:eastAsia="仿宋_GB2312" w:hint="eastAsia"/>
          <w:b/>
          <w:sz w:val="32"/>
          <w:szCs w:val="32"/>
          <w:highlight w:val="yellow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1D6" w:rsidRDefault="009B21D6">
      <w:r>
        <w:separator/>
      </w:r>
    </w:p>
  </w:endnote>
  <w:endnote w:type="continuationSeparator" w:id="0">
    <w:p w:rsidR="009B21D6" w:rsidRDefault="009B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2BED" w:rsidRPr="00E42BED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1D6" w:rsidRDefault="009B21D6">
      <w:r>
        <w:separator/>
      </w:r>
    </w:p>
  </w:footnote>
  <w:footnote w:type="continuationSeparator" w:id="0">
    <w:p w:rsidR="009B21D6" w:rsidRDefault="009B2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E42BED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33AB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679E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51A1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1D6"/>
    <w:rsid w:val="009B2302"/>
    <w:rsid w:val="009B2B4D"/>
    <w:rsid w:val="009B3694"/>
    <w:rsid w:val="009B3D48"/>
    <w:rsid w:val="009B464C"/>
    <w:rsid w:val="009B4799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2BED"/>
    <w:rsid w:val="00E45179"/>
    <w:rsid w:val="00E54000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820A7-83B2-46D5-84BC-265C2C72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9</cp:revision>
  <cp:lastPrinted>2013-04-28T05:03:00Z</cp:lastPrinted>
  <dcterms:created xsi:type="dcterms:W3CDTF">2017-08-18T01:35:00Z</dcterms:created>
  <dcterms:modified xsi:type="dcterms:W3CDTF">2017-08-22T15:07:00Z</dcterms:modified>
</cp:coreProperties>
</file>