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 w:line="276"/>
      </w:pPr>
      <w:r>
        <w:rPr>
          <w:rFonts w:ascii="Calibri" w:cs="Calibri" w:eastAsia="Calibri" w:hAnsi="Calibri"/>
          <w:b/>
          <w:bCs/>
          <w:i w:val="false"/>
          <w:iCs w:val="false"/>
          <w:color w:val="0F6E7C"/>
          <w:sz w:val="17"/>
          <w:szCs w:val="17"/>
        </w:rPr>
        <w:t xml:space="preserve">COMPARATIVE AUDIT · TAREK BUYS HOUSES</w:t>
      </w:r>
    </w:p>
    <w:p>
      <w:pPr>
        <w:spacing w:after="140"/>
      </w:pPr>
      <w:r>
        <w:rPr>
          <w:rFonts w:ascii="Calibri" w:cs="Calibri" w:eastAsia="Calibri" w:hAnsi="Calibri"/>
          <w:b/>
          <w:bCs/>
          <w:i w:val="false"/>
          <w:iCs w:val="false"/>
          <w:color w:val="10161D"/>
          <w:sz w:val="60"/>
          <w:szCs w:val="60"/>
        </w:rPr>
        <w:t xml:space="preserve">Main vs Tampa</w:t>
      </w:r>
    </w:p>
    <w:p>
      <w:pPr>
        <w:spacing w:after="180" w:before="60" w:line="276"/>
      </w:pPr>
      <w:r>
        <w:rPr>
          <w:rFonts w:ascii="Calibri" w:cs="Calibri" w:eastAsia="Calibri" w:hAnsi="Calibri"/>
          <w:b w:val="false"/>
          <w:bCs w:val="false"/>
          <w:i w:val="false"/>
          <w:iCs w:val="false"/>
          <w:color w:val="55606C"/>
          <w:sz w:val="24"/>
          <w:szCs w:val="24"/>
        </w:rPr>
        <w:t xml:space="preserve">A side-by-side audit of tarekbuyshouses.com and tbhtampa.com across nine dimensions — read from source, verified against production, and priced against 30 days of live ad spend.</w:t>
      </w:r>
    </w:p>
    <w:tbl>
      <w:tblPr>
        <w:tblW w:type="dxa" w:w="9360"/>
        <w:tblBorders>
          <w:top w:val="single" w:color="C2CBD5" w:sz="4"/>
          <w:left w:val="single" w:color="C2CBD5" w:sz="4"/>
          <w:bottom w:val="single" w:color="C2CBD5" w:sz="4"/>
          <w:right w:val="single" w:color="C2CBD5" w:sz="4"/>
          <w:insideH w:val="single" w:color="DBE1E8" w:sz="2"/>
          <w:insideV w:val="single" w:color="DBE1E8" w:sz="2"/>
        </w:tblBorders>
      </w:tblPr>
      <w:tblGrid>
        <w:gridCol w:w="2100"/>
        <w:gridCol w:w="7260"/>
      </w:tblGrid>
      <w:tr>
        <w:trPr>
          <w:tblHeader/>
        </w:trPr>
        <w:tc>
          <w:tcPr>
            <w:tcW w:type="dxa" w:w="210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Field</w:t>
            </w:r>
          </w:p>
        </w:tc>
        <w:tc>
          <w:tcPr>
            <w:tcW w:type="dxa" w:w="726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Value</w:t>
            </w:r>
          </w:p>
        </w:tc>
      </w:tr>
      <w:tr>
        <w:tc>
          <w:tcPr>
            <w:tcW w:type="dxa" w:w="21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Prepared for</w:t>
            </w:r>
          </w:p>
        </w:tc>
        <w:tc>
          <w:tcPr>
            <w:tcW w:type="dxa" w:w="72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Patrick Solis, Tarek Buys Houses</w:t>
            </w:r>
          </w:p>
        </w:tc>
      </w:tr>
      <w:tr>
        <w:tc>
          <w:tcPr>
            <w:tcW w:type="dxa" w:w="21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Issued</w:t>
            </w:r>
          </w:p>
        </w:tc>
        <w:tc>
          <w:tcPr>
            <w:tcW w:type="dxa" w:w="72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25 August 2026</w:t>
            </w:r>
          </w:p>
        </w:tc>
      </w:tr>
      <w:tr>
        <w:tc>
          <w:tcPr>
            <w:tcW w:type="dxa" w:w="21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Revised</w:t>
            </w:r>
          </w:p>
        </w:tc>
        <w:tc>
          <w:tcPr>
            <w:tcW w:type="dxa" w:w="72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26 August 2026 — 3 findings resolved, 1 verdict retracted</w:t>
            </w:r>
          </w:p>
        </w:tc>
      </w:tr>
      <w:tr>
        <w:tc>
          <w:tcPr>
            <w:tcW w:type="dxa" w:w="21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Ad data window</w:t>
            </w:r>
          </w:p>
        </w:tc>
        <w:tc>
          <w:tcPr>
            <w:tcW w:type="dxa" w:w="72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25 July – 23 August 2026</w:t>
            </w:r>
          </w:p>
        </w:tc>
      </w:tr>
      <w:tr>
        <w:tc>
          <w:tcPr>
            <w:tcW w:type="dxa" w:w="21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Mode</w:t>
            </w:r>
          </w:p>
        </w:tc>
        <w:tc>
          <w:tcPr>
            <w:tcW w:type="dxa" w:w="72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Read-only. No file, setting or deployment was changed.</w:t>
            </w:r>
          </w:p>
        </w:tc>
      </w:tr>
      <w:tr>
        <w:tc>
          <w:tcPr>
            <w:tcW w:type="dxa" w:w="21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Verification</w:t>
            </w:r>
          </w:p>
        </w:tc>
        <w:tc>
          <w:tcPr>
            <w:tcW w:type="dxa" w:w="72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All 23 load-bearing claims re-checked by an independent adversarial pass. All 23 held.</w:t>
            </w:r>
          </w:p>
        </w:tc>
      </w:tr>
    </w:tbl>
    <w:p>
      <w:r>
        <w:br w:type="page"/>
      </w:r>
    </w:p>
    <w:p>
      <w:pPr>
        <w:pStyle w:val="Heading1"/>
        <w:spacing w:after="140" w:before="360"/>
      </w:pPr>
      <w:r>
        <w:t xml:space="preserve">Revision log — 26 August</w:t>
      </w:r>
    </w:p>
    <w:p>
      <w:pPr>
        <w:spacing w:after="120" w:before="60" w:line="276"/>
      </w:pPr>
      <w:r>
        <w:rPr>
          <w:rFonts w:ascii="Calibri" w:cs="Calibri" w:eastAsia="Calibri" w:hAnsi="Calibri"/>
          <w:b w:val="false"/>
          <w:bCs w:val="false"/>
          <w:i w:val="false"/>
          <w:iCs w:val="false"/>
          <w:color w:val="10161D"/>
          <w:sz w:val="21"/>
          <w:szCs w:val="21"/>
        </w:rPr>
        <w:t xml:space="preserve">Three findings closed, one of my own verdicts retracted. Everything else in this document stands as issued and is still open for review.</w:t>
      </w:r>
    </w:p>
    <w:tbl>
      <w:tblPr>
        <w:tblW w:type="dxa" w:w="9360"/>
        <w:tblBorders>
          <w:top w:val="single" w:color="DBE1E8" w:sz="2"/>
          <w:left w:val="single" w:color="1C6B4C"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1C6B4C"/>
                <w:sz w:val="16"/>
                <w:szCs w:val="16"/>
              </w:rPr>
              <w:t xml:space="preserve">RESOLVED  </w:t>
            </w:r>
            <w:r>
              <w:rPr>
                <w:rFonts w:ascii="Calibri" w:cs="Calibri" w:eastAsia="Calibri" w:hAnsi="Calibri"/>
                <w:b/>
                <w:bCs/>
                <w:i w:val="false"/>
                <w:iCs w:val="false"/>
                <w:color w:val="10161D"/>
                <w:sz w:val="21"/>
                <w:szCs w:val="21"/>
              </w:rPr>
              <w:t xml:space="preserve">Resolved and verified in production</w:t>
            </w:r>
          </w:p>
          <w:p>
            <w:pPr>
              <w:spacing w:after="70" w:before="0" w:line="276"/>
            </w:pPr>
            <w:r>
              <w:rPr>
                <w:rFonts w:ascii="Calibri" w:cs="Calibri" w:eastAsia="Calibri" w:hAnsi="Calibri"/>
                <w:b/>
                <w:bCs/>
                <w:i w:val="false"/>
                <w:iCs w:val="false"/>
                <w:color w:val="10161D"/>
                <w:sz w:val="20"/>
                <w:szCs w:val="20"/>
              </w:rPr>
              <w:t xml:space="preserve">1. Canonical → 404 on all 510 landers. </w:t>
            </w:r>
            <w:r>
              <w:rPr>
                <w:rFonts w:ascii="Calibri" w:cs="Calibri" w:eastAsia="Calibri" w:hAnsi="Calibri"/>
                <w:b w:val="false"/>
                <w:bCs w:val="false"/>
                <w:i w:val="false"/>
                <w:iCs w:val="false"/>
                <w:color w:val="10161D"/>
                <w:sz w:val="20"/>
                <w:szCs w:val="20"/>
              </w:rPr>
              <w:t xml:space="preserve">Fixed. Canonicals are now server-rendered by the Next metadata API and resolve correctly. Two follow-ons remain — see §00.</w:t>
            </w:r>
          </w:p>
          <w:p>
            <w:pPr>
              <w:spacing w:after="70" w:before="0" w:line="276"/>
            </w:pPr>
            <w:r>
              <w:rPr>
                <w:rFonts w:ascii="Calibri" w:cs="Calibri" w:eastAsia="Calibri" w:hAnsi="Calibri"/>
                <w:b/>
                <w:bCs/>
                <w:i w:val="false"/>
                <w:iCs w:val="false"/>
                <w:color w:val="10161D"/>
                <w:sz w:val="20"/>
                <w:szCs w:val="20"/>
              </w:rPr>
              <w:t xml:space="preserve">2. Market-agnostic server metadata. </w:t>
            </w:r>
            <w:r>
              <w:rPr>
                <w:rFonts w:ascii="Calibri" w:cs="Calibri" w:eastAsia="Calibri" w:hAnsi="Calibri"/>
                <w:b w:val="false"/>
                <w:bCs w:val="false"/>
                <w:i w:val="false"/>
                <w:iCs w:val="false"/>
                <w:color w:val="10161D"/>
                <w:sz w:val="20"/>
                <w:szCs w:val="20"/>
              </w:rPr>
              <w:t xml:space="preserve">Fixed across two passes. Titles and descriptions are now market-unique in the raw HTML, brand and state appear exactly once, and no {market} placeholders leak. Verified on 8 landers.</w:t>
            </w:r>
          </w:p>
          <w:p>
            <w:pPr>
              <w:spacing w:after="70" w:before="0" w:line="276"/>
            </w:pPr>
            <w:r>
              <w:rPr>
                <w:rFonts w:ascii="Calibri" w:cs="Calibri" w:eastAsia="Calibri" w:hAnsi="Calibri"/>
                <w:b/>
                <w:bCs/>
                <w:i w:val="false"/>
                <w:iCs w:val="false"/>
                <w:color w:val="10161D"/>
                <w:sz w:val="20"/>
                <w:szCs w:val="20"/>
              </w:rPr>
              <w:t xml:space="preserve">3. AI copy invisible to crawlers. </w:t>
            </w:r>
            <w:r>
              <w:rPr>
                <w:rFonts w:ascii="Calibri" w:cs="Calibri" w:eastAsia="Calibri" w:hAnsi="Calibri"/>
                <w:b w:val="false"/>
                <w:bCs w:val="false"/>
                <w:i w:val="false"/>
                <w:iCs w:val="false"/>
                <w:color w:val="10161D"/>
                <w:sz w:val="20"/>
                <w:szCs w:val="20"/>
              </w:rPr>
              <w:t xml:space="preserve">Fixed. generated_content is now fetched server-side and baked into the SSR HTML.</w:t>
            </w:r>
          </w:p>
          <w:p>
            <w:pPr>
              <w:spacing w:after="70" w:before="0" w:line="276"/>
            </w:pPr>
            <w:r>
              <w:rPr>
                <w:rFonts w:ascii="Calibri" w:cs="Calibri" w:eastAsia="Calibri" w:hAnsi="Calibri"/>
                <w:b/>
                <w:bCs/>
                <w:i w:val="false"/>
                <w:iCs w:val="false"/>
                <w:color w:val="10161D"/>
                <w:sz w:val="20"/>
                <w:szCs w:val="20"/>
              </w:rPr>
              <w:t xml:space="preserve">4. Main could lose a lead and show a success screen. </w:t>
            </w:r>
            <w:r>
              <w:rPr>
                <w:rFonts w:ascii="Calibri" w:cs="Calibri" w:eastAsia="Calibri" w:hAnsi="Calibri"/>
                <w:b w:val="false"/>
                <w:bCs w:val="false"/>
                <w:i w:val="false"/>
                <w:iCs w:val="false"/>
                <w:color w:val="10161D"/>
                <w:sz w:val="20"/>
                <w:szCs w:val="20"/>
              </w:rPr>
              <w:t xml:space="preserve">Fixed (deb1768). The fabricated GHL success is gone and the production-realistic failure case now returns HTTP 500. Three minor residuals recorded in Dimension 2 — none blocking.</w:t>
            </w:r>
          </w:p>
        </w:tc>
      </w:tr>
    </w:tbl>
    <w:p>
      <w:pPr>
        <w:spacing w:after="100" w:before="0" w:line="276"/>
      </w:pPr>
      <w:r>
        <w:rPr>
          <w:rFonts w:ascii="Calibri" w:cs="Calibri" w:eastAsia="Calibri" w:hAnsi="Calibri"/>
          <w:b w:val="false"/>
          <w:bCs w:val="false"/>
          <w:i w:val="false"/>
          <w:iCs w:val="false"/>
          <w:color w:val="10161D"/>
          <w:sz w:val="21"/>
          <w:szCs w:val="21"/>
        </w:rPr>
        <w:t xml:space="preserve"/>
      </w:r>
    </w:p>
    <w:tbl>
      <w:tblPr>
        <w:tblW w:type="dxa" w:w="9360"/>
        <w:tblBorders>
          <w:top w:val="single" w:color="DBE1E8" w:sz="2"/>
          <w:left w:val="single" w:color="1C6B4C"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1C6B4C"/>
                <w:sz w:val="16"/>
                <w:szCs w:val="16"/>
              </w:rPr>
              <w:t xml:space="preserve">RETRACTED / RESCOPED  </w:t>
            </w:r>
            <w:r>
              <w:rPr>
                <w:rFonts w:ascii="Calibri" w:cs="Calibri" w:eastAsia="Calibri" w:hAnsi="Calibri"/>
                <w:b/>
                <w:bCs/>
                <w:i w:val="false"/>
                <w:iCs w:val="false"/>
                <w:color w:val="10161D"/>
                <w:sz w:val="21"/>
                <w:szCs w:val="21"/>
              </w:rPr>
              <w:t xml:space="preserve">My errors</w:t>
            </w:r>
          </w:p>
          <w:p>
            <w:pPr>
              <w:spacing w:after="70" w:before="0" w:line="276"/>
            </w:pPr>
            <w:r>
              <w:rPr>
                <w:rFonts w:ascii="Calibri" w:cs="Calibri" w:eastAsia="Calibri" w:hAnsi="Calibri"/>
                <w:b/>
                <w:bCs/>
                <w:i w:val="false"/>
                <w:iCs w:val="false"/>
                <w:color w:val="10161D"/>
                <w:sz w:val="20"/>
                <w:szCs w:val="20"/>
              </w:rPr>
              <w:t xml:space="preserve">1. "Tampa wins on performance." </w:t>
            </w:r>
            <w:r>
              <w:rPr>
                <w:rFonts w:ascii="Calibri" w:cs="Calibri" w:eastAsia="Calibri" w:hAnsi="Calibri"/>
                <w:b w:val="false"/>
                <w:bCs w:val="false"/>
                <w:i w:val="false"/>
                <w:iCs w:val="false"/>
                <w:color w:val="10161D"/>
                <w:sz w:val="20"/>
                <w:szCs w:val="20"/>
              </w:rPr>
              <w:t xml:space="preserve">Withdrawn. Lighthouse puts the two sites at 93 vs 97 — parity. My original call reasoned from total bytes and domComplete, which is neither what users perceive nor what the architecture optimises for. The audit as first issued had this right; my revision was wrong. Corrected in Corrections and Dimension 4.</w:t>
            </w:r>
          </w:p>
          <w:p>
            <w:pPr>
              <w:spacing w:after="70" w:before="0" w:line="276"/>
            </w:pPr>
            <w:r>
              <w:rPr>
                <w:rFonts w:ascii="Calibri" w:cs="Calibri" w:eastAsia="Calibri" w:hAnsi="Calibri"/>
                <w:b/>
                <w:bCs/>
                <w:i w:val="false"/>
                <w:iCs w:val="false"/>
                <w:color w:val="10161D"/>
                <w:sz w:val="20"/>
                <w:szCs w:val="20"/>
              </w:rPr>
              <w:t xml:space="preserve">2. "Tracking: both broken." </w:t>
            </w:r>
            <w:r>
              <w:rPr>
                <w:rFonts w:ascii="Calibri" w:cs="Calibri" w:eastAsia="Calibri" w:hAnsi="Calibri"/>
                <w:b w:val="false"/>
                <w:bCs w:val="false"/>
                <w:i w:val="false"/>
                <w:iCs w:val="false"/>
                <w:color w:val="10161D"/>
                <w:sz w:val="20"/>
                <w:szCs w:val="20"/>
              </w:rPr>
              <w:t xml:space="preserve">Too strong for Main. Its lead tracking reconciles exactly — 77 Ads conversions = 77 form submissions — so the path works. Main has leaks; Tampa has integrity failures. Verdict changed to Main, and my "optimising against three zeroes" claim corrected. Dimension 8 rewritten.</w:t>
            </w:r>
          </w:p>
          <w:p>
            <w:pPr>
              <w:spacing w:after="70" w:before="0" w:line="276"/>
            </w:pPr>
            <w:r>
              <w:rPr>
                <w:rFonts w:ascii="Calibri" w:cs="Calibri" w:eastAsia="Calibri" w:hAnsi="Calibri"/>
                <w:b/>
                <w:bCs/>
                <w:i w:val="false"/>
                <w:iCs w:val="false"/>
                <w:color w:val="10161D"/>
                <w:sz w:val="20"/>
                <w:szCs w:val="20"/>
              </w:rPr>
              <w:t xml:space="preserve">3. "$435 vs $1,084 per form lead." </w:t>
            </w:r>
            <w:r>
              <w:rPr>
                <w:rFonts w:ascii="Calibri" w:cs="Calibri" w:eastAsia="Calibri" w:hAnsi="Calibri"/>
                <w:b w:val="false"/>
                <w:bCs w:val="false"/>
                <w:i w:val="false"/>
                <w:iCs w:val="false"/>
                <w:color w:val="10161D"/>
                <w:sz w:val="20"/>
                <w:szCs w:val="20"/>
              </w:rPr>
              <w:t xml:space="preserve">Verdict withdrawn. The arithmetic holds but cannot rank the two sites — different geographies, different CPCs, and Tampa’s form failing inside the measurement window. The counting mismatch remains as the finding. Dimension 9 rescoped to "Not comparable."</w:t>
            </w:r>
          </w:p>
          <w:p>
            <w:pPr>
              <w:spacing w:after="70" w:before="0" w:line="276"/>
            </w:pPr>
            <w:r>
              <w:rPr>
                <w:rFonts w:ascii="Calibri" w:cs="Calibri" w:eastAsia="Calibri" w:hAnsi="Calibri"/>
                <w:b/>
                <w:bCs/>
                <w:i w:val="false"/>
                <w:iCs w:val="false"/>
                <w:color w:val="10161D"/>
                <w:sz w:val="20"/>
                <w:szCs w:val="20"/>
              </w:rPr>
              <w:t xml:space="preserve">4. Tampa’s form controls. </w:t>
            </w:r>
            <w:r>
              <w:rPr>
                <w:rFonts w:ascii="Calibri" w:cs="Calibri" w:eastAsia="Calibri" w:hAnsi="Calibri"/>
                <w:b w:val="false"/>
                <w:bCs w:val="false"/>
                <w:i w:val="false"/>
                <w:iCs w:val="false"/>
                <w:color w:val="10161D"/>
                <w:sz w:val="20"/>
                <w:szCs w:val="20"/>
              </w:rPr>
              <w:t xml:space="preserve">Rewritten to say what is true: they are unobservable because Goliath owns them, not absent. The unauditability is the finding. Dimension 2 revised.</w:t>
            </w:r>
          </w:p>
          <w:p>
            <w:pPr>
              <w:spacing w:after="70" w:before="0" w:line="276"/>
            </w:pPr>
            <w:r>
              <w:rPr>
                <w:rFonts w:ascii="Calibri" w:cs="Calibri" w:eastAsia="Calibri" w:hAnsi="Calibri"/>
                <w:b/>
                <w:bCs/>
                <w:i w:val="false"/>
                <w:iCs w:val="false"/>
                <w:color w:val="10161D"/>
                <w:sz w:val="20"/>
                <w:szCs w:val="20"/>
              </w:rPr>
              <w:t xml:space="preserve">5. Testimonials. </w:t>
            </w:r>
            <w:r>
              <w:rPr>
                <w:rFonts w:ascii="Calibri" w:cs="Calibri" w:eastAsia="Calibri" w:hAnsi="Calibri"/>
                <w:b w:val="false"/>
                <w:bCs w:val="false"/>
                <w:i w:val="false"/>
                <w:iCs w:val="false"/>
                <w:color w:val="10161D"/>
                <w:sz w:val="20"/>
                <w:szCs w:val="20"/>
              </w:rPr>
              <w:t xml:space="preserve">Scoreboard now states the recommendation explicitly — promote what the testing build already renders to production.</w:t>
            </w:r>
          </w:p>
        </w:tc>
      </w:tr>
    </w:tbl>
    <w:p>
      <w:r>
        <w:br w:type="page"/>
      </w:r>
    </w:p>
    <w:p>
      <w:pPr>
        <w:pStyle w:val="Heading1"/>
        <w:spacing w:after="140" w:before="360"/>
      </w:pPr>
      <w:r>
        <w:t xml:space="preserve">00 · Act today</w:t>
      </w:r>
    </w:p>
    <w:p>
      <w:pPr>
        <w:spacing w:after="120" w:before="60" w:line="276"/>
      </w:pPr>
      <w:r>
        <w:rPr>
          <w:rFonts w:ascii="Calibri" w:cs="Calibri" w:eastAsia="Calibri" w:hAnsi="Calibri"/>
          <w:b w:val="false"/>
          <w:bCs w:val="false"/>
          <w:i w:val="false"/>
          <w:iCs w:val="false"/>
          <w:color w:val="10161D"/>
          <w:sz w:val="21"/>
          <w:szCs w:val="21"/>
        </w:rPr>
        <w:t xml:space="preserve">Three items that should not wait for the rest of this document to be read.</w:t>
      </w:r>
    </w:p>
    <w:tbl>
      <w:tblPr>
        <w:tblW w:type="dxa" w:w="9360"/>
        <w:tblBorders>
          <w:top w:val="single" w:color="DBE1E8" w:sz="2"/>
          <w:left w:val="single" w:color="B32A44"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B32A44"/>
                <w:sz w:val="16"/>
                <w:szCs w:val="16"/>
              </w:rPr>
              <w:t xml:space="preserve">CRITICAL  </w:t>
            </w:r>
            <w:r>
              <w:rPr>
                <w:rFonts w:ascii="Calibri" w:cs="Calibri" w:eastAsia="Calibri" w:hAnsi="Calibri"/>
                <w:b/>
                <w:bCs/>
                <w:i w:val="false"/>
                <w:iCs w:val="false"/>
                <w:color w:val="10161D"/>
                <w:sz w:val="21"/>
                <w:szCs w:val="21"/>
              </w:rPr>
              <w:t xml:space="preserve">A live GoHighLevel token is public in Tampa’s page source</w:t>
            </w:r>
          </w:p>
          <w:p>
            <w:pPr>
              <w:spacing w:after="70" w:before="0" w:line="276"/>
            </w:pPr>
            <w:r>
              <w:rPr>
                <w:rFonts w:ascii="Calibri" w:cs="Calibri" w:eastAsia="Calibri" w:hAnsi="Calibri"/>
                <w:b w:val="false"/>
                <w:bCs w:val="false"/>
                <w:i w:val="false"/>
                <w:iCs w:val="false"/>
                <w:color w:val="10161D"/>
                <w:sz w:val="20"/>
                <w:szCs w:val="20"/>
              </w:rPr>
              <w:t xml:space="preserve">All six primary Tampa pages ship a hardcoded private integration token beginning </w:t>
            </w:r>
            <w:r>
              <w:rPr>
                <w:rFonts w:ascii="Consolas" w:cs="Consolas" w:eastAsia="Consolas" w:hAnsi="Consolas"/>
                <w:b w:val="false"/>
                <w:bCs w:val="false"/>
                <w:i w:val="false"/>
                <w:iCs w:val="false"/>
                <w:color w:val="10161D"/>
                <w:sz w:val="19"/>
                <w:szCs w:val="19"/>
              </w:rPr>
              <w:t xml:space="preserve">pit-90ca0a4e…</w:t>
            </w:r>
            <w:r>
              <w:rPr>
                <w:rFonts w:ascii="Calibri" w:cs="Calibri" w:eastAsia="Calibri" w:hAnsi="Calibri"/>
                <w:b w:val="false"/>
                <w:bCs w:val="false"/>
                <w:i w:val="false"/>
                <w:iCs w:val="false"/>
                <w:color w:val="10161D"/>
                <w:sz w:val="20"/>
                <w:szCs w:val="20"/>
              </w:rPr>
              <w:t xml:space="preserve"> alongside </w:t>
            </w:r>
            <w:r>
              <w:rPr>
                <w:rFonts w:ascii="Consolas" w:cs="Consolas" w:eastAsia="Consolas" w:hAnsi="Consolas"/>
                <w:b w:val="false"/>
                <w:bCs w:val="false"/>
                <w:i w:val="false"/>
                <w:iCs w:val="false"/>
                <w:color w:val="10161D"/>
                <w:sz w:val="19"/>
                <w:szCs w:val="19"/>
              </w:rPr>
              <w:t xml:space="preserve">locationId:'xnDMglhNcDqN1cmCG1ZK'</w:t>
            </w:r>
            <w:r>
              <w:rPr>
                <w:rFonts w:ascii="Calibri" w:cs="Calibri" w:eastAsia="Calibri" w:hAnsi="Calibri"/>
                <w:b w:val="false"/>
                <w:bCs w:val="false"/>
                <w:i w:val="false"/>
                <w:iCs w:val="false"/>
                <w:color w:val="10161D"/>
                <w:sz w:val="20"/>
                <w:szCs w:val="20"/>
              </w:rPr>
              <w:t xml:space="preserve">, a pipeline ID, a stage ID and four custom-field IDs. Anyone can read it with View Source.</w:t>
            </w:r>
          </w:p>
          <w:p>
            <w:pPr>
              <w:spacing w:after="70" w:before="0" w:line="276"/>
            </w:pPr>
            <w:r>
              <w:rPr>
                <w:rFonts w:ascii="Calibri" w:cs="Calibri" w:eastAsia="Calibri" w:hAnsi="Calibri"/>
                <w:b/>
                <w:bCs/>
                <w:i w:val="false"/>
                <w:iCs w:val="false"/>
                <w:color w:val="10161D"/>
                <w:sz w:val="20"/>
                <w:szCs w:val="20"/>
              </w:rPr>
              <w:t xml:space="preserve">The blast radius is Main, not Tampa. </w:t>
            </w:r>
            <w:r>
              <w:rPr>
                <w:rFonts w:ascii="Calibri" w:cs="Calibri" w:eastAsia="Calibri" w:hAnsi="Calibri"/>
                <w:b w:val="false"/>
                <w:bCs w:val="false"/>
                <w:i w:val="false"/>
                <w:iCs w:val="false"/>
                <w:color w:val="10161D"/>
                <w:sz w:val="20"/>
                <w:szCs w:val="20"/>
              </w:rPr>
              <w:t xml:space="preserve">That location ID is your flagship GHL location — the same one behind tarekbuyshouses.com. A token leaked on the static satellite is scoped to the CRM holding all 10,766 contacts.</w:t>
            </w:r>
          </w:p>
          <w:p>
            <w:pPr>
              <w:spacing w:after="70" w:before="0" w:line="276"/>
            </w:pPr>
            <w:r>
              <w:rPr>
                <w:rFonts w:ascii="Calibri" w:cs="Calibri" w:eastAsia="Calibri" w:hAnsi="Calibri"/>
                <w:b w:val="false"/>
                <w:bCs w:val="false"/>
                <w:i w:val="false"/>
                <w:iCs w:val="false"/>
                <w:color w:val="10161D"/>
                <w:sz w:val="20"/>
                <w:szCs w:val="20"/>
              </w:rPr>
              <w:t xml:space="preserve">The function it sits in (ghl()) is unreachable dead code — a TypeError on the next line kills the script before it can run. So this is pure exposure with zero function, and deleting it breaks nothing. The five deploy-*.zip snapshots served publicly at tbhtampa.com/deploy.zip (9.7 MB, HTTP 200) are April-era copies of the same code.</w:t>
            </w:r>
          </w:p>
          <w:p>
            <w:pPr>
              <w:spacing w:after="70" w:before="0" w:line="276"/>
            </w:pPr>
            <w:r>
              <w:rPr>
                <w:rFonts w:ascii="Calibri" w:cs="Calibri" w:eastAsia="Calibri" w:hAnsi="Calibri"/>
                <w:b/>
                <w:bCs/>
                <w:i w:val="false"/>
                <w:iCs w:val="false"/>
                <w:color w:val="10161D"/>
                <w:sz w:val="20"/>
                <w:szCs w:val="20"/>
              </w:rPr>
              <w:t xml:space="preserve">Order of operations: </w:t>
            </w:r>
            <w:r>
              <w:rPr>
                <w:rFonts w:ascii="Calibri" w:cs="Calibri" w:eastAsia="Calibri" w:hAnsi="Calibri"/>
                <w:b w:val="false"/>
                <w:bCs w:val="false"/>
                <w:i w:val="false"/>
                <w:iCs w:val="false"/>
                <w:color w:val="10161D"/>
                <w:sz w:val="20"/>
                <w:szCs w:val="20"/>
              </w:rPr>
              <w:t xml:space="preserve">rotate the token in GHL, review the location’s API audit log, then delete the dead block and the zips.</w:t>
            </w:r>
          </w:p>
          <w:p>
            <w:pPr>
              <w:spacing w:after="70" w:before="0" w:line="276"/>
            </w:pPr>
            <w:r>
              <w:rPr>
                <w:rFonts w:ascii="Consolas" w:cs="Consolas" w:eastAsia="Consolas" w:hAnsi="Consolas"/>
                <w:b w:val="false"/>
                <w:bCs w:val="false"/>
                <w:i w:val="false"/>
                <w:iCs w:val="false"/>
                <w:color w:val="55606C"/>
                <w:sz w:val="17"/>
                <w:szCs w:val="17"/>
              </w:rPr>
              <w:t xml:space="preserve">Evidence: index.html:798 · divorce:718 · foreclosure:723 · inherited:722 · distressed:728 · damage:723. Token confirmed in the live response body, not just the repo.</w:t>
            </w:r>
          </w:p>
        </w:tc>
      </w:tr>
    </w:tbl>
    <w:p>
      <w:pPr>
        <w:spacing w:after="100" w:before="0" w:line="276"/>
      </w:pPr>
      <w:r>
        <w:rPr>
          <w:rFonts w:ascii="Calibri" w:cs="Calibri" w:eastAsia="Calibri" w:hAnsi="Calibri"/>
          <w:b w:val="false"/>
          <w:bCs w:val="false"/>
          <w:i w:val="false"/>
          <w:iCs w:val="false"/>
          <w:color w:val="10161D"/>
          <w:sz w:val="21"/>
          <w:szCs w:val="21"/>
        </w:rPr>
        <w:t xml:space="preserve"/>
      </w:r>
    </w:p>
    <w:tbl>
      <w:tblPr>
        <w:tblW w:type="dxa" w:w="9360"/>
        <w:tblBorders>
          <w:top w:val="single" w:color="DBE1E8" w:sz="2"/>
          <w:left w:val="single" w:color="1C6B4C"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1C6B4C"/>
                <w:sz w:val="16"/>
                <w:szCs w:val="16"/>
              </w:rPr>
              <w:t xml:space="preserve">RESOLVED  </w:t>
            </w:r>
            <w:r>
              <w:rPr>
                <w:rFonts w:ascii="Calibri" w:cs="Calibri" w:eastAsia="Calibri" w:hAnsi="Calibri"/>
                <w:b/>
                <w:bCs/>
                <w:i w:val="false"/>
                <w:iCs w:val="false"/>
                <w:color w:val="10161D"/>
                <w:sz w:val="21"/>
                <w:szCs w:val="21"/>
              </w:rPr>
              <w:t xml:space="preserve">All 510 of Main’s landers self-canonicalise to a 404</w:t>
            </w:r>
          </w:p>
          <w:p>
            <w:pPr>
              <w:spacing w:after="70" w:before="0" w:line="276"/>
            </w:pPr>
            <w:r>
              <w:rPr>
                <w:rFonts w:ascii="Calibri" w:cs="Calibri" w:eastAsia="Calibri" w:hAnsi="Calibri"/>
                <w:b w:val="false"/>
                <w:bCs w:val="false"/>
                <w:i w:val="false"/>
                <w:iCs w:val="false"/>
                <w:color w:val="10161D"/>
                <w:sz w:val="20"/>
                <w:szCs w:val="20"/>
              </w:rPr>
              <w:t xml:space="preserve">As issued: SEOHead.tsx:31 built the canonical as /{market}/sell/{situation}. The actual route is /{situation}/{market}. There is no /sell/ segment and dynamicParams = false, so the URL every page nominated as its true self returned 404 — confirmed live at the time.</w:t>
            </w:r>
          </w:p>
          <w:p>
            <w:pPr>
              <w:spacing w:after="70" w:before="0" w:line="276"/>
            </w:pPr>
            <w:r>
              <w:rPr>
                <w:rFonts w:ascii="Calibri" w:cs="Calibri" w:eastAsia="Calibri" w:hAnsi="Calibri"/>
                <w:b/>
                <w:bCs/>
                <w:i w:val="false"/>
                <w:iCs w:val="false"/>
                <w:color w:val="1C6B4C"/>
                <w:sz w:val="20"/>
                <w:szCs w:val="20"/>
              </w:rPr>
              <w:t xml:space="preserve">RESOLVED, verified 26 Aug. </w:t>
            </w:r>
            <w:r>
              <w:rPr>
                <w:rFonts w:ascii="Calibri" w:cs="Calibri" w:eastAsia="Calibri" w:hAnsi="Calibri"/>
                <w:b w:val="false"/>
                <w:bCs w:val="false"/>
                <w:i w:val="false"/>
                <w:iCs w:val="false"/>
                <w:color w:val="10161D"/>
                <w:sz w:val="20"/>
                <w:szCs w:val="20"/>
              </w:rPr>
              <w:t xml:space="preserve">Fixed by moving the canonical out of SEOHead’s useEffect into generateMetadata, so Next renders it server-side. Verified in raw HTML on 8 landers: exactly one canonical per page, each matching its own URL. Query strings correctly canonicalise to the clean URL.</w:t>
            </w:r>
          </w:p>
          <w:p>
            <w:pPr>
              <w:spacing w:after="70" w:before="0" w:line="276"/>
            </w:pPr>
            <w:r>
              <w:rPr>
                <w:rFonts w:ascii="Calibri" w:cs="Calibri" w:eastAsia="Calibri" w:hAnsi="Calibri"/>
                <w:b/>
                <w:bCs/>
                <w:i w:val="false"/>
                <w:iCs w:val="false"/>
                <w:color w:val="10161D"/>
                <w:sz w:val="20"/>
                <w:szCs w:val="20"/>
              </w:rPr>
              <w:t xml:space="preserve">Two follow-ons this uncovered, both still open. </w:t>
            </w:r>
            <w:r>
              <w:rPr>
                <w:rFonts w:ascii="Calibri" w:cs="Calibri" w:eastAsia="Calibri" w:hAnsi="Calibri"/>
                <w:b w:val="false"/>
                <w:bCs w:val="false"/>
                <w:i w:val="false"/>
                <w:iCs w:val="false"/>
                <w:color w:val="10161D"/>
                <w:sz w:val="20"/>
                <w:szCs w:val="20"/>
              </w:rPr>
              <w:t xml:space="preserve">First, www.tarekbuyshouses.com serves HTTP 200 with robots: index, follow rather than redirecting, so every page exists at two indexable hostnames — and a site: query confirms www variants are already in the index. That is almost certainly downstream of this bug: while the canonical pointed at a 404, Google discarded it, leaving no consolidation signal. Fix is a Vercel domain toggle — set www to redirect to the apex. Second, roughly 40 pages still have no canonical at all, including the homepage and all 30 /markets/{slug} pages; the fix reached landers and /blog only.</w:t>
            </w:r>
          </w:p>
        </w:tc>
      </w:tr>
    </w:tbl>
    <w:p>
      <w:pPr>
        <w:spacing w:after="100" w:before="0" w:line="276"/>
      </w:pPr>
      <w:r>
        <w:rPr>
          <w:rFonts w:ascii="Calibri" w:cs="Calibri" w:eastAsia="Calibri" w:hAnsi="Calibri"/>
          <w:b w:val="false"/>
          <w:bCs w:val="false"/>
          <w:i w:val="false"/>
          <w:iCs w:val="false"/>
          <w:color w:val="10161D"/>
          <w:sz w:val="21"/>
          <w:szCs w:val="21"/>
        </w:rPr>
        <w:t xml:space="preserve"/>
      </w:r>
    </w:p>
    <w:tbl>
      <w:tblPr>
        <w:tblW w:type="dxa" w:w="9360"/>
        <w:tblBorders>
          <w:top w:val="single" w:color="DBE1E8" w:sz="2"/>
          <w:left w:val="single" w:color="9C5714"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9C5714"/>
                <w:sz w:val="16"/>
                <w:szCs w:val="16"/>
              </w:rPr>
              <w:t xml:space="preserve">HIGH  </w:t>
            </w:r>
            <w:r>
              <w:rPr>
                <w:rFonts w:ascii="Calibri" w:cs="Calibri" w:eastAsia="Calibri" w:hAnsi="Calibri"/>
                <w:b/>
                <w:bCs/>
                <w:i w:val="false"/>
                <w:iCs w:val="false"/>
                <w:color w:val="10161D"/>
                <w:sz w:val="21"/>
                <w:szCs w:val="21"/>
              </w:rPr>
              <w:t xml:space="preserve">Anyone can fire a paid conversion on Tampa by visiting a URL</w:t>
            </w:r>
          </w:p>
          <w:p>
            <w:pPr>
              <w:spacing w:after="70" w:before="0" w:line="276"/>
            </w:pPr>
            <w:r>
              <w:rPr>
                <w:rFonts w:ascii="Calibri" w:cs="Calibri" w:eastAsia="Calibri" w:hAnsi="Calibri"/>
                <w:b w:val="false"/>
                <w:bCs w:val="false"/>
                <w:i w:val="false"/>
                <w:iCs w:val="false"/>
                <w:color w:val="10161D"/>
                <w:sz w:val="20"/>
                <w:szCs w:val="20"/>
              </w:rPr>
              <w:t xml:space="preserve">thank-you/index.html fires a Google Ads conversion from a conversions map keyed on the source query parameter, gated only on submission=true. No token, no referrer check, no dedupe, no server validation.</w:t>
            </w:r>
          </w:p>
          <w:p>
            <w:pPr>
              <w:spacing w:after="70" w:before="0" w:line="276"/>
            </w:pPr>
            <w:r>
              <w:rPr>
                <w:rFonts w:ascii="Calibri" w:cs="Calibri" w:eastAsia="Calibri" w:hAnsi="Calibri"/>
                <w:b w:val="false"/>
                <w:bCs w:val="false"/>
                <w:i w:val="false"/>
                <w:iCs w:val="false"/>
                <w:color w:val="10161D"/>
                <w:sz w:val="20"/>
                <w:szCs w:val="20"/>
              </w:rPr>
              <w:t xml:space="preserve">I verified this by loading /thank-you/?submission=true&amp;source=divorce with no form submission behind it. Four Google conversion beacons fired carrying the divorce label. </w:t>
            </w:r>
            <w:r>
              <w:rPr>
                <w:rFonts w:ascii="Calibri" w:cs="Calibri" w:eastAsia="Calibri" w:hAnsi="Calibri"/>
                <w:b/>
                <w:bCs/>
                <w:i w:val="false"/>
                <w:iCs w:val="false"/>
                <w:color w:val="10161D"/>
                <w:sz w:val="20"/>
                <w:szCs w:val="20"/>
              </w:rPr>
              <w:t xml:space="preserve">That one test conversion is now in your Tampa Ads account for 24 Aug — exclude it from any analysis of that day.</w:t>
            </w:r>
          </w:p>
        </w:tc>
      </w:tr>
    </w:tbl>
    <w:p>
      <w:pPr>
        <w:pStyle w:val="Heading1"/>
        <w:spacing w:after="140" w:before="360"/>
      </w:pPr>
      <w:r>
        <w:t xml:space="preserve">01 · Corrections to the record</w:t>
      </w:r>
    </w:p>
    <w:p>
      <w:pPr>
        <w:spacing w:after="120" w:before="60" w:line="276"/>
      </w:pPr>
      <w:r>
        <w:rPr>
          <w:rFonts w:ascii="Calibri" w:cs="Calibri" w:eastAsia="Calibri" w:hAnsi="Calibri"/>
          <w:b w:val="false"/>
          <w:bCs w:val="false"/>
          <w:i w:val="false"/>
          <w:iCs w:val="false"/>
          <w:color w:val="10161D"/>
          <w:sz w:val="21"/>
          <w:szCs w:val="21"/>
        </w:rPr>
        <w:t xml:space="preserve">Six things in the established comparison do not survive contact with production. Two of them change the conclusion.</w:t>
      </w:r>
    </w:p>
    <w:tbl>
      <w:tblPr>
        <w:tblW w:type="dxa" w:w="9360"/>
        <w:tblBorders>
          <w:top w:val="single" w:color="DBE1E8" w:sz="2"/>
          <w:left w:val="single" w:color="1C6B4C"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1C6B4C"/>
                <w:sz w:val="16"/>
                <w:szCs w:val="16"/>
              </w:rPr>
              <w:t xml:space="preserve">RETRACTED  </w:t>
            </w:r>
            <w:r>
              <w:rPr>
                <w:rFonts w:ascii="Calibri" w:cs="Calibri" w:eastAsia="Calibri" w:hAnsi="Calibri"/>
                <w:b/>
                <w:bCs/>
                <w:i w:val="false"/>
                <w:iCs w:val="false"/>
                <w:color w:val="10161D"/>
                <w:sz w:val="21"/>
                <w:szCs w:val="21"/>
              </w:rPr>
              <w:t xml:space="preserve">“Performance parity” is not supported — Tampa is materially faster</w:t>
            </w:r>
          </w:p>
          <w:p>
            <w:pPr>
              <w:spacing w:after="70" w:before="0" w:line="276"/>
            </w:pPr>
            <w:r>
              <w:rPr>
                <w:rFonts w:ascii="Calibri" w:cs="Calibri" w:eastAsia="Calibri" w:hAnsi="Calibri"/>
                <w:b w:val="false"/>
                <w:bCs w:val="false"/>
                <w:i w:val="false"/>
                <w:iCs w:val="false"/>
                <w:color w:val="10161D"/>
                <w:sz w:val="20"/>
                <w:szCs w:val="20"/>
              </w:rPr>
              <w:t xml:space="preserve">My original wording. It was wrong, and the audit’s first verdict — parity — was right.</w:t>
            </w:r>
          </w:p>
          <w:p>
            <w:pPr>
              <w:spacing w:after="70" w:before="0" w:line="276"/>
            </w:pPr>
            <w:r>
              <w:rPr>
                <w:rFonts w:ascii="Calibri" w:cs="Calibri" w:eastAsia="Calibri" w:hAnsi="Calibri"/>
                <w:b/>
                <w:bCs/>
                <w:i w:val="false"/>
                <w:iCs w:val="false"/>
                <w:color w:val="10161D"/>
                <w:sz w:val="20"/>
                <w:szCs w:val="20"/>
              </w:rPr>
              <w:t xml:space="preserve">Lighthouse: Main 93, Tampa 97. </w:t>
            </w:r>
            <w:r>
              <w:rPr>
                <w:rFonts w:ascii="Calibri" w:cs="Calibri" w:eastAsia="Calibri" w:hAnsi="Calibri"/>
                <w:b w:val="false"/>
                <w:bCs w:val="false"/>
                <w:i w:val="false"/>
                <w:iCs w:val="false"/>
                <w:color w:val="10161D"/>
                <w:sz w:val="20"/>
                <w:szCs w:val="20"/>
              </w:rPr>
              <w:t xml:space="preserve">That is parity. I reasoned from total transfer bytes and domComplete and inferred “slower” — but neither is what a user perceives, and neither is what Next.js and Vercel are optimising. Code-splitting, edge delivery and priority image loading get the paint done before most of that JavaScript is parsed. The byte and JS counts in Dimension 4 are accurate facts about the build; my inference from them to user-facing speed was not.</w:t>
            </w:r>
          </w:p>
          <w:p>
            <w:pPr>
              <w:spacing w:after="70" w:before="0" w:line="276"/>
            </w:pPr>
            <w:r>
              <w:rPr>
                <w:rFonts w:ascii="Calibri" w:cs="Calibri" w:eastAsia="Calibri" w:hAnsi="Calibri"/>
                <w:b w:val="false"/>
                <w:bCs w:val="false"/>
                <w:i w:val="false"/>
                <w:iCs w:val="false"/>
                <w:color w:val="10161D"/>
                <w:sz w:val="20"/>
                <w:szCs w:val="20"/>
              </w:rPr>
              <w:t xml:space="preserve">The stronger reading is the opposite of mine: Tampa’s 97 is a score for a page that outsources its hardest job — 47% of its bytes are third-party and the entire conversion mechanism is a black-box widget loaded three times. Main’s 93 covers its own forms, validation, CRM sync, admin and reCAPTCHA. Per unit of work the page actually owns, Main’s 93 is the better number.</w:t>
            </w:r>
          </w:p>
        </w:tc>
      </w:tr>
    </w:tbl>
    <w:p>
      <w:pPr>
        <w:spacing w:after="100" w:before="0" w:line="276"/>
      </w:pPr>
      <w:r>
        <w:rPr>
          <w:rFonts w:ascii="Calibri" w:cs="Calibri" w:eastAsia="Calibri" w:hAnsi="Calibri"/>
          <w:b w:val="false"/>
          <w:bCs w:val="false"/>
          <w:i w:val="false"/>
          <w:iCs w:val="false"/>
          <w:color w:val="10161D"/>
          <w:sz w:val="21"/>
          <w:szCs w:val="21"/>
        </w:rPr>
        <w:t xml:space="preserve"/>
      </w:r>
    </w:p>
    <w:tbl>
      <w:tblPr>
        <w:tblW w:type="dxa" w:w="9360"/>
        <w:tblBorders>
          <w:top w:val="single" w:color="DBE1E8" w:sz="2"/>
          <w:left w:val="single" w:color="1C6B4C"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1C6B4C"/>
                <w:sz w:val="16"/>
                <w:szCs w:val="16"/>
              </w:rPr>
              <w:t xml:space="preserve">RESOLVED  </w:t>
            </w:r>
            <w:r>
              <w:rPr>
                <w:rFonts w:ascii="Calibri" w:cs="Calibri" w:eastAsia="Calibri" w:hAnsi="Calibri"/>
                <w:b/>
                <w:bCs/>
                <w:i w:val="false"/>
                <w:iCs w:val="false"/>
                <w:color w:val="10161D"/>
                <w:sz w:val="21"/>
                <w:szCs w:val="21"/>
              </w:rPr>
              <w:t xml:space="preserve">The AI-generated per-page copy never reaches a crawler</w:t>
            </w:r>
          </w:p>
          <w:p>
            <w:pPr>
              <w:spacing w:after="70" w:before="0" w:line="276"/>
            </w:pPr>
            <w:r>
              <w:rPr>
                <w:rFonts w:ascii="Calibri" w:cs="Calibri" w:eastAsia="Calibri" w:hAnsi="Calibri"/>
                <w:b w:val="false"/>
                <w:bCs w:val="false"/>
                <w:i w:val="false"/>
                <w:iCs w:val="false"/>
                <w:color w:val="10161D"/>
                <w:sz w:val="20"/>
                <w:szCs w:val="20"/>
              </w:rPr>
              <w:t xml:space="preserve">As issued: generateMetadata read from situations.ts while generated_content was fetched client-side after hydration, so the server HTML carried only the static per-situation fallback — and the server &lt;title&gt; contained no market name on any of the five situations tested.</w:t>
            </w:r>
          </w:p>
          <w:p>
            <w:pPr>
              <w:spacing w:after="70" w:before="0" w:line="276"/>
            </w:pPr>
            <w:r>
              <w:rPr>
                <w:rFonts w:ascii="Calibri" w:cs="Calibri" w:eastAsia="Calibri" w:hAnsi="Calibri"/>
                <w:b/>
                <w:bCs/>
                <w:i w:val="false"/>
                <w:iCs w:val="false"/>
                <w:color w:val="1C6B4C"/>
                <w:sz w:val="20"/>
                <w:szCs w:val="20"/>
              </w:rPr>
              <w:t xml:space="preserve">RESOLVED, verified 26 Aug. </w:t>
            </w:r>
            <w:r>
              <w:rPr>
                <w:rFonts w:ascii="Calibri" w:cs="Calibri" w:eastAsia="Calibri" w:hAnsi="Calibri"/>
                <w:b w:val="false"/>
                <w:bCs w:val="false"/>
                <w:i w:val="false"/>
                <w:iCs w:val="false"/>
                <w:color w:val="10161D"/>
                <w:sz w:val="20"/>
                <w:szCs w:val="20"/>
              </w:rPr>
              <w:t xml:space="preserve">Fixed in two passes. A server-side fetcher (lib/content/server.ts, wrapped in React.cache()) now supplies generated_content to both generateMetadata and the page component, and the AI content is baked into the SSR HTML. Title construction was then rebuilt to substitute {market}, dedupe the market token, strip a duplicate state, and let the root layout own the brand suffix.</w:t>
            </w:r>
          </w:p>
          <w:p>
            <w:pPr>
              <w:spacing w:after="70" w:before="0" w:line="276"/>
            </w:pPr>
            <w:r>
              <w:rPr>
                <w:rFonts w:ascii="Calibri" w:cs="Calibri" w:eastAsia="Calibri" w:hAnsi="Calibri"/>
                <w:b w:val="false"/>
                <w:bCs w:val="false"/>
                <w:i w:val="false"/>
                <w:iCs w:val="false"/>
                <w:color w:val="10161D"/>
                <w:sz w:val="20"/>
                <w:szCs w:val="20"/>
              </w:rPr>
              <w:t xml:space="preserve">Verified in raw server HTML on 8 landers. Titles are now market-unique, 59–75 characters, with brand, state and market appearing exactly once and no placeholder leakage. Descriptions likewise. og:title and twitter:title carry the brand, and the DOM title now matches the server title exactly — so DevTools and a crawler finally see the same thing.</w:t>
            </w:r>
          </w:p>
          <w:p>
            <w:pPr>
              <w:spacing w:after="70" w:before="0" w:line="276"/>
            </w:pPr>
            <w:r>
              <w:rPr>
                <w:rFonts w:ascii="Calibri" w:cs="Calibri" w:eastAsia="Calibri" w:hAnsi="Calibri"/>
                <w:b/>
                <w:bCs/>
                <w:i w:val="false"/>
                <w:iCs w:val="false"/>
                <w:color w:val="10161D"/>
                <w:sz w:val="20"/>
                <w:szCs w:val="20"/>
              </w:rPr>
              <w:t xml:space="preserve">One correction to my own framing: </w:t>
            </w:r>
            <w:r>
              <w:rPr>
                <w:rFonts w:ascii="Calibri" w:cs="Calibri" w:eastAsia="Calibri" w:hAnsi="Calibri"/>
                <w:b w:val="false"/>
                <w:bCs w:val="false"/>
                <w:i w:val="false"/>
                <w:iCs w:val="false"/>
                <w:color w:val="10161D"/>
                <w:sz w:val="20"/>
                <w:szCs w:val="20"/>
              </w:rPr>
              <w:t xml:space="preserve">I wrote “never reaches a crawler,” which overstated it. Googlebot renders JavaScript, so on its render pass it did see the market-specific titles. The accurate charge was narrower — the initial HTML had ~17 distinct titles while the rendered DOM had 510, which cost non-rendering consumers (Bing, social scrapers, LLM crawlers) and made Google’s pickup dependent on a budget-limited second pass. Moot either way now.</w:t>
            </w:r>
          </w:p>
        </w:tc>
      </w:tr>
    </w:tbl>
    <w:p>
      <w:pPr>
        <w:spacing w:after="100" w:before="0" w:line="276"/>
      </w:pPr>
      <w:r>
        <w:rPr>
          <w:rFonts w:ascii="Calibri" w:cs="Calibri" w:eastAsia="Calibri" w:hAnsi="Calibri"/>
          <w:b w:val="false"/>
          <w:bCs w:val="false"/>
          <w:i w:val="false"/>
          <w:iCs w:val="false"/>
          <w:color w:val="10161D"/>
          <w:sz w:val="21"/>
          <w:szCs w:val="21"/>
        </w:rPr>
        <w:t xml:space="preserve"/>
      </w:r>
    </w:p>
    <w:tbl>
      <w:tblPr>
        <w:tblW w:type="dxa" w:w="9360"/>
        <w:tblBorders>
          <w:top w:val="single" w:color="C2CBD5" w:sz="4"/>
          <w:left w:val="single" w:color="C2CBD5" w:sz="4"/>
          <w:bottom w:val="single" w:color="C2CBD5" w:sz="4"/>
          <w:right w:val="single" w:color="C2CBD5" w:sz="4"/>
          <w:insideH w:val="single" w:color="DBE1E8" w:sz="2"/>
          <w:insideV w:val="single" w:color="DBE1E8" w:sz="2"/>
        </w:tblBorders>
      </w:tblPr>
      <w:tblGrid>
        <w:gridCol w:w="3100"/>
        <w:gridCol w:w="6260"/>
      </w:tblGrid>
      <w:tr>
        <w:trPr>
          <w:tblHeader/>
        </w:trPr>
        <w:tc>
          <w:tcPr>
            <w:tcW w:type="dxa" w:w="310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On the record</w:t>
            </w:r>
          </w:p>
        </w:tc>
        <w:tc>
          <w:tcPr>
            <w:tcW w:type="dxa" w:w="626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What production says</w:t>
            </w:r>
          </w:p>
        </w:tc>
      </w:tr>
      <w:tr>
        <w:tc>
          <w:tcPr>
            <w:tcW w:type="dxa" w:w="31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 is hosted on Vercel; netlify.toml is dead config</w:t>
            </w:r>
          </w:p>
        </w:tc>
        <w:tc>
          <w:tcPr>
            <w:tcW w:type="dxa" w:w="62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Live response header reads server: Netlify. The netlify.toml IS the operative config — which means its headers = [] is why the site has no CSP, no X-Frame-Options and no Referrer-Policy. Not cosmetic clutter; it is the live security posture.</w:t>
            </w:r>
          </w:p>
        </w:tc>
      </w:tr>
      <w:tr>
        <w:tc>
          <w:tcPr>
            <w:tcW w:type="dxa" w:w="31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~17 situations × 43 markets = 731 pages</w:t>
            </w:r>
          </w:p>
        </w:tc>
        <w:tc>
          <w:tcPr>
            <w:tcW w:type="dxa" w:w="62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SITUATIONS has 17 keys, MARKETS has 30. The matrix is 510 pages. No support anywhere for 43 or 731.</w:t>
            </w:r>
          </w:p>
        </w:tc>
      </w:tr>
      <w:tr>
        <w:tc>
          <w:tcPr>
            <w:tcW w:type="dxa" w:w="31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Main’s media logos and show posters are still broken on CloudFront / Manus</w:t>
            </w:r>
          </w:p>
        </w:tc>
        <w:tc>
          <w:tcPr>
            <w:tcW w:type="dxa" w:w="62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False on production. Live pages serve /images/*.webp and /show-*.webp locally; zero broken images on the homepage or a lander. Your local origin/main ref was last fetched 19 Aug and is behind what is deployed.</w:t>
            </w:r>
          </w:p>
        </w:tc>
      </w:tr>
      <w:tr>
        <w:tc>
          <w:tcPr>
            <w:tcW w:type="dxa" w:w="31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Main’s attribution_clicks pipeline means click attribution is fully dead</w:t>
            </w:r>
          </w:p>
        </w:tc>
        <w:tc>
          <w:tcPr>
            <w:tcW w:type="dxa" w:w="62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Partly wrong in Main’s favour. GHL contains live contacts tagged gtm-click with synthetic addresses like click-20260824211825@gtm.tbh.com, created today. A working GTM→GHL click pipeline exists entirely outside the repository. It just never closes the loop back to Ads.</w:t>
            </w:r>
          </w:p>
        </w:tc>
      </w:tr>
    </w:tbl>
    <w:p>
      <w:pPr>
        <w:pStyle w:val="Heading1"/>
        <w:spacing w:after="140" w:before="360"/>
      </w:pPr>
      <w:r>
        <w:t xml:space="preserve">02 · The scoreboard</w:t>
      </w:r>
    </w:p>
    <w:p>
      <w:pPr>
        <w:spacing w:after="120" w:before="60" w:line="276"/>
      </w:pPr>
      <w:r>
        <w:rPr>
          <w:rFonts w:ascii="Calibri" w:cs="Calibri" w:eastAsia="Calibri" w:hAnsi="Calibri"/>
          <w:b/>
          <w:bCs/>
          <w:i w:val="false"/>
          <w:iCs w:val="false"/>
          <w:color w:val="10161D"/>
          <w:sz w:val="21"/>
          <w:szCs w:val="21"/>
        </w:rPr>
        <w:t xml:space="preserve">Revised 26 August. </w:t>
      </w:r>
      <w:r>
        <w:rPr>
          <w:rFonts w:ascii="Calibri" w:cs="Calibri" w:eastAsia="Calibri" w:hAnsi="Calibri"/>
          <w:b w:val="false"/>
          <w:bCs w:val="false"/>
          <w:i w:val="false"/>
          <w:iCs w:val="false"/>
          <w:color w:val="10161D"/>
          <w:sz w:val="21"/>
          <w:szCs w:val="21"/>
        </w:rPr>
        <w:t xml:space="preserve">Nine dimensions. Main takes six; three resolve to a draw or are not decidable. Tampa no longer wins any outright — its one win, performance, is now parity, and its remaining strengths are real but narrow: a one-field entry, a persistent call/SMS affordance, and a lean page. Those are design choices worth carrying forward, not verdicts.</w:t>
      </w:r>
    </w:p>
    <w:tbl>
      <w:tblPr>
        <w:tblW w:type="dxa" w:w="9360"/>
        <w:tblBorders>
          <w:top w:val="single" w:color="C2CBD5" w:sz="4"/>
          <w:left w:val="single" w:color="C2CBD5" w:sz="4"/>
          <w:bottom w:val="single" w:color="C2CBD5" w:sz="4"/>
          <w:right w:val="single" w:color="C2CBD5" w:sz="4"/>
          <w:insideH w:val="single" w:color="DBE1E8" w:sz="2"/>
          <w:insideV w:val="single" w:color="DBE1E8" w:sz="2"/>
        </w:tblBorders>
      </w:tblPr>
      <w:tblGrid>
        <w:gridCol w:w="2500"/>
        <w:gridCol w:w="1250"/>
        <w:gridCol w:w="5610"/>
      </w:tblGrid>
      <w:tr>
        <w:trPr>
          <w:tblHeader/>
        </w:trPr>
        <w:tc>
          <w:tcPr>
            <w:tcW w:type="dxa" w:w="250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Dimension</w:t>
            </w:r>
          </w:p>
        </w:tc>
        <w:tc>
          <w:tcPr>
            <w:tcW w:type="dxa" w:w="125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Verdict</w:t>
            </w:r>
          </w:p>
        </w:tc>
        <w:tc>
          <w:tcPr>
            <w:tcW w:type="dxa" w:w="561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The deciding evidence</w:t>
            </w:r>
          </w:p>
        </w:tc>
      </w:tr>
      <w:tr>
        <w:tc>
          <w:tcPr>
            <w:tcW w:type="dxa" w:w="25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1 · Conversion path &amp; CTA</w:t>
            </w:r>
          </w:p>
        </w:tc>
        <w:tc>
          <w:tcPr>
            <w:tcW w:type="dxa" w:w="125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Split</w:t>
            </w:r>
          </w:p>
        </w:tc>
        <w:tc>
          <w:tcPr>
            <w:tcW w:type="dxa" w:w="561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Revised 26 Aug. Tampa’s entry is one field; Main’s is Places-gated — lower friction, but it forgoes qualification, and neither site has step-level data to settle which wins. Main’s lander carries 4 forms to Tampa’s 2 and far more mid-page reasons to convert. Both leave a 7-section CTA desert mid-page ON DESKTOP; mobile is covered on both by a sticky bar, except Tampa at 640–1023px. Main’s header carries no CTA and no phone at any breakpoint.</w:t>
            </w:r>
          </w:p>
        </w:tc>
      </w:tr>
      <w:tr>
        <w:tc>
          <w:tcPr>
            <w:tcW w:type="dxa" w:w="25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2 · Forms &amp; lead capture</w:t>
            </w:r>
          </w:p>
        </w:tc>
        <w:tc>
          <w:tcPr>
            <w:tcW w:type="dxa" w:w="125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561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Revised 26 Aug. Main’s controls are visible and auditable: first-party table, rate limit, captcha, idempotency, dedupe, error-recovery UI. Tampa’s are UNOBSERVABLE — Goliath may or may not have equivalents, and neither we nor you can confirm it. That unauditability is the finding, not an assumed absence. What is confirmed: no fallback if Goliath fails to load.</w:t>
            </w:r>
          </w:p>
        </w:tc>
      </w:tr>
      <w:tr>
        <w:tc>
          <w:tcPr>
            <w:tcW w:type="dxa" w:w="25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3 · Mobile</w:t>
            </w:r>
          </w:p>
        </w:tc>
        <w:tc>
          <w:tcPr>
            <w:tcW w:type="dxa" w:w="125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561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Real Tailwind breakpoints vs a CSS build frozen three weeks behind its HTML. Both have one bad mobile defect.</w:t>
            </w:r>
          </w:p>
        </w:tc>
      </w:tr>
      <w:tr>
        <w:tc>
          <w:tcPr>
            <w:tcW w:type="dxa" w:w="25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4 · Performance</w:t>
            </w:r>
          </w:p>
        </w:tc>
        <w:tc>
          <w:tcPr>
            <w:tcW w:type="dxa" w:w="125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Parity (rev.)</w:t>
            </w:r>
          </w:p>
        </w:tc>
        <w:tc>
          <w:tcPr>
            <w:tcW w:type="dxa" w:w="561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Revised 26 Aug. Lighthouse 93 vs 97 — effectively level. Main carries 8.7× the JavaScript but code-splitting and edge delivery absorb it. Tampa’s lead is borrowed from third parties.</w:t>
            </w:r>
          </w:p>
        </w:tc>
      </w:tr>
      <w:tr>
        <w:tc>
          <w:tcPr>
            <w:tcW w:type="dxa" w:w="25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5 · Messaging &amp; offer</w:t>
            </w:r>
          </w:p>
        </w:tc>
        <w:tc>
          <w:tcPr>
            <w:tcW w:type="dxa" w:w="125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561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17 genuinely distinct situation narratives and a worked ARV example. Tampa ships the probate FAQ on all six pages.</w:t>
            </w:r>
          </w:p>
        </w:tc>
      </w:tr>
      <w:tr>
        <w:tc>
          <w:tcPr>
            <w:tcW w:type="dxa" w:w="25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6 · Trust &amp; social proof</w:t>
            </w:r>
          </w:p>
        </w:tc>
        <w:tc>
          <w:tcPr>
            <w:tcW w:type="dxa" w:w="125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561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Far better infrastructure — currently rendering to zero pixels. Production shows no testimonials at all; the testing/staging build already shows them correctly. The recommendation is to promote what staging renders to production — see Dimension 6 for the merge order that makes it a clean release.</w:t>
            </w:r>
          </w:p>
        </w:tc>
      </w:tr>
      <w:tr>
        <w:tc>
          <w:tcPr>
            <w:tcW w:type="dxa" w:w="25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7 · SEO &amp; local SEO</w:t>
            </w:r>
          </w:p>
        </w:tc>
        <w:tc>
          <w:tcPr>
            <w:tcW w:type="dxa" w:w="125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 (rev.)</w:t>
            </w:r>
          </w:p>
        </w:tc>
        <w:tc>
          <w:tcPr>
            <w:tcW w:type="dxa" w:w="561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Revised 26 Aug. Canonical and server metadata now fixed on Main, which flips this dimension. Still open on Main: JSON-LD client-only, www duplicate host, ~40 pages with no canonical. Tampa unchanged — orphan landers and an indexable _archive/.</w:t>
            </w:r>
          </w:p>
        </w:tc>
      </w:tr>
      <w:tr>
        <w:tc>
          <w:tcPr>
            <w:tcW w:type="dxa" w:w="25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8 · Tracking</w:t>
            </w:r>
          </w:p>
        </w:tc>
        <w:tc>
          <w:tcPr>
            <w:tcW w:type="dxa" w:w="125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 (rev.)</w:t>
            </w:r>
          </w:p>
        </w:tc>
        <w:tc>
          <w:tcPr>
            <w:tcW w:type="dxa" w:w="561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Revised 26 Aug. Main’s lead tracking WORKS and reconciles exactly — 77 Ads conversions = 77 form submissions. Its issues are leaks, not breaks: no attribution persistence, a dead analytics.ts layer, offline-conversion loop never closed. Tampa’s are integrity failures: a conversion firing from a URL with no submission, GA4 blind on the conversion page, 10 of 19 actions misconfigured.</w:t>
            </w:r>
          </w:p>
        </w:tc>
      </w:tr>
      <w:tr>
        <w:tc>
          <w:tcPr>
            <w:tcW w:type="dxa" w:w="25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9 · What performs</w:t>
            </w:r>
          </w:p>
        </w:tc>
        <w:tc>
          <w:tcPr>
            <w:tcW w:type="dxa" w:w="125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Not comparable</w:t>
            </w:r>
          </w:p>
        </w:tc>
        <w:tc>
          <w:tcPr>
            <w:tcW w:type="dxa" w:w="561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Revised 26 Aug — CPA verdict withdrawn. The two accounts count different things, so their dashboards cannot be compared: Tampa counts click-to-call and SMS taps as conversions (42 of 62), Main classes them Secondary and excludes them. Fixing the counting is the finding; ranking the sites on it is not supportable while Tampa’s form is also failing.</w:t>
            </w:r>
          </w:p>
        </w:tc>
      </w:tr>
    </w:tbl>
    <w:p>
      <w:r>
        <w:br w:type="page"/>
      </w:r>
    </w:p>
    <w:p>
      <w:pPr>
        <w:pStyle w:val="Heading1"/>
        <w:spacing w:after="140" w:before="360"/>
      </w:pPr>
      <w:r>
        <w:t xml:space="preserve">1 · Conversion path &amp; CTA placement</w:t>
      </w:r>
    </w:p>
    <w:p>
      <w:pPr>
        <w:spacing w:after="120" w:before="60" w:line="276"/>
      </w:pPr>
      <w:r>
        <w:rPr>
          <w:rFonts w:ascii="Calibri" w:cs="Calibri" w:eastAsia="Calibri" w:hAnsi="Calibri"/>
          <w:b/>
          <w:bCs/>
          <w:i w:val="false"/>
          <w:iCs w:val="false"/>
          <w:color w:val="10161D"/>
          <w:sz w:val="21"/>
          <w:szCs w:val="21"/>
        </w:rPr>
        <w:t xml:space="preserve">Verdict: Split. Revised 26 August. </w:t>
      </w:r>
      <w:r>
        <w:rPr>
          <w:rFonts w:ascii="Calibri" w:cs="Calibri" w:eastAsia="Calibri" w:hAnsi="Calibri"/>
          <w:b w:val="false"/>
          <w:bCs w:val="false"/>
          <w:i w:val="false"/>
          <w:iCs w:val="false"/>
          <w:color w:val="10161D"/>
          <w:sz w:val="21"/>
          <w:szCs w:val="21"/>
        </w:rPr>
        <w:t xml:space="preserve">Tampa’s entry is structurally lower-friction — one field versus a Places-gated field — though that trade-off buys volume at the expense of qualification, and neither site has step-level data to settle it. Main’s lander offers more reasons and more opportunities to convert deeper. Both leave the middle of the page without a CTA on desktop.</w:t>
      </w:r>
    </w:p>
    <w:tbl>
      <w:tblPr>
        <w:tblW w:type="dxa" w:w="9360"/>
        <w:tblBorders>
          <w:top w:val="single" w:color="DBE1E8" w:sz="2"/>
          <w:left w:val="single" w:color="0F6E7C"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0F6E7C"/>
                <w:sz w:val="16"/>
                <w:szCs w:val="16"/>
              </w:rPr>
              <w:t xml:space="preserve">SCOPE  </w:t>
            </w:r>
            <w:r>
              <w:rPr>
                <w:rFonts w:ascii="Calibri" w:cs="Calibri" w:eastAsia="Calibri" w:hAnsi="Calibri"/>
                <w:b/>
                <w:bCs/>
                <w:i w:val="false"/>
                <w:iCs w:val="false"/>
                <w:color w:val="10161D"/>
                <w:sz w:val="21"/>
                <w:szCs w:val="21"/>
              </w:rPr>
              <w:t xml:space="preserve">What this verdict rests on, and what it does not</w:t>
            </w:r>
          </w:p>
          <w:p>
            <w:pPr>
              <w:spacing w:after="70" w:before="0" w:line="276"/>
            </w:pPr>
            <w:r>
              <w:rPr>
                <w:rFonts w:ascii="Calibri" w:cs="Calibri" w:eastAsia="Calibri" w:hAnsi="Calibri"/>
                <w:b/>
                <w:bCs/>
                <w:i w:val="false"/>
                <w:iCs w:val="false"/>
                <w:color w:val="10161D"/>
                <w:sz w:val="20"/>
                <w:szCs w:val="20"/>
              </w:rPr>
              <w:t xml:space="preserve">Evidenced: </w:t>
            </w:r>
            <w:r>
              <w:rPr>
                <w:rFonts w:ascii="Calibri" w:cs="Calibri" w:eastAsia="Calibri" w:hAnsi="Calibri"/>
                <w:b w:val="false"/>
                <w:bCs w:val="false"/>
                <w:i w:val="false"/>
                <w:iCs w:val="false"/>
                <w:color w:val="10161D"/>
                <w:sz w:val="20"/>
                <w:szCs w:val="20"/>
              </w:rPr>
              <w:t xml:space="preserve">field counts and gating behaviour at step 1, CTA position in document order on both sites, section counts, and form counts — all read from source and confirmed live.</w:t>
            </w:r>
          </w:p>
          <w:p>
            <w:pPr>
              <w:spacing w:after="70" w:before="0" w:line="276"/>
            </w:pPr>
            <w:r>
              <w:rPr>
                <w:rFonts w:ascii="Calibri" w:cs="Calibri" w:eastAsia="Calibri" w:hAnsi="Calibri"/>
                <w:b/>
                <w:bCs/>
                <w:i w:val="false"/>
                <w:iCs w:val="false"/>
                <w:color w:val="10161D"/>
                <w:sz w:val="20"/>
                <w:szCs w:val="20"/>
              </w:rPr>
              <w:t xml:space="preserve">Not evidenced: </w:t>
            </w:r>
            <w:r>
              <w:rPr>
                <w:rFonts w:ascii="Calibri" w:cs="Calibri" w:eastAsia="Calibri" w:hAnsi="Calibri"/>
                <w:b w:val="false"/>
                <w:bCs w:val="false"/>
                <w:i w:val="false"/>
                <w:iCs w:val="false"/>
                <w:color w:val="10161D"/>
                <w:sz w:val="20"/>
                <w:szCs w:val="20"/>
              </w:rPr>
              <w:t xml:space="preserve">step-level completion rates or dwell time on either site. There is no GA4 for Tampa and no scroll-depth or time-on-page data for either, so “lower friction” here is a statement about construction, not about measured behaviour. Treat the entry-friction comparison as a hypothesis worth testing, not a result.</w:t>
            </w:r>
          </w:p>
          <w:p>
            <w:pPr>
              <w:spacing w:after="70" w:before="0" w:line="276"/>
            </w:pPr>
            <w:r>
              <w:rPr>
                <w:rFonts w:ascii="Calibri" w:cs="Calibri" w:eastAsia="Calibri" w:hAnsi="Calibri"/>
                <w:b/>
                <w:bCs/>
                <w:i w:val="false"/>
                <w:iCs w:val="false"/>
                <w:color w:val="10161D"/>
                <w:sz w:val="20"/>
                <w:szCs w:val="20"/>
              </w:rPr>
              <w:t xml:space="preserve">The trade-off I would flag rather than resolve: </w:t>
            </w:r>
            <w:r>
              <w:rPr>
                <w:rFonts w:ascii="Calibri" w:cs="Calibri" w:eastAsia="Calibri" w:hAnsi="Calibri"/>
                <w:b w:val="false"/>
                <w:bCs w:val="false"/>
                <w:i w:val="false"/>
                <w:iCs w:val="false"/>
                <w:color w:val="10161D"/>
                <w:sz w:val="20"/>
                <w:szCs w:val="20"/>
              </w:rPr>
              <w:t xml:space="preserve">fewer fields is not automatically better. Main’s three steps collect timeline, agent status and property age — that is a qualification instrument, and it is doing work Tampa’s single field does not. A one-field form produces more leads at lower average quality. Which is preferable depends on whether your constraint is lead volume or follow-up capacity, and that is your call, not the audit’s.</w:t>
            </w:r>
          </w:p>
        </w:tc>
      </w:tr>
    </w:tbl>
    <w:p>
      <w:pPr>
        <w:pStyle w:val="Heading3"/>
        <w:spacing w:after="90" w:before="220"/>
      </w:pPr>
      <w:r>
        <w:t xml:space="preserve">Main</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One form, above the fold, three steps with a visible 1–2–3 progress indicator. No second form anywhere on the homepage — the bottom CTA is phone-only.</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No sticky mobile CTA, no exit-intent and no consent banner on the homepage; all four are lander-only.</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No phone number in the header, and the desktop nav is className="hidden" with no responsive modifier, so it never displays at any breakpoint. The whole site navigates by hamburger on desktop. A "Get Cash Offer" button at Header.tsx:188 sits inside a second dead hidden wrapper.</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Total visible body copy on the homepage: 3,249 characters.</w:t>
      </w:r>
    </w:p>
    <w:p>
      <w:pPr>
        <w:pStyle w:val="Heading3"/>
        <w:spacing w:after="90" w:before="220"/>
      </w:pPr>
      <w:r>
        <w:t xml:space="preserve">Tampa</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One field to start: "Enter your property address" then "Get My Cash Offer". Materially lower entry friction than Main.</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Sticky header with a live tel: number on every page, plus a 50/50 Text/Call bar fixed to the bottom on mobile.</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Two visible forms per page — hero and final CTA — plus a third that loads inside a display:none container.</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Gap: the sticky bar is sm:hidden (hides at 640px) but the mobile layout runs to 1023px. Tablets and large phones in landscape get the mobile layout with no sticky CTA.</w:t>
      </w:r>
    </w:p>
    <w:p>
      <w:pPr>
        <w:spacing w:after="100" w:before="0" w:line="276"/>
      </w:pPr>
      <w:r>
        <w:rPr>
          <w:rFonts w:ascii="Calibri" w:cs="Calibri" w:eastAsia="Calibri" w:hAnsi="Calibri"/>
          <w:b w:val="false"/>
          <w:bCs w:val="false"/>
          <w:i w:val="false"/>
          <w:iCs w:val="false"/>
          <w:color w:val="10161D"/>
          <w:sz w:val="21"/>
          <w:szCs w:val="21"/>
        </w:rPr>
        <w:t xml:space="preserve"/>
      </w:r>
    </w:p>
    <w:tbl>
      <w:tblPr>
        <w:tblW w:type="dxa" w:w="9360"/>
        <w:tblBorders>
          <w:top w:val="single" w:color="DBE1E8" w:sz="2"/>
          <w:left w:val="single" w:color="9C5714"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9C5714"/>
                <w:sz w:val="16"/>
                <w:szCs w:val="16"/>
              </w:rPr>
              <w:t xml:space="preserve">HIGH  </w:t>
            </w:r>
            <w:r>
              <w:rPr>
                <w:rFonts w:ascii="Calibri" w:cs="Calibri" w:eastAsia="Calibri" w:hAnsi="Calibri"/>
                <w:b/>
                <w:bCs/>
                <w:i w:val="false"/>
                <w:iCs w:val="false"/>
                <w:color w:val="10161D"/>
                <w:sz w:val="21"/>
                <w:szCs w:val="21"/>
              </w:rPr>
              <w:t xml:space="preserve">Both sites have the same structural hole — on desktop</w:t>
            </w:r>
          </w:p>
          <w:p>
            <w:pPr>
              <w:spacing w:after="70" w:before="0" w:line="276"/>
            </w:pPr>
            <w:r>
              <w:rPr>
                <w:rFonts w:ascii="Calibri" w:cs="Calibri" w:eastAsia="Calibri" w:hAnsi="Calibri"/>
                <w:b w:val="false"/>
                <w:bCs w:val="false"/>
                <w:i w:val="false"/>
                <w:iCs w:val="false"/>
                <w:color w:val="10161D"/>
                <w:sz w:val="20"/>
                <w:szCs w:val="20"/>
              </w:rPr>
              <w:t xml:space="preserve">On Main’s lander, sections 5–10 and 12 — seven consecutive sections, the entire middle of the page — contain no CTA of any kind. On Tampa, sections 2 through 8 are the same desert: a form at the top, a form at the bottom, nothing between.</w:t>
            </w:r>
          </w:p>
          <w:p>
            <w:pPr>
              <w:spacing w:after="70" w:before="0" w:line="276"/>
            </w:pPr>
            <w:r>
              <w:rPr>
                <w:rFonts w:ascii="Calibri" w:cs="Calibri" w:eastAsia="Calibri" w:hAnsi="Calibri"/>
                <w:b/>
                <w:bCs/>
                <w:i w:val="false"/>
                <w:iCs w:val="false"/>
                <w:color w:val="10161D"/>
                <w:sz w:val="20"/>
                <w:szCs w:val="20"/>
              </w:rPr>
              <w:t xml:space="preserve">Scope correction, 26 Aug: </w:t>
            </w:r>
            <w:r>
              <w:rPr>
                <w:rFonts w:ascii="Calibri" w:cs="Calibri" w:eastAsia="Calibri" w:hAnsi="Calibri"/>
                <w:b w:val="false"/>
                <w:bCs w:val="false"/>
                <w:i w:val="false"/>
                <w:iCs w:val="false"/>
                <w:color w:val="10161D"/>
                <w:sz w:val="20"/>
                <w:szCs w:val="20"/>
              </w:rPr>
              <w:t xml:space="preserve">this is a desktop problem. Both sites mount a sticky mobile bar, so on phones a CTA is always on screen — Main’s StickyMobileCTA is md:hidden and visible from scroll 0, Tampa’s is sm:hidden. The one exception is Tampa between 640 and 1023px, where the mobile layout still runs but the sticky bar has already hidden, leaving that band with no persistent CTA at all.</w:t>
            </w:r>
          </w:p>
          <w:p>
            <w:pPr>
              <w:spacing w:after="70" w:before="0" w:line="276"/>
            </w:pPr>
            <w:r>
              <w:rPr>
                <w:rFonts w:ascii="Calibri" w:cs="Calibri" w:eastAsia="Calibri" w:hAnsi="Calibri"/>
                <w:b w:val="false"/>
                <w:bCs w:val="false"/>
                <w:i w:val="false"/>
                <w:iCs w:val="false"/>
                <w:color w:val="10161D"/>
                <w:sz w:val="20"/>
                <w:szCs w:val="20"/>
              </w:rPr>
              <w:t xml:space="preserve">This is the cheapest shared win available. On Main, OfferTransparency (the ARV math) and ComparisonTable are the two highest-intent moments on the page and neither has a button under it.</w:t>
            </w:r>
          </w:p>
        </w:tc>
      </w:tr>
    </w:tbl>
    <w:p>
      <w:pPr>
        <w:pStyle w:val="Heading3"/>
        <w:spacing w:after="90" w:before="220"/>
      </w:pPr>
      <w:r>
        <w:t xml:space="preserve">Prioritised fixes</w:t>
      </w:r>
    </w:p>
    <w:tbl>
      <w:tblPr>
        <w:tblW w:type="dxa" w:w="9360"/>
        <w:tblBorders>
          <w:top w:val="single" w:color="C2CBD5" w:sz="4"/>
          <w:left w:val="single" w:color="C2CBD5" w:sz="4"/>
          <w:bottom w:val="single" w:color="C2CBD5" w:sz="4"/>
          <w:right w:val="single" w:color="C2CBD5" w:sz="4"/>
          <w:insideH w:val="single" w:color="DBE1E8" w:sz="2"/>
          <w:insideV w:val="single" w:color="DBE1E8" w:sz="2"/>
        </w:tblBorders>
      </w:tblPr>
      <w:tblGrid>
        <w:gridCol w:w="1200"/>
        <w:gridCol w:w="8160"/>
      </w:tblGrid>
      <w:tr>
        <w:trPr>
          <w:tblHeader/>
        </w:trPr>
        <w:tc>
          <w:tcPr>
            <w:tcW w:type="dxa" w:w="120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Site</w:t>
            </w:r>
          </w:p>
        </w:tc>
        <w:tc>
          <w:tcPr>
            <w:tcW w:type="dxa" w:w="816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Action</w:t>
            </w:r>
          </w:p>
        </w:tc>
      </w:tr>
      <w:tr>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 (proposed)</w:t>
            </w:r>
          </w:p>
        </w:tc>
        <w:tc>
          <w:tcPr>
            <w:tcW w:type="dxa" w:w="81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1. Bring a primary CTA back into the header — proposed: a "Get My Cash Offer" button, persistent across every page. Highest-frequency real estate on the site, currently carrying no conversion action at any breakpoint. The markup already exists at Header.tsx:188 inside a hidden wrapper, so it is an un-hide and a style pass rather than a build.</w:t>
            </w:r>
            <w:r>
              <w:br/>
            </w:r>
            <w:r>
              <w:rPr>
                <w:rFonts w:ascii="Calibri" w:cs="Calibri" w:eastAsia="Calibri" w:hAnsi="Calibri"/>
                <w:b w:val="false"/>
                <w:bCs w:val="false"/>
                <w:i w:val="false"/>
                <w:iCs w:val="false"/>
                <w:color w:val="10161D"/>
                <w:sz w:val="19"/>
                <w:szCs w:val="19"/>
              </w:rPr>
              <w:t xml:space="preserve">2. Add a phone number beside it. Every paid click has to scroll to find one, and 42 of Tampa’s 62 recorded conversions were call or SMS taps — people on this offer want to phone.</w:t>
            </w:r>
            <w:r>
              <w:br/>
            </w:r>
            <w:r>
              <w:rPr>
                <w:rFonts w:ascii="Calibri" w:cs="Calibri" w:eastAsia="Calibri" w:hAnsi="Calibri"/>
                <w:b w:val="false"/>
                <w:bCs w:val="false"/>
                <w:i w:val="false"/>
                <w:iCs w:val="false"/>
                <w:color w:val="10161D"/>
                <w:sz w:val="19"/>
                <w:szCs w:val="19"/>
              </w:rPr>
              <w:t xml:space="preserve">3. Make the desktop nav render. Header.tsx:59 is className="hidden" with no responsive modifier, and the hamburger has no md:hidden — so desktop visitors navigate by hamburger. Add md:flex and md:hidden respectively.</w:t>
            </w:r>
            <w:r>
              <w:br/>
            </w:r>
            <w:r>
              <w:rPr>
                <w:rFonts w:ascii="Calibri" w:cs="Calibri" w:eastAsia="Calibri" w:hAnsi="Calibri"/>
                <w:b w:val="false"/>
                <w:bCs w:val="false"/>
                <w:i w:val="false"/>
                <w:iCs w:val="false"/>
                <w:color w:val="10161D"/>
                <w:sz w:val="19"/>
                <w:szCs w:val="19"/>
              </w:rPr>
              <w:t xml:space="preserve">4. Add a CTA under OfferTransparency and ComparisonTable.</w:t>
            </w:r>
            <w:r>
              <w:br/>
            </w:r>
            <w:r>
              <w:rPr>
                <w:rFonts w:ascii="Calibri" w:cs="Calibri" w:eastAsia="Calibri" w:hAnsi="Calibri"/>
                <w:b w:val="false"/>
                <w:bCs w:val="false"/>
                <w:i w:val="false"/>
                <w:iCs w:val="false"/>
                <w:color w:val="10161D"/>
                <w:sz w:val="19"/>
                <w:szCs w:val="19"/>
              </w:rPr>
              <w:t xml:space="preserve">5. Add a second form to the homepage — BottomCTA is phone-only on your largest single lead source (237 of 361).</w:t>
            </w:r>
          </w:p>
        </w:tc>
      </w:tr>
      <w:tr>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81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1. Change the sticky bar from sm:hidden to lg:hidden — one class, recovers 640–1023px.</w:t>
            </w:r>
            <w:r>
              <w:br/>
            </w:r>
            <w:r>
              <w:rPr>
                <w:rFonts w:ascii="Calibri" w:cs="Calibri" w:eastAsia="Calibri" w:hAnsi="Calibri"/>
                <w:b w:val="false"/>
                <w:bCs w:val="false"/>
                <w:i w:val="false"/>
                <w:iCs w:val="false"/>
                <w:color w:val="10161D"/>
                <w:sz w:val="19"/>
                <w:szCs w:val="19"/>
              </w:rPr>
              <w:t xml:space="preserve">2. Remove the third Goliath mount inside the hidden container.</w:t>
            </w:r>
            <w:r>
              <w:br/>
            </w:r>
            <w:r>
              <w:rPr>
                <w:rFonts w:ascii="Calibri" w:cs="Calibri" w:eastAsia="Calibri" w:hAnsi="Calibri"/>
                <w:b w:val="false"/>
                <w:bCs w:val="false"/>
                <w:i w:val="false"/>
                <w:iCs w:val="false"/>
                <w:color w:val="10161D"/>
                <w:sz w:val="19"/>
                <w:szCs w:val="19"/>
              </w:rPr>
              <w:t xml:space="preserve">3. Add a mid-page CTA after "How it works".</w:t>
            </w:r>
          </w:p>
        </w:tc>
      </w:tr>
    </w:tbl>
    <w:p>
      <w:pPr>
        <w:pStyle w:val="Heading1"/>
        <w:spacing w:after="140" w:before="360"/>
      </w:pPr>
      <w:r>
        <w:t xml:space="preserve">2 · Forms &amp; lead capture</w:t>
      </w:r>
    </w:p>
    <w:p>
      <w:pPr>
        <w:spacing w:after="120" w:before="60" w:line="276"/>
      </w:pPr>
      <w:r>
        <w:rPr>
          <w:rFonts w:ascii="Calibri" w:cs="Calibri" w:eastAsia="Calibri" w:hAnsi="Calibri"/>
          <w:b/>
          <w:bCs/>
          <w:i w:val="false"/>
          <w:iCs w:val="false"/>
          <w:color w:val="10161D"/>
          <w:sz w:val="21"/>
          <w:szCs w:val="21"/>
        </w:rPr>
        <w:t xml:space="preserve">Verdict: Main. </w:t>
      </w:r>
      <w:r>
        <w:rPr>
          <w:rFonts w:ascii="Calibri" w:cs="Calibri" w:eastAsia="Calibri" w:hAnsi="Calibri"/>
          <w:b w:val="false"/>
          <w:bCs w:val="false"/>
          <w:i w:val="false"/>
          <w:iCs w:val="false"/>
          <w:color w:val="10161D"/>
          <w:sz w:val="21"/>
          <w:szCs w:val="21"/>
        </w:rPr>
        <w:t xml:space="preserve">Main owns the pipe end to end and I watched a lead travel it. Tampa’s pipe works but belongs to someone else — which is the finding, rather than any defect in it.</w:t>
      </w:r>
    </w:p>
    <w:tbl>
      <w:tblPr>
        <w:tblW w:type="dxa" w:w="9360"/>
        <w:tblBorders>
          <w:top w:val="single" w:color="DBE1E8" w:sz="2"/>
          <w:left w:val="single" w:color="1C6B4C"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1C6B4C"/>
                <w:sz w:val="16"/>
                <w:szCs w:val="16"/>
              </w:rPr>
              <w:t xml:space="preserve">WITHDRAWN  </w:t>
            </w:r>
            <w:r>
              <w:rPr>
                <w:rFonts w:ascii="Calibri" w:cs="Calibri" w:eastAsia="Calibri" w:hAnsi="Calibri"/>
                <w:b/>
                <w:bCs/>
                <w:i w:val="false"/>
                <w:iCs w:val="false"/>
                <w:color w:val="10161D"/>
                <w:sz w:val="21"/>
                <w:szCs w:val="21"/>
              </w:rPr>
              <w:t xml:space="preserve">Tampa’s form dead-ends when you use the address autocomplete</w:t>
            </w:r>
          </w:p>
          <w:p>
            <w:pPr>
              <w:spacing w:after="70" w:before="0" w:line="276"/>
            </w:pPr>
            <w:r>
              <w:rPr>
                <w:rFonts w:ascii="Calibri" w:cs="Calibri" w:eastAsia="Calibri" w:hAnsi="Calibri"/>
                <w:b w:val="false"/>
                <w:bCs w:val="false"/>
                <w:i w:val="false"/>
                <w:iCs w:val="false"/>
                <w:color w:val="10161D"/>
                <w:sz w:val="20"/>
                <w:szCs w:val="20"/>
              </w:rPr>
              <w:t xml:space="preserve">I reported the form failing to advance past step 1 after selecting a Google Places suggestion, reproduced three times in an automated browser. WITHDRAWN — tested by hand, entry works and the form advances normally. The field accepts free text, which is the ordinary path in any case.</w:t>
            </w:r>
          </w:p>
          <w:p>
            <w:pPr>
              <w:spacing w:after="70" w:before="0" w:line="276"/>
            </w:pPr>
            <w:r>
              <w:rPr>
                <w:rFonts w:ascii="Calibri" w:cs="Calibri" w:eastAsia="Calibri" w:hAnsi="Calibri"/>
                <w:b w:val="false"/>
                <w:bCs w:val="false"/>
                <w:i w:val="false"/>
                <w:iCs w:val="false"/>
                <w:color w:val="10161D"/>
                <w:sz w:val="20"/>
                <w:szCs w:val="20"/>
              </w:rPr>
              <w:t xml:space="preserve">Synthetic clicks on a cross-origin iframe’s autocomplete dropdown are not a reliable signal. That limitation was flagged when the finding was raised, and it should have carried less weight than it was given. No defect stands here.</w:t>
            </w:r>
          </w:p>
          <w:p>
            <w:pPr>
              <w:spacing w:after="70" w:before="0" w:line="276"/>
            </w:pPr>
            <w:r>
              <w:rPr>
                <w:rFonts w:ascii="Calibri" w:cs="Calibri" w:eastAsia="Calibri" w:hAnsi="Calibri"/>
                <w:b/>
                <w:bCs/>
                <w:i w:val="false"/>
                <w:iCs w:val="false"/>
                <w:color w:val="10161D"/>
                <w:sz w:val="20"/>
                <w:szCs w:val="20"/>
              </w:rPr>
              <w:t xml:space="preserve">What survives, as an open question: </w:t>
            </w:r>
            <w:r>
              <w:rPr>
                <w:rFonts w:ascii="Calibri" w:cs="Calibri" w:eastAsia="Calibri" w:hAnsi="Calibri"/>
                <w:b w:val="false"/>
                <w:bCs w:val="false"/>
                <w:i w:val="false"/>
                <w:iCs w:val="false"/>
                <w:color w:val="10161D"/>
                <w:sz w:val="20"/>
                <w:szCs w:val="20"/>
              </w:rPr>
              <w:t xml:space="preserve">$13,003 of spend produced 12 form conversions in the 30-day window. That is a question without an established cause, not evidence of a form bug. The more likely explanations sit elsewhere in this document — the five per-situation conversion labels reading 0–2 (Dimension 8), the five landers having zero inbound internal links (Dimension 7), and GA4 recording nothing on the conversion page. Worth investigating in that order.</w:t>
            </w:r>
          </w:p>
        </w:tc>
      </w:tr>
    </w:tbl>
    <w:p>
      <w:pPr>
        <w:spacing w:after="100" w:before="0" w:line="276"/>
      </w:pPr>
      <w:r>
        <w:rPr>
          <w:rFonts w:ascii="Calibri" w:cs="Calibri" w:eastAsia="Calibri" w:hAnsi="Calibri"/>
          <w:b w:val="false"/>
          <w:bCs w:val="false"/>
          <w:i w:val="false"/>
          <w:iCs w:val="false"/>
          <w:color w:val="10161D"/>
          <w:sz w:val="21"/>
          <w:szCs w:val="21"/>
        </w:rPr>
        <w:t xml:space="preserve"/>
      </w:r>
    </w:p>
    <w:tbl>
      <w:tblPr>
        <w:tblW w:type="dxa" w:w="9360"/>
        <w:tblBorders>
          <w:top w:val="single" w:color="DBE1E8" w:sz="2"/>
          <w:left w:val="single" w:color="9C5714"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9C5714"/>
                <w:sz w:val="16"/>
                <w:szCs w:val="16"/>
              </w:rPr>
              <w:t xml:space="preserve">HIGH  </w:t>
            </w:r>
            <w:r>
              <w:rPr>
                <w:rFonts w:ascii="Calibri" w:cs="Calibri" w:eastAsia="Calibri" w:hAnsi="Calibri"/>
                <w:b/>
                <w:bCs/>
                <w:i w:val="false"/>
                <w:iCs w:val="false"/>
                <w:color w:val="10161D"/>
                <w:sz w:val="21"/>
                <w:szCs w:val="21"/>
              </w:rPr>
              <w:t xml:space="preserve">Tampa’s step 2 is physically clipped on all five landers</w:t>
            </w:r>
          </w:p>
          <w:p>
            <w:pPr>
              <w:spacing w:after="70" w:before="0" w:line="276"/>
            </w:pPr>
            <w:r>
              <w:rPr>
                <w:rFonts w:ascii="Calibri" w:cs="Calibri" w:eastAsia="Calibri" w:hAnsi="Calibri"/>
                <w:b w:val="false"/>
                <w:bCs w:val="false"/>
                <w:i w:val="false"/>
                <w:iCs w:val="false"/>
                <w:color w:val="10161D"/>
                <w:sz w:val="20"/>
                <w:szCs w:val="20"/>
              </w:rPr>
              <w:t xml:space="preserve">An inline @media (min-width:1024px) rule hard-pins .contact-form iframe{height:320px!important;max-height:320px!important}, overriding the widget’s own auto-resize. When the form advances, step 2 (name, phone, email, one question, SMS consent) renders into a 320px box with an internal scrollbar. I watched it happen.</w:t>
            </w:r>
          </w:p>
          <w:p>
            <w:pPr>
              <w:spacing w:after="70" w:before="0" w:line="276"/>
            </w:pPr>
            <w:r>
              <w:rPr>
                <w:rFonts w:ascii="Calibri" w:cs="Calibri" w:eastAsia="Calibri" w:hAnsi="Calibri"/>
                <w:b w:val="false"/>
                <w:bCs w:val="false"/>
                <w:i w:val="false"/>
                <w:iCs w:val="false"/>
                <w:color w:val="10161D"/>
                <w:sz w:val="20"/>
                <w:szCs w:val="20"/>
              </w:rPr>
              <w:t xml:space="preserve">The rule is on all five landers at line 76 and absent from index.html, whose iframes resize correctly to 433px. So the homepage works and the five pages you actually buy traffic to are the broken ones.</w:t>
            </w:r>
          </w:p>
        </w:tc>
      </w:tr>
    </w:tbl>
    <w:p>
      <w:pPr>
        <w:spacing w:after="100" w:before="0" w:line="276"/>
      </w:pPr>
      <w:r>
        <w:rPr>
          <w:rFonts w:ascii="Calibri" w:cs="Calibri" w:eastAsia="Calibri" w:hAnsi="Calibri"/>
          <w:b w:val="false"/>
          <w:bCs w:val="false"/>
          <w:i w:val="false"/>
          <w:iCs w:val="false"/>
          <w:color w:val="10161D"/>
          <w:sz w:val="21"/>
          <w:szCs w:val="21"/>
        </w:rPr>
        <w:t xml:space="preserve"/>
      </w:r>
    </w:p>
    <w:p>
      <w:pPr>
        <w:pStyle w:val="Heading3"/>
        <w:spacing w:after="90" w:before="220"/>
      </w:pPr>
      <w:r>
        <w:t xml:space="preserve">Main’s form, traced end to end</w:t>
      </w:r>
    </w:p>
    <w:p>
      <w:pPr>
        <w:spacing w:after="120" w:before="60" w:line="276"/>
      </w:pPr>
      <w:r>
        <w:rPr>
          <w:rFonts w:ascii="Calibri" w:cs="Calibri" w:eastAsia="Calibri" w:hAnsi="Calibri"/>
          <w:b w:val="false"/>
          <w:bCs w:val="false"/>
          <w:i w:val="false"/>
          <w:iCs w:val="false"/>
          <w:color w:val="10161D"/>
          <w:sz w:val="21"/>
          <w:szCs w:val="21"/>
        </w:rPr>
        <w:t xml:space="preserve">I submitted a marked test lead through the homepage and followed it the whole way. It worked: “AUDIT TEST For Audit Purposes” now exists in Supabase (visible in /admin/leads) and in GoHighLevel, created 24 Aug 05:24 PM, tagged lead and market:tampa. Phone normalised to (813) 555-0142 on the way in. Please delete both records.</w:t>
      </w:r>
    </w:p>
    <w:tbl>
      <w:tblPr>
        <w:tblW w:type="dxa" w:w="9360"/>
        <w:tblBorders>
          <w:top w:val="single" w:color="DBE1E8" w:sz="2"/>
          <w:left w:val="single" w:color="0F6E7C"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0F6E7C"/>
                <w:sz w:val="16"/>
                <w:szCs w:val="16"/>
              </w:rPr>
              <w:t xml:space="preserve">HOW TO READ THE TAMPA COLUMN  </w:t>
            </w:r>
            <w:r>
              <w:rPr>
                <w:rFonts w:ascii="Calibri" w:cs="Calibri" w:eastAsia="Calibri" w:hAnsi="Calibri"/>
                <w:b/>
                <w:bCs/>
                <w:i w:val="false"/>
                <w:iCs w:val="false"/>
                <w:color w:val="10161D"/>
                <w:sz w:val="21"/>
                <w:szCs w:val="21"/>
              </w:rPr>
              <w:t xml:space="preserve">Unobservable, not absent — revised 26 Aug</w:t>
            </w:r>
          </w:p>
          <w:p>
            <w:pPr>
              <w:spacing w:after="70" w:before="0" w:line="276"/>
            </w:pPr>
            <w:r>
              <w:rPr>
                <w:rFonts w:ascii="Calibri" w:cs="Calibri" w:eastAsia="Calibri" w:hAnsi="Calibri"/>
                <w:b w:val="false"/>
                <w:bCs w:val="false"/>
                <w:i w:val="false"/>
                <w:iCs w:val="false"/>
                <w:color w:val="10161D"/>
                <w:sz w:val="20"/>
                <w:szCs w:val="20"/>
              </w:rPr>
              <w:t xml:space="preserve">Every "none" below means none of Tampa’s own, in code you control. It does not mean Goliath lacks an equivalent — Goliath may well rate-limit, validate and screen spam competently, and we have no way to find out.</w:t>
            </w:r>
          </w:p>
          <w:p>
            <w:pPr>
              <w:spacing w:after="70" w:before="0" w:line="276"/>
            </w:pPr>
            <w:r>
              <w:rPr>
                <w:rFonts w:ascii="Calibri" w:cs="Calibri" w:eastAsia="Calibri" w:hAnsi="Calibri"/>
                <w:b w:val="false"/>
                <w:bCs w:val="false"/>
                <w:i w:val="false"/>
                <w:iCs w:val="false"/>
                <w:color w:val="10161D"/>
                <w:sz w:val="20"/>
                <w:szCs w:val="20"/>
              </w:rPr>
              <w:t xml:space="preserve">That is the actual finding: you cannot audit, tune, or answer for a validation and spam layer you cannot see. If a lead is rejected, or a bot floods the form, or a required field changes, you learn about it from your lead volume rather than from a log. Only one row is a confirmed absence rather than an unknown: there is no fallback if Goliath fails to load.</w:t>
            </w:r>
          </w:p>
        </w:tc>
      </w:tr>
    </w:tbl>
    <w:p>
      <w:pPr>
        <w:spacing w:after="100" w:before="0" w:line="276"/>
      </w:pPr>
      <w:r>
        <w:rPr>
          <w:rFonts w:ascii="Calibri" w:cs="Calibri" w:eastAsia="Calibri" w:hAnsi="Calibri"/>
          <w:b w:val="false"/>
          <w:bCs w:val="false"/>
          <w:i w:val="false"/>
          <w:iCs w:val="false"/>
          <w:color w:val="10161D"/>
          <w:sz w:val="21"/>
          <w:szCs w:val="21"/>
        </w:rPr>
        <w:t xml:space="preserve"/>
      </w:r>
    </w:p>
    <w:tbl>
      <w:tblPr>
        <w:tblW w:type="dxa" w:w="9360"/>
        <w:tblBorders>
          <w:top w:val="single" w:color="C2CBD5" w:sz="4"/>
          <w:left w:val="single" w:color="C2CBD5" w:sz="4"/>
          <w:bottom w:val="single" w:color="C2CBD5" w:sz="4"/>
          <w:right w:val="single" w:color="C2CBD5" w:sz="4"/>
          <w:insideH w:val="single" w:color="DBE1E8" w:sz="2"/>
          <w:insideV w:val="single" w:color="DBE1E8" w:sz="2"/>
        </w:tblBorders>
      </w:tblPr>
      <w:tblGrid>
        <w:gridCol w:w="2000"/>
        <w:gridCol w:w="3680"/>
        <w:gridCol w:w="3680"/>
      </w:tblGrid>
      <w:tr>
        <w:trPr>
          <w:tblHeader/>
        </w:trPr>
        <w:tc>
          <w:tcPr>
            <w:tcW w:type="dxa" w:w="200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Control</w:t>
            </w:r>
          </w:p>
        </w:tc>
        <w:tc>
          <w:tcPr>
            <w:tcW w:type="dxa" w:w="368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Main</w:t>
            </w:r>
          </w:p>
        </w:tc>
        <w:tc>
          <w:tcPr>
            <w:tcW w:type="dxa" w:w="368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Tampa (via Goliath)</w:t>
            </w:r>
          </w:p>
        </w:tc>
      </w:tr>
      <w:tr>
        <w:tc>
          <w:tcPr>
            <w:tcW w:type="dxa" w:w="20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Required fields</w:t>
            </w:r>
          </w:p>
        </w:tc>
        <w:tc>
          <w:tcPr>
            <w:tcW w:type="dxa" w:w="368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6 across 3 steps plus a required terms checkbox</w:t>
            </w:r>
          </w:p>
        </w:tc>
        <w:tc>
          <w:tcPr>
            <w:tcW w:type="dxa" w:w="368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Address, then name/phone/email plus one question — 2 steps</w:t>
            </w:r>
          </w:p>
        </w:tc>
      </w:tr>
      <w:tr>
        <w:tc>
          <w:tcPr>
            <w:tcW w:type="dxa" w:w="20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Honeypot</w:t>
            </w:r>
          </w:p>
        </w:tc>
        <w:tc>
          <w:tcPr>
            <w:tcW w:type="dxa" w:w="368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None — zero matches in src/</w:t>
            </w:r>
          </w:p>
        </w:tc>
        <w:tc>
          <w:tcPr>
            <w:tcW w:type="dxa" w:w="368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Present only inside the commented-out dead form</w:t>
            </w:r>
          </w:p>
        </w:tc>
      </w:tr>
      <w:tr>
        <w:tc>
          <w:tcPr>
            <w:tcW w:type="dxa" w:w="20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CAPTCHA</w:t>
            </w:r>
          </w:p>
        </w:tc>
        <w:tc>
          <w:tcPr>
            <w:tcW w:type="dxa" w:w="368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reCAPTCHA v3, active in production. The skip-when-unset branch is DELIBERATE — it lets local dev and the testing environment run without keys. Residual risk is only that a config drift in prod would disable it silently rather than loudly; a startup assertion closes that</w:t>
            </w:r>
          </w:p>
        </w:tc>
        <w:tc>
          <w:tcPr>
            <w:tcW w:type="dxa" w:w="368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None of its own; unknown inside the widget</w:t>
            </w:r>
          </w:p>
        </w:tc>
      </w:tr>
      <w:tr>
        <w:tc>
          <w:tcPr>
            <w:tcW w:type="dxa" w:w="20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Rate limiting</w:t>
            </w:r>
          </w:p>
        </w:tc>
        <w:tc>
          <w:tcPr>
            <w:tcW w:type="dxa" w:w="368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5/60s per IP, but fails open: any Supabase error returns “allow”</w:t>
            </w:r>
          </w:p>
        </w:tc>
        <w:tc>
          <w:tcPr>
            <w:tcW w:type="dxa" w:w="368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None possible (static)</w:t>
            </w:r>
          </w:p>
        </w:tc>
      </w:tr>
      <w:tr>
        <w:tc>
          <w:tcPr>
            <w:tcW w:type="dxa" w:w="20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Dedupe</w:t>
            </w:r>
          </w:p>
        </w:tc>
        <w:tc>
          <w:tcPr>
            <w:tcW w:type="dxa" w:w="368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DB unique constraint plus address-aware dedupe in the GHL sync</w:t>
            </w:r>
          </w:p>
        </w:tc>
        <w:tc>
          <w:tcPr>
            <w:tcW w:type="dxa" w:w="368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Not determinable from source</w:t>
            </w:r>
          </w:p>
        </w:tc>
      </w:tr>
      <w:tr>
        <w:tc>
          <w:tcPr>
            <w:tcW w:type="dxa" w:w="20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Error recovery</w:t>
            </w:r>
          </w:p>
        </w:tc>
        <w:tc>
          <w:tcPr>
            <w:tcW w:type="dxa" w:w="368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lead_errors table, /admin/lead-errors, and a retry endpoint with payload editing</w:t>
            </w:r>
          </w:p>
        </w:tc>
        <w:tc>
          <w:tcPr>
            <w:tcW w:type="dxa" w:w="368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None</w:t>
            </w:r>
          </w:p>
        </w:tc>
      </w:tr>
      <w:tr>
        <w:tc>
          <w:tcPr>
            <w:tcW w:type="dxa" w:w="20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Fallback if CRM is down</w:t>
            </w:r>
          </w:p>
        </w:tc>
        <w:tc>
          <w:tcPr>
            <w:tcW w:type="dxa" w:w="368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Lead still lands in Supabase</w:t>
            </w:r>
          </w:p>
        </w:tc>
        <w:tc>
          <w:tcPr>
            <w:tcW w:type="dxa" w:w="368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None. If goliathdata.com fails to load, the page has no form at all — only tel: and sms:</w:t>
            </w:r>
          </w:p>
        </w:tc>
      </w:tr>
      <w:tr>
        <w:tc>
          <w:tcPr>
            <w:tcW w:type="dxa" w:w="20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Validation library</w:t>
            </w:r>
          </w:p>
        </w:tc>
        <w:tc>
          <w:tcPr>
            <w:tcW w:type="dxa" w:w="368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Hand-rolled and duplicated across 5 components. zod and react-hook-form are installed and never imported</w:t>
            </w:r>
          </w:p>
        </w:tc>
        <w:tc>
          <w:tcPr>
            <w:tcW w:type="dxa" w:w="368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Third-party</w:t>
            </w:r>
          </w:p>
        </w:tc>
      </w:tr>
    </w:tbl>
    <w:p>
      <w:pPr>
        <w:spacing w:after="100" w:before="0" w:line="276"/>
      </w:pPr>
      <w:r>
        <w:rPr>
          <w:rFonts w:ascii="Calibri" w:cs="Calibri" w:eastAsia="Calibri" w:hAnsi="Calibri"/>
          <w:b w:val="false"/>
          <w:bCs w:val="false"/>
          <w:i w:val="false"/>
          <w:iCs w:val="false"/>
          <w:color w:val="10161D"/>
          <w:sz w:val="21"/>
          <w:szCs w:val="21"/>
        </w:rPr>
        <w:t xml:space="preserve"/>
      </w:r>
    </w:p>
    <w:tbl>
      <w:tblPr>
        <w:tblW w:type="dxa" w:w="9360"/>
        <w:tblBorders>
          <w:top w:val="single" w:color="DBE1E8" w:sz="2"/>
          <w:left w:val="single" w:color="1C6B4C"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1C6B4C"/>
                <w:sz w:val="16"/>
                <w:szCs w:val="16"/>
              </w:rPr>
              <w:t xml:space="preserve">RESOLVED  </w:t>
            </w:r>
            <w:r>
              <w:rPr>
                <w:rFonts w:ascii="Calibri" w:cs="Calibri" w:eastAsia="Calibri" w:hAnsi="Calibri"/>
                <w:b/>
                <w:bCs/>
                <w:i w:val="false"/>
                <w:iCs w:val="false"/>
                <w:color w:val="10161D"/>
                <w:sz w:val="21"/>
                <w:szCs w:val="21"/>
              </w:rPr>
              <w:t xml:space="preserve">Main can lose a lead and show the seller a success screen</w:t>
            </w:r>
          </w:p>
          <w:p>
            <w:pPr>
              <w:spacing w:after="70" w:before="0" w:line="276"/>
            </w:pPr>
            <w:r>
              <w:rPr>
                <w:rFonts w:ascii="Calibri" w:cs="Calibri" w:eastAsia="Calibri" w:hAnsi="Calibri"/>
                <w:b w:val="false"/>
                <w:bCs w:val="false"/>
                <w:i w:val="false"/>
                <w:iCs w:val="false"/>
                <w:color w:val="10161D"/>
                <w:sz w:val="20"/>
                <w:szCs w:val="20"/>
              </w:rPr>
              <w:t xml:space="preserve">As issued: when GoHighLevel was not configured, the route fabricated ghlResult = { success: true }. If the Supabase insert had also failed, the response returned HTTP 200 {success:true} with the warning "Database unavailable, lead saved to GHL only" — false, because GHL was never called.</w:t>
            </w:r>
          </w:p>
          <w:p>
            <w:pPr>
              <w:spacing w:after="70" w:before="0" w:line="276"/>
            </w:pPr>
            <w:r>
              <w:rPr>
                <w:rFonts w:ascii="Calibri" w:cs="Calibri" w:eastAsia="Calibri" w:hAnsi="Calibri"/>
                <w:b/>
                <w:bCs/>
                <w:i w:val="false"/>
                <w:iCs w:val="false"/>
                <w:color w:val="1C6B4C"/>
                <w:sz w:val="20"/>
                <w:szCs w:val="20"/>
              </w:rPr>
              <w:t xml:space="preserve">RESOLVED, verified in source 26 Aug, commit deb1768. </w:t>
            </w:r>
            <w:r>
              <w:rPr>
                <w:rFonts w:ascii="Calibri" w:cs="Calibri" w:eastAsia="Calibri" w:hAnsi="Calibri"/>
                <w:b w:val="false"/>
                <w:bCs w:val="false"/>
                <w:i w:val="false"/>
                <w:iCs w:val="false"/>
                <w:color w:val="10161D"/>
                <w:sz w:val="20"/>
                <w:szCs w:val="20"/>
              </w:rPr>
              <w:t xml:space="preserve">The fabrication is gone — the unconfigured branch now sets { success: false, skipped: true }, and the warning strings are accurate and separated ("Database unavailable" / "GHL not configured"). Most importantly the production-realistic case is now correct: DB failure plus a configured-but-failing GHL returns HTTP 500, so a lead that reached neither store no longer reports success.</w:t>
            </w:r>
          </w:p>
          <w:p>
            <w:pPr>
              <w:spacing w:after="70" w:before="0" w:line="276"/>
            </w:pPr>
            <w:r>
              <w:rPr>
                <w:rFonts w:ascii="Calibri" w:cs="Calibri" w:eastAsia="Calibri" w:hAnsi="Calibri"/>
                <w:b/>
                <w:bCs/>
                <w:i w:val="false"/>
                <w:iCs w:val="false"/>
                <w:color w:val="10161D"/>
                <w:sz w:val="20"/>
                <w:szCs w:val="20"/>
              </w:rPr>
              <w:t xml:space="preserve">Three residuals, all minor — recorded so they are not lost, not as blockers:</w:t>
            </w:r>
          </w:p>
          <w:p>
            <w:pPr>
              <w:spacing w:after="70" w:before="0" w:line="276"/>
            </w:pPr>
            <w:r>
              <w:rPr>
                <w:rFonts w:ascii="Calibri" w:cs="Calibri" w:eastAsia="Calibri" w:hAnsi="Calibri"/>
                <w:b w:val="false"/>
                <w:bCs w:val="false"/>
                <w:i w:val="false"/>
                <w:iCs w:val="false"/>
                <w:color w:val="10161D"/>
                <w:sz w:val="20"/>
                <w:szCs w:val="20"/>
              </w:rPr>
              <w:t xml:space="preserve">1. One path still returns success with nothing stored: DB failure plus GHL skipped falls through the "&amp;&amp; !ghlResult.skipped" guard into the partial branch and returns 200. It requires GHL env vars to be missing or placeholder, so it should be unreachable in production — same config-drift class as the reCAPTCHA branch, and one startup assertion covers both.</w:t>
            </w:r>
          </w:p>
          <w:p>
            <w:pPr>
              <w:spacing w:after="70" w:before="0" w:line="276"/>
            </w:pPr>
            <w:r>
              <w:rPr>
                <w:rFonts w:ascii="Calibri" w:cs="Calibri" w:eastAsia="Calibri" w:hAnsi="Calibri"/>
                <w:b w:val="false"/>
                <w:bCs w:val="false"/>
                <w:i w:val="false"/>
                <w:iCs w:val="false"/>
                <w:color w:val="10161D"/>
                <w:sz w:val="20"/>
                <w:szCs w:val="20"/>
              </w:rPr>
              <w:t xml:space="preserve">2. The client still ignores warnings. leads.ts:83 checks only response.ok. Not a data-loss issue now that the response is honest, but the front end cannot tell a full success from a partial one, so "we have your details, our system is catching up" messaging is not available and partial successes are invisible to client-side telemetry.</w:t>
            </w:r>
          </w:p>
          <w:p>
            <w:pPr>
              <w:spacing w:after="70" w:before="0" w:line="276"/>
            </w:pPr>
            <w:r>
              <w:rPr>
                <w:rFonts w:ascii="Calibri" w:cs="Calibri" w:eastAsia="Calibri" w:hAnsi="Calibri"/>
                <w:b w:val="false"/>
                <w:bCs w:val="false"/>
                <w:i w:val="false"/>
                <w:iCs w:val="false"/>
                <w:color w:val="10161D"/>
                <w:sz w:val="20"/>
                <w:szCs w:val="20"/>
              </w:rPr>
              <w:t xml:space="preserve">3. logLeadError still swallows its own failures. If lead_errors is itself unwritable, the only trace is the Slack message. Acceptable for a last-resort logger, worth knowing when Slack is the single remaining backstop.</w:t>
            </w:r>
          </w:p>
        </w:tc>
      </w:tr>
    </w:tbl>
    <w:p>
      <w:pPr>
        <w:spacing w:after="100" w:before="0" w:line="276"/>
      </w:pPr>
      <w:r>
        <w:rPr>
          <w:rFonts w:ascii="Calibri" w:cs="Calibri" w:eastAsia="Calibri" w:hAnsi="Calibri"/>
          <w:b w:val="false"/>
          <w:bCs w:val="false"/>
          <w:i w:val="false"/>
          <w:iCs w:val="false"/>
          <w:color w:val="10161D"/>
          <w:sz w:val="21"/>
          <w:szCs w:val="21"/>
        </w:rPr>
        <w:t xml:space="preserve"/>
      </w:r>
    </w:p>
    <w:tbl>
      <w:tblPr>
        <w:tblW w:type="dxa" w:w="9360"/>
        <w:tblBorders>
          <w:top w:val="single" w:color="DBE1E8" w:sz="2"/>
          <w:left w:val="single" w:color="9C5714"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9C5714"/>
                <w:sz w:val="16"/>
                <w:szCs w:val="16"/>
              </w:rPr>
              <w:t xml:space="preserve">HIGH  </w:t>
            </w:r>
            <w:r>
              <w:rPr>
                <w:rFonts w:ascii="Calibri" w:cs="Calibri" w:eastAsia="Calibri" w:hAnsi="Calibri"/>
                <w:b/>
                <w:bCs/>
                <w:i w:val="false"/>
                <w:iCs w:val="false"/>
                <w:color w:val="10161D"/>
                <w:sz w:val="21"/>
                <w:szCs w:val="21"/>
              </w:rPr>
              <w:t xml:space="preserve">The terms consent is collected and never stored</w:t>
            </w:r>
          </w:p>
          <w:p>
            <w:pPr>
              <w:spacing w:after="70" w:before="0" w:line="276"/>
            </w:pPr>
            <w:r>
              <w:rPr>
                <w:rFonts w:ascii="Calibri" w:cs="Calibri" w:eastAsia="Calibri" w:hAnsi="Calibri"/>
                <w:b w:val="false"/>
                <w:bCs w:val="false"/>
                <w:i w:val="false"/>
                <w:iCs w:val="false"/>
                <w:color w:val="10161D"/>
                <w:sz w:val="20"/>
                <w:szCs w:val="20"/>
              </w:rPr>
              <w:t xml:space="preserve">agreedToTerms is declared, bound to a required checkbox, and never read in the submit handler or sent in the payload — in all five forms. The HTML required attribute is the only enforcement. Given the TCPA-flavoured wording next to it, you are asking for consent you keep no record of.</w:t>
            </w:r>
          </w:p>
          <w:p>
            <w:pPr>
              <w:spacing w:after="70" w:before="0" w:line="276"/>
            </w:pPr>
            <w:r>
              <w:rPr>
                <w:rFonts w:ascii="Calibri" w:cs="Calibri" w:eastAsia="Calibri" w:hAnsi="Calibri"/>
                <w:b w:val="false"/>
                <w:bCs w:val="false"/>
                <w:i w:val="false"/>
                <w:iCs w:val="false"/>
                <w:color w:val="10161D"/>
                <w:sz w:val="20"/>
                <w:szCs w:val="20"/>
              </w:rPr>
              <w:t xml:space="preserve">Compounding it: the DOM id privacy-terms-sticky is duplicated across four components that mount simultaneously on a lander, so clicking the terms label in one form can toggle the checkbox in another.</w:t>
            </w:r>
          </w:p>
        </w:tc>
      </w:tr>
    </w:tbl>
    <w:p>
      <w:pPr>
        <w:pStyle w:val="Heading3"/>
        <w:spacing w:after="90" w:before="220"/>
      </w:pPr>
      <w:r>
        <w:t xml:space="preserve">Prioritised fixes</w:t>
      </w:r>
    </w:p>
    <w:tbl>
      <w:tblPr>
        <w:tblW w:type="dxa" w:w="9360"/>
        <w:tblBorders>
          <w:top w:val="single" w:color="C2CBD5" w:sz="4"/>
          <w:left w:val="single" w:color="C2CBD5" w:sz="4"/>
          <w:bottom w:val="single" w:color="C2CBD5" w:sz="4"/>
          <w:right w:val="single" w:color="C2CBD5" w:sz="4"/>
          <w:insideH w:val="single" w:color="DBE1E8" w:sz="2"/>
          <w:insideV w:val="single" w:color="DBE1E8" w:sz="2"/>
        </w:tblBorders>
      </w:tblPr>
      <w:tblGrid>
        <w:gridCol w:w="1200"/>
        <w:gridCol w:w="8160"/>
      </w:tblGrid>
      <w:tr>
        <w:trPr>
          <w:tblHeader/>
        </w:trPr>
        <w:tc>
          <w:tcPr>
            <w:tcW w:type="dxa" w:w="120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Site</w:t>
            </w:r>
          </w:p>
        </w:tc>
        <w:tc>
          <w:tcPr>
            <w:tcW w:type="dxa" w:w="816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Action</w:t>
            </w:r>
          </w:p>
        </w:tc>
      </w:tr>
      <w:tr>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81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1. DONE 26 Aug (deb1768) — false-success path fixed; three minor residuals noted above. 2. Persist agreedToTerms and make the four duplicate ids unique. 3. Fail closed on captcha and rate limiting when the dependency is missing. 4. Add autoComplete and inputMode — currently zero occurrences across all five forms. 5. Consider letting a hand-typed address through; Places gating costs ~629 KB per page load.</w:t>
            </w:r>
          </w:p>
        </w:tc>
      </w:tr>
      <w:tr>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81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1. Delete the height:320px!important pin on all five landers. 3. Remove the dead getElementById('finalForm') line, which throws on every page load and kills all CRM logging declared after it. 4. Get a fallback: even a mailto: beats a blank div if Goliath fails.</w:t>
            </w:r>
          </w:p>
        </w:tc>
      </w:tr>
    </w:tbl>
    <w:p>
      <w:pPr>
        <w:pStyle w:val="Heading1"/>
        <w:spacing w:after="140" w:before="360"/>
      </w:pPr>
      <w:r>
        <w:t xml:space="preserve">3 · Mobile experience</w:t>
      </w:r>
    </w:p>
    <w:p>
      <w:pPr>
        <w:spacing w:after="120" w:before="60" w:line="276"/>
      </w:pPr>
      <w:r>
        <w:rPr>
          <w:rFonts w:ascii="Calibri" w:cs="Calibri" w:eastAsia="Calibri" w:hAnsi="Calibri"/>
          <w:b/>
          <w:bCs/>
          <w:i w:val="false"/>
          <w:iCs w:val="false"/>
          <w:color w:val="10161D"/>
          <w:sz w:val="21"/>
          <w:szCs w:val="21"/>
        </w:rPr>
        <w:t xml:space="preserve">Verdict: Main. </w:t>
      </w:r>
      <w:r>
        <w:rPr>
          <w:rFonts w:ascii="Calibri" w:cs="Calibri" w:eastAsia="Calibri" w:hAnsi="Calibri"/>
          <w:b w:val="false"/>
          <w:bCs w:val="false"/>
          <w:i w:val="false"/>
          <w:iCs w:val="false"/>
          <w:color w:val="10161D"/>
          <w:sz w:val="21"/>
          <w:szCs w:val="21"/>
        </w:rPr>
        <w:t xml:space="preserve">Main uses a real responsive system. Tampa uses one that stopped being rebuilt three weeks before its HTML stopped changing.</w:t>
      </w:r>
    </w:p>
    <w:tbl>
      <w:tblPr>
        <w:tblW w:type="dxa" w:w="9360"/>
        <w:tblBorders>
          <w:top w:val="single" w:color="DBE1E8" w:sz="2"/>
          <w:left w:val="single" w:color="9C5714"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9C5714"/>
                <w:sz w:val="16"/>
                <w:szCs w:val="16"/>
              </w:rPr>
              <w:t xml:space="preserve">HIGH  </w:t>
            </w:r>
            <w:r>
              <w:rPr>
                <w:rFonts w:ascii="Calibri" w:cs="Calibri" w:eastAsia="Calibri" w:hAnsi="Calibri"/>
                <w:b/>
                <w:bCs/>
                <w:i w:val="false"/>
                <w:iCs w:val="false"/>
                <w:color w:val="10161D"/>
                <w:sz w:val="21"/>
                <w:szCs w:val="21"/>
              </w:rPr>
              <w:t xml:space="preserve">Tampa’s sticky header has no background — confirmed live</w:t>
            </w:r>
          </w:p>
          <w:p>
            <w:pPr>
              <w:spacing w:after="70" w:before="0" w:line="276"/>
            </w:pPr>
            <w:r>
              <w:rPr>
                <w:rFonts w:ascii="Calibri" w:cs="Calibri" w:eastAsia="Calibri" w:hAnsi="Calibri"/>
                <w:b w:val="false"/>
                <w:bCs w:val="false"/>
                <w:i w:val="false"/>
                <w:iCs w:val="false"/>
                <w:color w:val="10161D"/>
                <w:sz w:val="20"/>
                <w:szCs w:val="20"/>
              </w:rPr>
              <w:t xml:space="preserve">Twelve pages use bg-n1/97 on the fixed header. styles.css compiles bg-n1/40 and bg-n1/95 but not /97. I measured the live computed style: rgba(0, 0, 0, 0) — fully transparent. Page content scrolls visibly through the header behind a blur.</w:t>
            </w:r>
          </w:p>
          <w:p>
            <w:pPr>
              <w:spacing w:after="70" w:before="0" w:line="276"/>
            </w:pPr>
            <w:r>
              <w:rPr>
                <w:rFonts w:ascii="Calibri" w:cs="Calibri" w:eastAsia="Calibri" w:hAnsi="Calibri"/>
                <w:b w:val="false"/>
                <w:bCs w:val="false"/>
                <w:i w:val="false"/>
                <w:iCs w:val="false"/>
                <w:color w:val="10161D"/>
                <w:sz w:val="20"/>
                <w:szCs w:val="20"/>
              </w:rPr>
              <w:t xml:space="preserve">sm:grid-cols-2 is missing the same way, so the blog card grid stays one column from 640–1023px. Root cause: styles.css was last built 22 May; HTML was edited through 12 Jun.</w:t>
            </w:r>
          </w:p>
        </w:tc>
      </w:tr>
    </w:tbl>
    <w:p>
      <w:pPr>
        <w:spacing w:after="100" w:before="0" w:line="276"/>
      </w:pPr>
      <w:r>
        <w:rPr>
          <w:rFonts w:ascii="Calibri" w:cs="Calibri" w:eastAsia="Calibri" w:hAnsi="Calibri"/>
          <w:b w:val="false"/>
          <w:bCs w:val="false"/>
          <w:i w:val="false"/>
          <w:iCs w:val="false"/>
          <w:color w:val="10161D"/>
          <w:sz w:val="21"/>
          <w:szCs w:val="21"/>
        </w:rPr>
        <w:t xml:space="preserve"/>
      </w:r>
    </w:p>
    <w:tbl>
      <w:tblPr>
        <w:tblW w:type="dxa" w:w="9360"/>
        <w:tblBorders>
          <w:top w:val="single" w:color="DBE1E8" w:sz="2"/>
          <w:left w:val="single" w:color="9C5714"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9C5714"/>
                <w:sz w:val="16"/>
                <w:szCs w:val="16"/>
              </w:rPr>
              <w:t xml:space="preserve">HIGH  </w:t>
            </w:r>
            <w:r>
              <w:rPr>
                <w:rFonts w:ascii="Calibri" w:cs="Calibri" w:eastAsia="Calibri" w:hAnsi="Calibri"/>
                <w:b/>
                <w:bCs/>
                <w:i w:val="false"/>
                <w:iCs w:val="false"/>
                <w:color w:val="10161D"/>
                <w:sz w:val="21"/>
                <w:szCs w:val="21"/>
              </w:rPr>
              <w:t xml:space="preserve">Main’s primary mobile form is the one that zooms on iOS</w:t>
            </w:r>
          </w:p>
          <w:p>
            <w:pPr>
              <w:spacing w:after="70" w:before="0" w:line="276"/>
            </w:pPr>
            <w:r>
              <w:rPr>
                <w:rFonts w:ascii="Calibri" w:cs="Calibri" w:eastAsia="Calibri" w:hAnsi="Calibri"/>
                <w:b w:val="false"/>
                <w:bCs w:val="false"/>
                <w:i w:val="false"/>
                <w:iCs w:val="false"/>
                <w:color w:val="10161D"/>
                <w:sz w:val="20"/>
                <w:szCs w:val="20"/>
              </w:rPr>
              <w:t xml:space="preserve">The hero, final-CTA and homepage forms all use 16px inputs — safe. StickyMobileCTA uses text-sm (14px) on every input and select. It is mounted with no props on all 510 landers, so it is visible immediately at scroll 0, mobile-only. The form most mobile visitors actually touch is precisely the one that triggers a zoom on every field focus. Its inputs are also h-9 (36px), below the 44px target.</w:t>
            </w:r>
          </w:p>
        </w:tc>
      </w:tr>
    </w:tbl>
    <w:p>
      <w:pPr>
        <w:spacing w:after="100" w:before="0" w:line="276"/>
      </w:pPr>
      <w:r>
        <w:rPr>
          <w:rFonts w:ascii="Calibri" w:cs="Calibri" w:eastAsia="Calibri" w:hAnsi="Calibri"/>
          <w:b w:val="false"/>
          <w:bCs w:val="false"/>
          <w:i w:val="false"/>
          <w:iCs w:val="false"/>
          <w:color w:val="10161D"/>
          <w:sz w:val="21"/>
          <w:szCs w:val="21"/>
        </w:rPr>
        <w:t xml:space="preserve"/>
      </w:r>
    </w:p>
    <w:p>
      <w:pPr>
        <w:spacing w:after="120" w:before="60" w:line="276"/>
      </w:pPr>
      <w:r>
        <w:rPr>
          <w:rFonts w:ascii="Calibri" w:cs="Calibri" w:eastAsia="Calibri" w:hAnsi="Calibri"/>
          <w:b w:val="false"/>
          <w:bCs w:val="false"/>
          <w:i w:val="false"/>
          <w:iCs w:val="false"/>
          <w:color w:val="10161D"/>
          <w:sz w:val="21"/>
          <w:szCs w:val="21"/>
        </w:rPr>
        <w:t xml:space="preserve">Tampa’s workaround pattern is worth quantifying: 29 @media rules across 12 inline &lt;style&gt; blocks in 8 files, including a hand-rolled .hide-mobile/.hide-desktop pair that reimplements sm:hidden because sm:block was never compiled. There are 549 font-size declarations below 16px against 127 at 16px or above; the compliance disclaimer renders at 10px in rgba(225,225,225,0.3) on near-black.</w:t>
      </w:r>
    </w:p>
    <w:p>
      <w:pPr>
        <w:pStyle w:val="Heading3"/>
        <w:spacing w:after="90" w:before="220"/>
      </w:pPr>
      <w:r>
        <w:t xml:space="preserve">Prioritised fixes</w:t>
      </w:r>
    </w:p>
    <w:tbl>
      <w:tblPr>
        <w:tblW w:type="dxa" w:w="9360"/>
        <w:tblBorders>
          <w:top w:val="single" w:color="C2CBD5" w:sz="4"/>
          <w:left w:val="single" w:color="C2CBD5" w:sz="4"/>
          <w:bottom w:val="single" w:color="C2CBD5" w:sz="4"/>
          <w:right w:val="single" w:color="C2CBD5" w:sz="4"/>
          <w:insideH w:val="single" w:color="DBE1E8" w:sz="2"/>
          <w:insideV w:val="single" w:color="DBE1E8" w:sz="2"/>
        </w:tblBorders>
      </w:tblPr>
      <w:tblGrid>
        <w:gridCol w:w="1200"/>
        <w:gridCol w:w="8160"/>
      </w:tblGrid>
      <w:tr>
        <w:trPr>
          <w:tblHeader/>
        </w:trPr>
        <w:tc>
          <w:tcPr>
            <w:tcW w:type="dxa" w:w="120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Site</w:t>
            </w:r>
          </w:p>
        </w:tc>
        <w:tc>
          <w:tcPr>
            <w:tcW w:type="dxa" w:w="816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Action</w:t>
            </w:r>
          </w:p>
        </w:tc>
      </w:tr>
      <w:tr>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81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1. Bump StickyMobileCTA inputs to 16px and 44px height — highest-leverage mobile fix on the site. 2. Add width/height to the four TV-show cards in WhyTarek.tsx:59–64. 3. Replace style={{height:'100vh'}} on the nav drawer.</w:t>
            </w:r>
          </w:p>
        </w:tc>
      </w:tr>
      <w:tr>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81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1. Rebuild styles.css from tooling/ — it is a real, working Tailwind pipeline that simply is not wired to any deploy step. That single act fixes the transparent header and the blog grid at once. 2. Scope tailwind.config.js content away from _archive/. 3. Raise the 10px disclaimer tier and lift its contrast.</w:t>
            </w:r>
          </w:p>
        </w:tc>
      </w:tr>
    </w:tbl>
    <w:p>
      <w:pPr>
        <w:pStyle w:val="Heading1"/>
        <w:spacing w:after="140" w:before="360"/>
      </w:pPr>
      <w:r>
        <w:t xml:space="preserve">4 · Technical performance</w:t>
      </w:r>
    </w:p>
    <w:p>
      <w:pPr>
        <w:spacing w:after="120" w:before="60" w:line="276"/>
      </w:pPr>
      <w:r>
        <w:rPr>
          <w:rFonts w:ascii="Calibri" w:cs="Calibri" w:eastAsia="Calibri" w:hAnsi="Calibri"/>
          <w:b/>
          <w:bCs/>
          <w:i w:val="false"/>
          <w:iCs w:val="false"/>
          <w:color w:val="10161D"/>
          <w:sz w:val="21"/>
          <w:szCs w:val="21"/>
        </w:rPr>
        <w:t xml:space="preserve">Verdict: Parity. Revised 26 August. </w:t>
      </w:r>
      <w:r>
        <w:rPr>
          <w:rFonts w:ascii="Calibri" w:cs="Calibri" w:eastAsia="Calibri" w:hAnsi="Calibri"/>
          <w:b w:val="false"/>
          <w:bCs w:val="false"/>
          <w:i w:val="false"/>
          <w:iCs w:val="false"/>
          <w:color w:val="10161D"/>
          <w:sz w:val="21"/>
          <w:szCs w:val="21"/>
        </w:rPr>
        <w:t xml:space="preserve">The two sites are effectively level. Main carries far more JavaScript, and its architecture absorbs it — which is what that architecture is for.</w:t>
      </w:r>
    </w:p>
    <w:tbl>
      <w:tblPr>
        <w:tblW w:type="dxa" w:w="9360"/>
        <w:tblBorders>
          <w:top w:val="single" w:color="DBE1E8" w:sz="2"/>
          <w:left w:val="single" w:color="1C6B4C"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1C6B4C"/>
                <w:sz w:val="16"/>
                <w:szCs w:val="16"/>
              </w:rPr>
              <w:t xml:space="preserve">VERDICT CORRECTED  </w:t>
            </w:r>
            <w:r>
              <w:rPr>
                <w:rFonts w:ascii="Calibri" w:cs="Calibri" w:eastAsia="Calibri" w:hAnsi="Calibri"/>
                <w:b/>
                <w:bCs/>
                <w:i w:val="false"/>
                <w:iCs w:val="false"/>
                <w:color w:val="10161D"/>
                <w:sz w:val="21"/>
                <w:szCs w:val="21"/>
              </w:rPr>
              <w:t xml:space="preserve">My “Tampa wins” call is withdrawn</w:t>
            </w:r>
          </w:p>
          <w:p>
            <w:pPr>
              <w:spacing w:after="70" w:before="0" w:line="276"/>
            </w:pPr>
            <w:r>
              <w:rPr>
                <w:rFonts w:ascii="Calibri" w:cs="Calibri" w:eastAsia="Calibri" w:hAnsi="Calibri"/>
                <w:b w:val="false"/>
                <w:bCs w:val="false"/>
                <w:i w:val="false"/>
                <w:iCs w:val="false"/>
                <w:color w:val="10161D"/>
                <w:sz w:val="20"/>
                <w:szCs w:val="20"/>
              </w:rPr>
              <w:t xml:space="preserve">Lighthouse, run by the team on both homepages: Main 93 / Tampa 97 Performance; 91 / 95 Accessibility; 77 / 73 Best Practices; 100 / 100 SEO. That is parity.</w:t>
            </w:r>
          </w:p>
          <w:p>
            <w:pPr>
              <w:spacing w:after="70" w:before="0" w:line="276"/>
            </w:pPr>
            <w:r>
              <w:rPr>
                <w:rFonts w:ascii="Calibri" w:cs="Calibri" w:eastAsia="Calibri" w:hAnsi="Calibri"/>
                <w:b w:val="false"/>
                <w:bCs w:val="false"/>
                <w:i w:val="false"/>
                <w:iCs w:val="false"/>
                <w:color w:val="10161D"/>
                <w:sz w:val="20"/>
                <w:szCs w:val="20"/>
              </w:rPr>
              <w:t xml:space="preserve">What I got wrong: I measured total transfer and domComplete and inferred user-facing speed from them. Neither drives the Performance score, because neither is what a visitor perceives — code-splitting, edge delivery and priority images get the paint done long before the bundle finishes parsing. The figures in the table below are accurate; the conclusion I drew from them was not.</w:t>
            </w:r>
          </w:p>
          <w:p>
            <w:pPr>
              <w:spacing w:after="70" w:before="0" w:line="276"/>
            </w:pPr>
            <w:r>
              <w:rPr>
                <w:rFonts w:ascii="Calibri" w:cs="Calibri" w:eastAsia="Calibri" w:hAnsi="Calibri"/>
                <w:b w:val="false"/>
                <w:bCs w:val="false"/>
                <w:i w:val="false"/>
                <w:iCs w:val="false"/>
                <w:color w:val="10161D"/>
                <w:sz w:val="20"/>
                <w:szCs w:val="20"/>
              </w:rPr>
              <w:t xml:space="preserve">And the fairer comparison runs the other way. Tampa’s 97 belongs to a page that outsources its hardest job — 47% third-party bytes, with the whole conversion mechanism a black-box widget loaded three times per view. Main’s 93 covers its own forms, validation, CRM sync, admin panel and reCAPTCHA. Per unit of work owned, Main’s 93 is the better number.</w:t>
            </w:r>
          </w:p>
        </w:tc>
      </w:tr>
    </w:tbl>
    <w:p>
      <w:pPr>
        <w:spacing w:after="100" w:before="0" w:line="276"/>
      </w:pPr>
      <w:r>
        <w:rPr>
          <w:rFonts w:ascii="Calibri" w:cs="Calibri" w:eastAsia="Calibri" w:hAnsi="Calibri"/>
          <w:b w:val="false"/>
          <w:bCs w:val="false"/>
          <w:i w:val="false"/>
          <w:iCs w:val="false"/>
          <w:color w:val="10161D"/>
          <w:sz w:val="21"/>
          <w:szCs w:val="21"/>
        </w:rPr>
        <w:t xml:space="preserve"/>
      </w:r>
    </w:p>
    <w:p>
      <w:pPr>
        <w:spacing w:after="120" w:before="60" w:line="276"/>
      </w:pPr>
      <w:r>
        <w:rPr>
          <w:rFonts w:ascii="Calibri" w:cs="Calibri" w:eastAsia="Calibri" w:hAnsi="Calibri"/>
          <w:b/>
          <w:bCs/>
          <w:i w:val="false"/>
          <w:iCs w:val="false"/>
          <w:color w:val="10161D"/>
          <w:sz w:val="21"/>
          <w:szCs w:val="21"/>
        </w:rPr>
        <w:t xml:space="preserve">On method: </w:t>
      </w:r>
      <w:r>
        <w:rPr>
          <w:rFonts w:ascii="Calibri" w:cs="Calibri" w:eastAsia="Calibri" w:hAnsi="Calibri"/>
          <w:b w:val="false"/>
          <w:bCs w:val="false"/>
          <w:i w:val="false"/>
          <w:iCs w:val="false"/>
          <w:color w:val="10161D"/>
          <w:sz w:val="21"/>
          <w:szCs w:val="21"/>
        </w:rPr>
        <w:t xml:space="preserve">the public PageSpeed Insights API returned HTTP 429 from every route I tried, so the table below is Navigation and Resource Timing captured on a hard reload from one machine and connection, identically for all four pages — useful for composition (where the bytes go), not for scoring. The Lighthouse numbers above are the scoring authority. Both are desktop; a mobile Lighthouse run on a lander is the figure I would still want, since that is where the ad traffic lands.</w:t>
      </w:r>
    </w:p>
    <w:tbl>
      <w:tblPr>
        <w:tblW w:type="dxa" w:w="9360"/>
        <w:tblBorders>
          <w:top w:val="single" w:color="C2CBD5" w:sz="4"/>
          <w:left w:val="single" w:color="C2CBD5" w:sz="4"/>
          <w:bottom w:val="single" w:color="C2CBD5" w:sz="4"/>
          <w:right w:val="single" w:color="C2CBD5" w:sz="4"/>
          <w:insideH w:val="single" w:color="DBE1E8" w:sz="2"/>
          <w:insideV w:val="single" w:color="DBE1E8" w:sz="2"/>
        </w:tblBorders>
      </w:tblPr>
      <w:tblGrid>
        <w:gridCol w:w="2200"/>
        <w:gridCol w:w="1790"/>
        <w:gridCol w:w="1790"/>
        <w:gridCol w:w="1790"/>
        <w:gridCol w:w="1790"/>
      </w:tblGrid>
      <w:tr>
        <w:trPr>
          <w:tblHeader/>
        </w:trPr>
        <w:tc>
          <w:tcPr>
            <w:tcW w:type="dxa" w:w="220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Metric</w:t>
            </w:r>
          </w:p>
        </w:tc>
        <w:tc>
          <w:tcPr>
            <w:tcW w:type="dxa" w:w="179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Main /</w:t>
            </w:r>
          </w:p>
        </w:tc>
        <w:tc>
          <w:tcPr>
            <w:tcW w:type="dxa" w:w="179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Main /divorce/tampa</w:t>
            </w:r>
          </w:p>
        </w:tc>
        <w:tc>
          <w:tcPr>
            <w:tcW w:type="dxa" w:w="179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Tampa /</w:t>
            </w:r>
          </w:p>
        </w:tc>
        <w:tc>
          <w:tcPr>
            <w:tcW w:type="dxa" w:w="179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Tampa /divorce/</w:t>
            </w:r>
          </w:p>
        </w:tc>
      </w:tr>
      <w:tr>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First Contentful Paint</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808 ms</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1,216 ms</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484 ms</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464 ms</w:t>
            </w:r>
          </w:p>
        </w:tc>
      </w:tr>
      <w:tr>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DOM complete</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5,107 ms</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4,388 ms</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2,858 ms</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2,596 ms</w:t>
            </w:r>
          </w:p>
        </w:tc>
      </w:tr>
      <w:tr>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Time to first byte</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90 ms</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85 ms</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79 ms</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121 ms</w:t>
            </w:r>
          </w:p>
        </w:tc>
      </w:tr>
      <w:tr>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Transfer size</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1,984 KB</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1,830 KB</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913 KB</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913 KB</w:t>
            </w:r>
          </w:p>
        </w:tc>
      </w:tr>
      <w:tr>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Requests</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122</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111</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35</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35</w:t>
            </w:r>
          </w:p>
        </w:tc>
      </w:tr>
      <w:tr>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JavaScript</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1,331 KB</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1,509 KB</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174 KB</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174 KB</w:t>
            </w:r>
          </w:p>
        </w:tc>
      </w:tr>
      <w:tr>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Third-party bytes</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899 KB</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902 KB</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430 KB</w:t>
            </w:r>
          </w:p>
        </w:tc>
        <w:tc>
          <w:tcPr>
            <w:tcW w:type="dxa" w:w="1790"/>
            <w:tcMar>
              <w:top w:type="dxa" w:w="90"/>
              <w:left w:type="dxa" w:w="130"/>
              <w:bottom w:type="dxa" w:w="90"/>
              <w:right w:type="dxa" w:w="130"/>
            </w:tcMar>
          </w:tcPr>
          <w:p>
            <w:pPr>
              <w:spacing w:after="0" w:before="0" w:line="276"/>
              <w:jc w:val="right"/>
            </w:pPr>
            <w:r>
              <w:rPr>
                <w:rFonts w:ascii="Calibri" w:cs="Calibri" w:eastAsia="Calibri" w:hAnsi="Calibri"/>
                <w:b w:val="false"/>
                <w:bCs w:val="false"/>
                <w:i w:val="false"/>
                <w:iCs w:val="false"/>
                <w:color w:val="10161D"/>
                <w:sz w:val="19"/>
                <w:szCs w:val="19"/>
              </w:rPr>
              <w:t xml:space="preserve">430 KB</w:t>
            </w:r>
          </w:p>
        </w:tc>
      </w:tr>
    </w:tbl>
    <w:p>
      <w:pPr>
        <w:pStyle w:val="Heading3"/>
        <w:spacing w:after="90" w:before="220"/>
      </w:pPr>
      <w:r>
        <w:t xml:space="preserve">Where Main’s weight goes — headroom, not a failure</w:t>
      </w:r>
    </w:p>
    <w:p>
      <w:pPr>
        <w:spacing w:after="120" w:before="60" w:line="276"/>
      </w:pPr>
      <w:r>
        <w:rPr>
          <w:rFonts w:ascii="Calibri" w:cs="Calibri" w:eastAsia="Calibri" w:hAnsi="Calibri"/>
          <w:b w:val="false"/>
          <w:bCs w:val="false"/>
          <w:i w:val="false"/>
          <w:iCs w:val="false"/>
          <w:color w:val="10161D"/>
          <w:sz w:val="21"/>
          <w:szCs w:val="21"/>
        </w:rPr>
        <w:t xml:space="preserve">None of the following is costing you the Lighthouse score today. It is costing you margin — and margin is what disappears on a mid-range Android on Florida LTE, which is where your paid traffic actually lands. Read this as a list of free wins, not defects.</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~629 KB for address autocomplete: maps.googleapis.com (315 KB) plus gstatic.com (314 KB), loaded on any page with an address field — which is every lander, four times over.</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250 KB Meta Pixel, loaded before any consent decision.</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The ElevenLabs voice SDK is imported and mounted on all 510 landers inside a &lt;div className="hidden"&gt;. hidden is a CSS class, not conditional rendering — the SDK downloads and executes and renders nothing.</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Both testimonial modules are mounted-but-hidden on the homepage and still run their Supabase queries, including an N+1 fetch per testimonial, for content nobody sees.</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GTM is loaded with strategy="beforeInteractive", which blocks hydration. For an async marketing container, afterInteractive is the documented choice.</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reCAPTCHA v3 (~250 KB plus a persistent iframe) loads on every page including /privacy, /blog and /about, which have no forms.</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The HGTV logo is a 3840×2160 image displayed at 50×28.</w:t>
      </w:r>
    </w:p>
    <w:p>
      <w:pPr>
        <w:pStyle w:val="Heading3"/>
        <w:spacing w:after="90" w:before="220"/>
      </w:pPr>
      <w:r>
        <w:t xml:space="preserve">Tampa’s weight</w:t>
      </w:r>
    </w:p>
    <w:p>
      <w:pPr>
        <w:spacing w:after="120" w:before="60" w:line="276"/>
      </w:pPr>
      <w:r>
        <w:rPr>
          <w:rFonts w:ascii="Calibri" w:cs="Calibri" w:eastAsia="Calibri" w:hAnsi="Calibri"/>
          <w:b w:val="false"/>
          <w:bCs w:val="false"/>
          <w:i w:val="false"/>
          <w:iCs w:val="false"/>
          <w:color w:val="10161D"/>
          <w:sz w:val="21"/>
          <w:szCs w:val="21"/>
        </w:rPr>
        <w:t xml:space="preserve">255 KB of that 430 KB is three YouTube maxresdefault thumbnails loaded as CSS background-image — which means they cannot be lazy-loaded and are invisible to loading="lazy". A further 170 KB is a Meta Pixel that does not exist anywhere in the repository. The repo also carries 25.8 MB of unreferenced images, 96% of it in three PNGs, all publicly deployed because publish = ".".</w:t>
      </w:r>
    </w:p>
    <w:p>
      <w:pPr>
        <w:pStyle w:val="Heading3"/>
        <w:spacing w:after="90" w:before="220"/>
      </w:pPr>
      <w:r>
        <w:t xml:space="preserve">Prioritised fixes</w:t>
      </w:r>
    </w:p>
    <w:tbl>
      <w:tblPr>
        <w:tblW w:type="dxa" w:w="9360"/>
        <w:tblBorders>
          <w:top w:val="single" w:color="C2CBD5" w:sz="4"/>
          <w:left w:val="single" w:color="C2CBD5" w:sz="4"/>
          <w:bottom w:val="single" w:color="C2CBD5" w:sz="4"/>
          <w:right w:val="single" w:color="C2CBD5" w:sz="4"/>
          <w:insideH w:val="single" w:color="DBE1E8" w:sz="2"/>
          <w:insideV w:val="single" w:color="DBE1E8" w:sz="2"/>
        </w:tblBorders>
      </w:tblPr>
      <w:tblGrid>
        <w:gridCol w:w="1200"/>
        <w:gridCol w:w="8160"/>
      </w:tblGrid>
      <w:tr>
        <w:trPr>
          <w:tblHeader/>
        </w:trPr>
        <w:tc>
          <w:tcPr>
            <w:tcW w:type="dxa" w:w="120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Site</w:t>
            </w:r>
          </w:p>
        </w:tc>
        <w:tc>
          <w:tcPr>
            <w:tcW w:type="dxa" w:w="816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Action</w:t>
            </w:r>
          </w:p>
        </w:tc>
      </w:tr>
      <w:tr>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81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1. Unmount VoiceAgentWidget instead of CSS-hiding it, or wrap it in next/dynamic. Free win on 510 pages. 2. Same for the two hidden testimonial modules — or better, ship the Spotlight so the query buys you something. 3. Move GTM to afterInteractive. 4. Load reCAPTCHA and Google Maps only on routes with a form. 5. Drop the redundant fonts.googleapis.com preconnects; next/font self-hosts.</w:t>
            </w:r>
          </w:p>
        </w:tc>
      </w:tr>
      <w:tr>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81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1. Swap the three YouTube CSS backgrounds for real lazy &lt;img&gt; at hqdefault resolution — saves ~200 KB above the fold. 2. Add preconnect for realty.goliathdata.com and the blob store. 3. Delete the 128 KB favicon, the 10 MB of zips and the 25.8 MB of orphaned images. 4. captions.vtt is referenced by 12 video elements and does not exist — 12 404s per page load.</w:t>
            </w:r>
          </w:p>
        </w:tc>
      </w:tr>
    </w:tbl>
    <w:p>
      <w:pPr>
        <w:pStyle w:val="Heading1"/>
        <w:spacing w:after="140" w:before="360"/>
      </w:pPr>
      <w:r>
        <w:t xml:space="preserve">5 · Messaging &amp; offer clarity</w:t>
      </w:r>
    </w:p>
    <w:p>
      <w:pPr>
        <w:spacing w:after="120" w:before="60" w:line="276"/>
      </w:pPr>
      <w:r>
        <w:rPr>
          <w:rFonts w:ascii="Calibri" w:cs="Calibri" w:eastAsia="Calibri" w:hAnsi="Calibri"/>
          <w:b/>
          <w:bCs/>
          <w:i w:val="false"/>
          <w:iCs w:val="false"/>
          <w:color w:val="10161D"/>
          <w:sz w:val="21"/>
          <w:szCs w:val="21"/>
        </w:rPr>
        <w:t xml:space="preserve">Verdict: Main. </w:t>
      </w:r>
      <w:r>
        <w:rPr>
          <w:rFonts w:ascii="Calibri" w:cs="Calibri" w:eastAsia="Calibri" w:hAnsi="Calibri"/>
          <w:b w:val="false"/>
          <w:bCs w:val="false"/>
          <w:i w:val="false"/>
          <w:iCs w:val="false"/>
          <w:color w:val="10161D"/>
          <w:sz w:val="21"/>
          <w:szCs w:val="21"/>
        </w:rPr>
        <w:t xml:space="preserve">The same offer on both — cash offer in 24 hours, as-is, no fees, seller picks the date. Main differentiates it 17 ways; Tampa contradicts itself.</w:t>
      </w:r>
    </w:p>
    <w:tbl>
      <w:tblPr>
        <w:tblW w:type="dxa" w:w="9360"/>
        <w:tblBorders>
          <w:top w:val="single" w:color="DBE1E8" w:sz="2"/>
          <w:left w:val="single" w:color="B32A44"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B32A44"/>
                <w:sz w:val="16"/>
                <w:szCs w:val="16"/>
              </w:rPr>
              <w:t xml:space="preserve">CRITICAL  </w:t>
            </w:r>
            <w:r>
              <w:rPr>
                <w:rFonts w:ascii="Calibri" w:cs="Calibri" w:eastAsia="Calibri" w:hAnsi="Calibri"/>
                <w:b/>
                <w:bCs/>
                <w:i w:val="false"/>
                <w:iCs w:val="false"/>
                <w:color w:val="10161D"/>
                <w:sz w:val="21"/>
                <w:szCs w:val="21"/>
              </w:rPr>
              <w:t xml:space="preserve">Tampa serves the probate FAQ to divorce and foreclosure visitors</w:t>
            </w:r>
          </w:p>
          <w:p>
            <w:pPr>
              <w:spacing w:after="70" w:before="0" w:line="276"/>
            </w:pPr>
            <w:r>
              <w:rPr>
                <w:rFonts w:ascii="Calibri" w:cs="Calibri" w:eastAsia="Calibri" w:hAnsi="Calibri"/>
                <w:b w:val="false"/>
                <w:bCs w:val="false"/>
                <w:i w:val="false"/>
                <w:iCs w:val="false"/>
                <w:color w:val="10161D"/>
                <w:sz w:val="20"/>
                <w:szCs w:val="20"/>
              </w:rPr>
              <w:t xml:space="preserve">The five-item FAQ block is byte-identical across index, divorce, foreclosure, inherited, distressed and damage. Someone arriving on the divorce lander from a divorce ad is asked "What if probate isn’t finished yet?" and told Florida probate takes 3–12 months.</w:t>
            </w:r>
          </w:p>
          <w:p>
            <w:pPr>
              <w:spacing w:after="70" w:before="0" w:line="276"/>
            </w:pPr>
            <w:r>
              <w:rPr>
                <w:rFonts w:ascii="Calibri" w:cs="Calibri" w:eastAsia="Calibri" w:hAnsi="Calibri"/>
                <w:b w:val="false"/>
                <w:bCs w:val="false"/>
                <w:i w:val="false"/>
                <w:iCs w:val="false"/>
                <w:color w:val="10161D"/>
                <w:sz w:val="20"/>
                <w:szCs w:val="20"/>
              </w:rPr>
              <w:t xml:space="preserve">The four non-inherited landers do localise the section eyebrow — "Divorce Home Questions" and so on — which makes it worse, not better: the label promises situation-specific answers and the body delivers estate law. The homepage does not even change the label; it still reads "Inherited Home Questions".</w:t>
            </w:r>
          </w:p>
          <w:p>
            <w:pPr>
              <w:spacing w:after="70" w:before="0" w:line="276"/>
            </w:pPr>
            <w:r>
              <w:rPr>
                <w:rFonts w:ascii="Consolas" w:cs="Consolas" w:eastAsia="Consolas" w:hAnsi="Consolas"/>
                <w:b w:val="false"/>
                <w:bCs w:val="false"/>
                <w:i w:val="false"/>
                <w:iCs w:val="false"/>
                <w:color w:val="55606C"/>
                <w:sz w:val="17"/>
                <w:szCs w:val="17"/>
              </w:rPr>
              <w:t xml:space="preserve">Evidence: index.html:590–634 is 100% identical to inherited/index.html:514–558. Shared question at index:612, divorce:542, foreclosure:537, distressed:542, damage:537.</w:t>
            </w:r>
          </w:p>
        </w:tc>
      </w:tr>
    </w:tbl>
    <w:p>
      <w:pPr>
        <w:spacing w:after="100" w:before="0" w:line="276"/>
      </w:pPr>
      <w:r>
        <w:rPr>
          <w:rFonts w:ascii="Calibri" w:cs="Calibri" w:eastAsia="Calibri" w:hAnsi="Calibri"/>
          <w:b w:val="false"/>
          <w:bCs w:val="false"/>
          <w:i w:val="false"/>
          <w:iCs w:val="false"/>
          <w:color w:val="10161D"/>
          <w:sz w:val="21"/>
          <w:szCs w:val="21"/>
        </w:rPr>
        <w:t xml:space="preserve"/>
      </w:r>
    </w:p>
    <w:tbl>
      <w:tblPr>
        <w:tblW w:type="dxa" w:w="9360"/>
        <w:tblBorders>
          <w:top w:val="single" w:color="DBE1E8" w:sz="2"/>
          <w:left w:val="single" w:color="9C5714"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9C5714"/>
                <w:sz w:val="16"/>
                <w:szCs w:val="16"/>
              </w:rPr>
              <w:t xml:space="preserve">HIGH  </w:t>
            </w:r>
            <w:r>
              <w:rPr>
                <w:rFonts w:ascii="Calibri" w:cs="Calibri" w:eastAsia="Calibri" w:hAnsi="Calibri"/>
                <w:b/>
                <w:bCs/>
                <w:i w:val="false"/>
                <w:iCs w:val="false"/>
                <w:color w:val="10161D"/>
                <w:sz w:val="21"/>
                <w:szCs w:val="21"/>
              </w:rPr>
              <w:t xml:space="preserve">“Within minutes” vs “within 24 hours” — on both sites</w:t>
            </w:r>
          </w:p>
          <w:p>
            <w:pPr>
              <w:spacing w:after="70" w:before="0" w:line="276"/>
            </w:pPr>
            <w:r>
              <w:rPr>
                <w:rFonts w:ascii="Calibri" w:cs="Calibri" w:eastAsia="Calibri" w:hAnsi="Calibri"/>
                <w:b w:val="false"/>
                <w:bCs w:val="false"/>
                <w:i w:val="false"/>
                <w:iCs w:val="false"/>
                <w:color w:val="10161D"/>
                <w:sz w:val="20"/>
                <w:szCs w:val="20"/>
              </w:rPr>
              <w:t xml:space="preserve">I captured Main’s live success card: "We’ll Call You Soon! A member of Tarek’s team will reach out within minutes." The thank-you page and the hero both promise 24 hours. Tampa has the same split: the stats bar says a flat "7 Day Close", the FAQ says "As fast as 7 days… If you need 90 days, we wait", and step 3 says "7 days or 90 — you choose".</w:t>
            </w:r>
          </w:p>
          <w:p>
            <w:pPr>
              <w:spacing w:after="70" w:before="0" w:line="276"/>
            </w:pPr>
            <w:r>
              <w:rPr>
                <w:rFonts w:ascii="Calibri" w:cs="Calibri" w:eastAsia="Calibri" w:hAnsi="Calibri"/>
                <w:b w:val="false"/>
                <w:bCs w:val="false"/>
                <w:i w:val="false"/>
                <w:iCs w:val="false"/>
                <w:color w:val="10161D"/>
                <w:sz w:val="20"/>
                <w:szCs w:val="20"/>
              </w:rPr>
              <w:t xml:space="preserve">Pick one number per promise and use it everywhere. "Within minutes" is the riskiest of them — it is the one a seller will time you against.</w:t>
            </w:r>
          </w:p>
        </w:tc>
      </w:tr>
    </w:tbl>
    <w:p>
      <w:pPr>
        <w:spacing w:after="100" w:before="0" w:line="276"/>
      </w:pPr>
      <w:r>
        <w:rPr>
          <w:rFonts w:ascii="Calibri" w:cs="Calibri" w:eastAsia="Calibri" w:hAnsi="Calibri"/>
          <w:b w:val="false"/>
          <w:bCs w:val="false"/>
          <w:i w:val="false"/>
          <w:iCs w:val="false"/>
          <w:color w:val="10161D"/>
          <w:sz w:val="21"/>
          <w:szCs w:val="21"/>
        </w:rPr>
        <w:t xml:space="preserve"/>
      </w:r>
    </w:p>
    <w:p>
      <w:pPr>
        <w:spacing w:after="120" w:before="60" w:line="276"/>
      </w:pPr>
      <w:r>
        <w:rPr>
          <w:rFonts w:ascii="Calibri" w:cs="Calibri" w:eastAsia="Calibri" w:hAnsi="Calibri"/>
          <w:b w:val="false"/>
          <w:bCs w:val="false"/>
          <w:i w:val="false"/>
          <w:iCs w:val="false"/>
          <w:color w:val="10161D"/>
          <w:sz w:val="21"/>
          <w:szCs w:val="21"/>
        </w:rPr>
        <w:t xml:space="preserve">Tampa also carries find-and-replace artifacts in the urgency band: the same sentence with one word swapped per page — "every month your divorce house sits empty", "your foreclosure house sits empty" — ungrammatical on two pages and factually wrong on the others, since nobody has moved out of a distressed house they still live in. The same $1,500–$3,000/month carrying-cost figure is applied identically to all five situations.</w:t>
      </w:r>
    </w:p>
    <w:p>
      <w:pPr>
        <w:spacing w:after="120" w:before="60" w:line="276"/>
      </w:pPr>
      <w:r>
        <w:rPr>
          <w:rFonts w:ascii="Calibri" w:cs="Calibri" w:eastAsia="Calibri" w:hAnsi="Calibri"/>
          <w:b w:val="false"/>
          <w:bCs w:val="false"/>
          <w:i w:val="false"/>
          <w:iCs w:val="false"/>
          <w:color w:val="10161D"/>
          <w:sz w:val="21"/>
          <w:szCs w:val="21"/>
        </w:rPr>
        <w:t xml:space="preserve">Main’s advantage here is real and worth protecting: 17 genuinely distinct situation narratives with their own headlines, bodies, FAQs, before/after framing and CTA copy, plus OfferTransparency — a worked ARV calculation ($320K − $45K repairs − $35K margin = $240K) with an "example based on a typical property" disclaimer. That component is the single strongest trust asset across either property, and it exists only on Main.</w:t>
      </w:r>
    </w:p>
    <w:tbl>
      <w:tblPr>
        <w:tblW w:type="dxa" w:w="9360"/>
        <w:tblBorders>
          <w:top w:val="single" w:color="DBE1E8" w:sz="2"/>
          <w:left w:val="single" w:color="9C5714"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9C5714"/>
                <w:sz w:val="16"/>
                <w:szCs w:val="16"/>
              </w:rPr>
              <w:t xml:space="preserve">COMPLIANCE  </w:t>
            </w:r>
            <w:r>
              <w:rPr>
                <w:rFonts w:ascii="Calibri" w:cs="Calibri" w:eastAsia="Calibri" w:hAnsi="Calibri"/>
                <w:b/>
                <w:bCs/>
                <w:i w:val="false"/>
                <w:iCs w:val="false"/>
                <w:color w:val="10161D"/>
                <w:sz w:val="21"/>
                <w:szCs w:val="21"/>
              </w:rPr>
              <w:t xml:space="preserve">Two claims worth a legal look</w:t>
            </w:r>
          </w:p>
          <w:p>
            <w:pPr>
              <w:spacing w:after="70" w:before="0" w:line="276"/>
            </w:pPr>
            <w:r>
              <w:rPr>
                <w:rFonts w:ascii="Calibri" w:cs="Calibri" w:eastAsia="Calibri" w:hAnsi="Calibri"/>
                <w:b w:val="false"/>
                <w:bCs w:val="false"/>
                <w:i w:val="false"/>
                <w:iCs w:val="false"/>
                <w:color w:val="10161D"/>
                <w:sz w:val="20"/>
                <w:szCs w:val="20"/>
              </w:rPr>
              <w:t xml:space="preserve">"Licensed, bonded, and insured in every state we operate in" (ProtectionGuarantee.tsx:19) is not covered by SUBSTANTIATION.md at all.</w:t>
            </w:r>
          </w:p>
          <w:p>
            <w:pPr>
              <w:spacing w:after="70" w:before="0" w:line="276"/>
            </w:pPr>
            <w:r>
              <w:rPr>
                <w:rFonts w:ascii="Calibri" w:cs="Calibri" w:eastAsia="Calibri" w:hAnsi="Calibri"/>
                <w:b w:val="false"/>
                <w:bCs w:val="false"/>
                <w:i w:val="false"/>
                <w:iCs w:val="false"/>
                <w:color w:val="10161D"/>
                <w:sz w:val="20"/>
                <w:szCs w:val="20"/>
              </w:rPr>
              <w:t xml:space="preserve">Both footers carry "Tarek El Moussa | CA DRE Lic# 01329011" — a California licence — while Tampa is a Florida-only site whose footer also states "TBH is not a licensed real estate broker or agent". Tampa’s schema meanwhile declares @type: RealEstateAgent, asserting the exact relationship the footer disclaims.</w:t>
            </w:r>
          </w:p>
        </w:tc>
      </w:tr>
    </w:tbl>
    <w:p>
      <w:pPr>
        <w:pStyle w:val="Heading1"/>
        <w:spacing w:after="140" w:before="360"/>
      </w:pPr>
      <w:r>
        <w:t xml:space="preserve">6 · Trust &amp; social proof</w:t>
      </w:r>
    </w:p>
    <w:p>
      <w:pPr>
        <w:spacing w:after="120" w:before="60" w:line="276"/>
      </w:pPr>
      <w:r>
        <w:rPr>
          <w:rFonts w:ascii="Calibri" w:cs="Calibri" w:eastAsia="Calibri" w:hAnsi="Calibri"/>
          <w:b/>
          <w:bCs/>
          <w:i w:val="false"/>
          <w:iCs w:val="false"/>
          <w:color w:val="10161D"/>
          <w:sz w:val="21"/>
          <w:szCs w:val="21"/>
        </w:rPr>
        <w:t xml:space="preserve">Verdict: Main. </w:t>
      </w:r>
      <w:r>
        <w:rPr>
          <w:rFonts w:ascii="Calibri" w:cs="Calibri" w:eastAsia="Calibri" w:hAnsi="Calibri"/>
          <w:b w:val="false"/>
          <w:bCs w:val="false"/>
          <w:i w:val="false"/>
          <w:iCs w:val="false"/>
          <w:color w:val="10161D"/>
          <w:sz w:val="21"/>
          <w:szCs w:val="21"/>
        </w:rPr>
        <w:t xml:space="preserve">Main has built far better trust machinery than Tampa and is currently rendering none of it. The section’s central recommendation follows directly from that, and everything below is the evidence for it.</w:t>
      </w:r>
    </w:p>
    <w:tbl>
      <w:tblPr>
        <w:tblW w:type="dxa" w:w="9360"/>
        <w:tblBorders>
          <w:top w:val="single" w:color="DBE1E8" w:sz="2"/>
          <w:left w:val="single" w:color="1C6B4C"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1C6B4C"/>
                <w:sz w:val="16"/>
                <w:szCs w:val="16"/>
              </w:rPr>
              <w:t xml:space="preserve">RECOMMENDATION  </w:t>
            </w:r>
            <w:r>
              <w:rPr>
                <w:rFonts w:ascii="Calibri" w:cs="Calibri" w:eastAsia="Calibri" w:hAnsi="Calibri"/>
                <w:b/>
                <w:bCs/>
                <w:i w:val="false"/>
                <w:iCs w:val="false"/>
                <w:color w:val="10161D"/>
                <w:sz w:val="21"/>
                <w:szCs w:val="21"/>
              </w:rPr>
              <w:t xml:space="preserve">Promote the testimonials section from testing to production</w:t>
            </w:r>
          </w:p>
          <w:p>
            <w:pPr>
              <w:spacing w:after="70" w:before="0" w:line="276"/>
            </w:pPr>
            <w:r>
              <w:rPr>
                <w:rFonts w:ascii="Calibri" w:cs="Calibri" w:eastAsia="Calibri" w:hAnsi="Calibri"/>
                <w:b/>
                <w:bCs/>
                <w:i w:val="false"/>
                <w:iCs w:val="false"/>
                <w:color w:val="10161D"/>
                <w:sz w:val="20"/>
                <w:szCs w:val="20"/>
              </w:rPr>
              <w:t xml:space="preserve">The testimonials section that renders correctly in the testing environment should be promoted to production. </w:t>
            </w:r>
            <w:r>
              <w:rPr>
                <w:rFonts w:ascii="Calibri" w:cs="Calibri" w:eastAsia="Calibri" w:hAnsi="Calibri"/>
                <w:b w:val="false"/>
                <w:bCs w:val="false"/>
                <w:i w:val="false"/>
                <w:iCs w:val="false"/>
                <w:color w:val="10161D"/>
                <w:sz w:val="20"/>
                <w:szCs w:val="20"/>
              </w:rPr>
              <w:t xml:space="preserve">It is the highest-value trust change available on either property, and it resolves — or is the precondition for resolving — every other observation in this section.</w:t>
            </w:r>
          </w:p>
          <w:p>
            <w:pPr>
              <w:spacing w:after="70" w:before="0" w:line="276"/>
            </w:pPr>
            <w:r>
              <w:rPr>
                <w:rFonts w:ascii="Calibri" w:cs="Calibri" w:eastAsia="Calibri" w:hAnsi="Calibri"/>
                <w:b/>
                <w:bCs/>
                <w:i w:val="false"/>
                <w:iCs w:val="false"/>
                <w:color w:val="10161D"/>
                <w:sz w:val="20"/>
                <w:szCs w:val="20"/>
              </w:rPr>
              <w:t xml:space="preserve">What it fixes, point by point against the findings below:</w:t>
            </w:r>
          </w:p>
          <w:p>
            <w:pPr>
              <w:spacing w:after="70" w:before="0" w:line="276"/>
            </w:pPr>
            <w:r>
              <w:rPr>
                <w:rFonts w:ascii="Calibri" w:cs="Calibri" w:eastAsia="Calibri" w:hAnsi="Calibri"/>
                <w:b w:val="false"/>
                <w:bCs w:val="false"/>
                <w:i w:val="false"/>
                <w:iCs w:val="false"/>
                <w:color w:val="10161D"/>
                <w:sz w:val="20"/>
                <w:szCs w:val="20"/>
              </w:rPr>
              <w:t xml:space="preserve">1. The homepage currently shows zero testimonials. Confirmed on production: TestimonialsSpotlight and TestimonialsEditorial both sit inside &lt;div className="hidden"&gt; — computed display:none, offsetParent null. Their headings are in the DOM and invisible. Promoting the testing build puts real seller stories on the page that takes your most direct traffic and produces 237 of your 361 leads.</w:t>
            </w:r>
          </w:p>
          <w:p>
            <w:pPr>
              <w:spacing w:after="70" w:before="0" w:line="276"/>
            </w:pPr>
            <w:r>
              <w:rPr>
                <w:rFonts w:ascii="Calibri" w:cs="Calibri" w:eastAsia="Calibri" w:hAnsi="Calibri"/>
                <w:b w:val="false"/>
                <w:bCs w:val="false"/>
                <w:i w:val="false"/>
                <w:iCs w:val="false"/>
                <w:color w:val="10161D"/>
                <w:sz w:val="20"/>
                <w:szCs w:val="20"/>
              </w:rPr>
              <w:t xml:space="preserve">2. It surfaces the corrected copy, not the pre-audit copy. The testing build carries the four testimonial-content commits — including "remove fabricated sellers" and "fix testimonial locations to match actual addresses" — plus the VideoStoryFrame play-button fix. Promoting that build is precisely what makes this safe: enabling the section on current production code would surface the copy the audit flagged, with broken video playback.</w:t>
            </w:r>
          </w:p>
          <w:p>
            <w:pPr>
              <w:spacing w:after="70" w:before="0" w:line="276"/>
            </w:pPr>
            <w:r>
              <w:rPr>
                <w:rFonts w:ascii="Calibri" w:cs="Calibri" w:eastAsia="Calibri" w:hAnsi="Calibri"/>
                <w:b w:val="false"/>
                <w:bCs w:val="false"/>
                <w:i w:val="false"/>
                <w:iCs w:val="false"/>
                <w:color w:val="10161D"/>
                <w:sz w:val="20"/>
                <w:szCs w:val="20"/>
              </w:rPr>
              <w:t xml:space="preserve">3. It gives the admin curation module something to drive. Today an operator can order the spotlight, preview it, save it, and see no change on the live site with no indication why — and the in-app hint text claims assignments control what shows "on the homepage," which is currently untrue.</w:t>
            </w:r>
          </w:p>
          <w:p>
            <w:pPr>
              <w:spacing w:after="70" w:before="0" w:line="276"/>
            </w:pPr>
            <w:r>
              <w:rPr>
                <w:rFonts w:ascii="Calibri" w:cs="Calibri" w:eastAsia="Calibri" w:hAnsi="Calibri"/>
                <w:b w:val="false"/>
                <w:bCs w:val="false"/>
                <w:i w:val="false"/>
                <w:iCs w:val="false"/>
                <w:color w:val="10161D"/>
                <w:sz w:val="20"/>
                <w:szCs w:val="20"/>
              </w:rPr>
              <w:t xml:space="preserve">4. It puts TESTIMONIAL_DISCLAIMER on screen. The Spotlight renders it; the component currently live on landers does not.</w:t>
            </w:r>
          </w:p>
          <w:p>
            <w:pPr>
              <w:spacing w:after="70" w:before="0" w:line="276"/>
            </w:pPr>
            <w:r>
              <w:rPr>
                <w:rFonts w:ascii="Calibri" w:cs="Calibri" w:eastAsia="Calibri" w:hAnsi="Calibri"/>
                <w:b w:val="false"/>
                <w:bCs w:val="false"/>
                <w:i w:val="false"/>
                <w:iCs w:val="false"/>
                <w:color w:val="10161D"/>
                <w:sz w:val="20"/>
                <w:szCs w:val="20"/>
              </w:rPr>
              <w:t xml:space="preserve">5. It converts the waste flagged in Dimension 4 into value. Both testimonial modules already mount and already run their Supabase queries — including an N+1 fetch per testimonial — for content nobody sees. The cost is already being paid; this is what makes the visitor receive something for it.</w:t>
            </w:r>
          </w:p>
          <w:p>
            <w:pPr>
              <w:spacing w:after="70" w:before="0" w:line="276"/>
            </w:pPr>
            <w:r>
              <w:rPr>
                <w:rFonts w:ascii="Calibri" w:cs="Calibri" w:eastAsia="Calibri" w:hAnsi="Calibri"/>
                <w:b/>
                <w:bCs/>
                <w:i w:val="false"/>
                <w:iCs w:val="false"/>
                <w:color w:val="10161D"/>
                <w:sz w:val="20"/>
                <w:szCs w:val="20"/>
              </w:rPr>
              <w:t xml:space="preserve">Release sequence — in this order it is a clean promotion:</w:t>
            </w:r>
          </w:p>
          <w:p>
            <w:pPr>
              <w:spacing w:after="70" w:before="0" w:line="276"/>
            </w:pPr>
            <w:r>
              <w:rPr>
                <w:rFonts w:ascii="Calibri" w:cs="Calibri" w:eastAsia="Calibri" w:hAnsi="Calibri"/>
                <w:b w:val="false"/>
                <w:bCs w:val="false"/>
                <w:i w:val="false"/>
                <w:iCs w:val="false"/>
                <w:color w:val="10161D"/>
                <w:sz w:val="20"/>
                <w:szCs w:val="20"/>
              </w:rPr>
              <w:t xml:space="preserve">Step 1. Promote the testing build’s testimonial content commits and the play-button fix.</w:t>
            </w:r>
          </w:p>
          <w:p>
            <w:pPr>
              <w:spacing w:after="70" w:before="0" w:line="276"/>
            </w:pPr>
            <w:r>
              <w:rPr>
                <w:rFonts w:ascii="Calibri" w:cs="Calibri" w:eastAsia="Calibri" w:hAnsi="Calibri"/>
                <w:b w:val="false"/>
                <w:bCs w:val="false"/>
                <w:i w:val="false"/>
                <w:iCs w:val="false"/>
                <w:color w:val="10161D"/>
                <w:sz w:val="20"/>
                <w:szCs w:val="20"/>
              </w:rPr>
              <w:t xml:space="preserve">Step 2. Seed testimonial_section_assignments with a curated spotlight set. Without rows it silently falls back to ALL published testimonials, which is not what the curation UI implies.</w:t>
            </w:r>
          </w:p>
          <w:p>
            <w:pPr>
              <w:spacing w:after="70" w:before="0" w:line="276"/>
            </w:pPr>
            <w:r>
              <w:rPr>
                <w:rFonts w:ascii="Calibri" w:cs="Calibri" w:eastAsia="Calibri" w:hAnsi="Calibri"/>
                <w:b w:val="false"/>
                <w:bCs w:val="false"/>
                <w:i w:val="false"/>
                <w:iCs w:val="false"/>
                <w:color w:val="10161D"/>
                <w:sz w:val="20"/>
                <w:szCs w:val="20"/>
              </w:rPr>
              <w:t xml:space="preserve">Step 3. Remove the hidden wrapper on page.tsx:36. This is the one-line part, and it belongs last.</w:t>
            </w:r>
          </w:p>
          <w:p>
            <w:pPr>
              <w:spacing w:after="70" w:before="0" w:line="276"/>
            </w:pPr>
            <w:r>
              <w:rPr>
                <w:rFonts w:ascii="Calibri" w:cs="Calibri" w:eastAsia="Calibri" w:hAnsi="Calibri"/>
                <w:b/>
                <w:bCs/>
                <w:i w:val="false"/>
                <w:iCs w:val="false"/>
                <w:color w:val="10161D"/>
                <w:sz w:val="20"/>
                <w:szCs w:val="20"/>
              </w:rPr>
              <w:t xml:space="preserve">What it does not fix, so it is not mistaken for complete: </w:t>
            </w:r>
            <w:r>
              <w:rPr>
                <w:rFonts w:ascii="Calibri" w:cs="Calibri" w:eastAsia="Calibri" w:hAnsi="Calibri"/>
                <w:b w:val="false"/>
                <w:bCs w:val="false"/>
                <w:i w:val="false"/>
                <w:iCs w:val="false"/>
                <w:color w:val="10161D"/>
                <w:sz w:val="20"/>
                <w:szCs w:val="20"/>
              </w:rPr>
              <w:t xml:space="preserve">the landers render TestimonialCards, a separate hardcoded component the Spotlight work never touched. Promoting the section fixes the homepage; the landers need the remediation described immediately below. Ship both together and the site tells one consistent story.</w:t>
            </w:r>
          </w:p>
        </w:tc>
      </w:tr>
    </w:tbl>
    <w:p>
      <w:pPr>
        <w:spacing w:after="100" w:before="0" w:line="276"/>
      </w:pPr>
      <w:r>
        <w:rPr>
          <w:rFonts w:ascii="Calibri" w:cs="Calibri" w:eastAsia="Calibri" w:hAnsi="Calibri"/>
          <w:b w:val="false"/>
          <w:bCs w:val="false"/>
          <w:i w:val="false"/>
          <w:iCs w:val="false"/>
          <w:color w:val="10161D"/>
          <w:sz w:val="21"/>
          <w:szCs w:val="21"/>
        </w:rPr>
        <w:t xml:space="preserve"/>
      </w:r>
    </w:p>
    <w:tbl>
      <w:tblPr>
        <w:tblW w:type="dxa" w:w="9360"/>
        <w:tblBorders>
          <w:top w:val="single" w:color="DBE1E8" w:sz="2"/>
          <w:left w:val="single" w:color="B32A44"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B32A44"/>
                <w:sz w:val="16"/>
                <w:szCs w:val="16"/>
              </w:rPr>
              <w:t xml:space="preserve">CRITICAL  </w:t>
            </w:r>
            <w:r>
              <w:rPr>
                <w:rFonts w:ascii="Calibri" w:cs="Calibri" w:eastAsia="Calibri" w:hAnsi="Calibri"/>
                <w:b/>
                <w:bCs/>
                <w:i w:val="false"/>
                <w:iCs w:val="false"/>
                <w:color w:val="10161D"/>
                <w:sz w:val="21"/>
                <w:szCs w:val="21"/>
              </w:rPr>
              <w:t xml:space="preserve">The remediation was applied to the component nobody sees</w:t>
            </w:r>
          </w:p>
          <w:p>
            <w:pPr>
              <w:spacing w:after="70" w:before="0" w:line="276"/>
            </w:pPr>
            <w:r>
              <w:rPr>
                <w:rFonts w:ascii="Calibri" w:cs="Calibri" w:eastAsia="Calibri" w:hAnsi="Calibri"/>
                <w:b w:val="false"/>
                <w:bCs w:val="false"/>
                <w:i w:val="false"/>
                <w:iCs w:val="false"/>
                <w:color w:val="10161D"/>
                <w:sz w:val="20"/>
                <w:szCs w:val="20"/>
              </w:rPr>
              <w:t xml:space="preserve">The only testimonial component rendering on production landers is TestimonialCards.tsx, and it reads nothing from the database. It hardcodes three quotes attributed to first-initial names with the location label "Verified Seller" — a verification claim with no verification mechanism anywhere in the codebase — and these render on 29 of 30 markets.</w:t>
            </w:r>
          </w:p>
          <w:p>
            <w:pPr>
              <w:spacing w:after="70" w:before="0" w:line="276"/>
            </w:pPr>
            <w:r>
              <w:rPr>
                <w:rFonts w:ascii="Calibri" w:cs="Calibri" w:eastAsia="Calibri" w:hAnsi="Calibri"/>
                <w:b w:val="false"/>
                <w:bCs w:val="false"/>
                <w:i w:val="false"/>
                <w:iCs w:val="false"/>
                <w:color w:val="10161D"/>
                <w:sz w:val="20"/>
                <w:szCs w:val="20"/>
              </w:rPr>
              <w:t xml:space="preserve">The dev-branch commit "remove fabricated sellers" modified src/data/testimonials.ts, which feeds the hidden Spotlight. It never touched TestimonialCards.tsx, on any branch. TestimonialCards also does not render TESTIMONIAL_DISCLAIMER, while all three hidden components do.</w:t>
            </w:r>
          </w:p>
        </w:tc>
      </w:tr>
    </w:tbl>
    <w:p>
      <w:pPr>
        <w:spacing w:after="100" w:before="0" w:line="276"/>
      </w:pPr>
      <w:r>
        <w:rPr>
          <w:rFonts w:ascii="Calibri" w:cs="Calibri" w:eastAsia="Calibri" w:hAnsi="Calibri"/>
          <w:b w:val="false"/>
          <w:bCs w:val="false"/>
          <w:i w:val="false"/>
          <w:iCs w:val="false"/>
          <w:color w:val="10161D"/>
          <w:sz w:val="21"/>
          <w:szCs w:val="21"/>
        </w:rPr>
        <w:t xml:space="preserve"/>
      </w:r>
    </w:p>
    <w:p>
      <w:pPr>
        <w:pStyle w:val="Heading3"/>
        <w:spacing w:after="90" w:before="220"/>
      </w:pPr>
      <w:r>
        <w:t xml:space="preserve">Tampa’s trust inventory</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"AS SEEN ON" is plain text. The hero "Featured On" row is five &lt;span&gt;s styled in Arial Black to imitate network wordmarks — while 16 real logo files sit unreferenced in the repo.</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4.7★ Google and A+ BBB with no review count, no link, no seal and no AggregateRating schema.</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Three text testimonials, identical on all six pages, no location, no date, no source. None mentions divorce, foreclosure or probate.</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One of the three "video testimonials" is a promo video, not a testimonial.</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google-reviews.png sits in the repo referenced by nothing — a review block that was built and never shipped.</w:t>
      </w:r>
    </w:p>
    <w:tbl>
      <w:tblPr>
        <w:tblW w:type="dxa" w:w="9360"/>
        <w:tblBorders>
          <w:top w:val="single" w:color="DBE1E8" w:sz="2"/>
          <w:left w:val="single" w:color="9C5714"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9C5714"/>
                <w:sz w:val="16"/>
                <w:szCs w:val="16"/>
              </w:rPr>
              <w:t xml:space="preserve">COMPLIANCE  </w:t>
            </w:r>
            <w:r>
              <w:rPr>
                <w:rFonts w:ascii="Calibri" w:cs="Calibri" w:eastAsia="Calibri" w:hAnsi="Calibri"/>
                <w:b/>
                <w:bCs/>
                <w:i w:val="false"/>
                <w:iCs w:val="false"/>
                <w:color w:val="10161D"/>
                <w:sz w:val="21"/>
                <w:szCs w:val="21"/>
              </w:rPr>
              <w:t xml:space="preserve">CNN and Forbes</w:t>
            </w:r>
          </w:p>
          <w:p>
            <w:pPr>
              <w:spacing w:after="70" w:before="0" w:line="276"/>
            </w:pPr>
            <w:r>
              <w:rPr>
                <w:rFonts w:ascii="Calibri" w:cs="Calibri" w:eastAsia="Calibri" w:hAnsi="Calibri"/>
                <w:b w:val="false"/>
                <w:bCs w:val="false"/>
                <w:i w:val="false"/>
                <w:iCs w:val="false"/>
                <w:color w:val="10161D"/>
                <w:sz w:val="20"/>
                <w:szCs w:val="20"/>
              </w:rPr>
              <w:t xml:space="preserve">Both logos still render under the heading "As Featured On" on the homepage, all 510 landers and the About page. mediaLogos.ts marks them "UNVERIFIED — could not locate specific CNN article", and SUBSTANTIATION.md’s own recommendation is "remove logo". The mitigation applied was to leave them unlinked. An unlinked logo under "As Featured On" still reads as an endorsement claim to a consumer and to the FTC; the note field is a source comment that never renders. Your own ledger already reached the right answer — it just has not been executed.</w:t>
            </w:r>
          </w:p>
        </w:tc>
      </w:tr>
    </w:tbl>
    <w:p>
      <w:pPr>
        <w:pStyle w:val="Heading1"/>
        <w:spacing w:after="140" w:before="360"/>
      </w:pPr>
      <w:r>
        <w:t xml:space="preserve">7 · SEO &amp; local SEO</w:t>
      </w:r>
    </w:p>
    <w:p>
      <w:pPr>
        <w:spacing w:after="120" w:before="60" w:line="276"/>
      </w:pPr>
      <w:r>
        <w:rPr>
          <w:rFonts w:ascii="Calibri" w:cs="Calibri" w:eastAsia="Calibri" w:hAnsi="Calibri"/>
          <w:b/>
          <w:bCs/>
          <w:i w:val="false"/>
          <w:iCs w:val="false"/>
          <w:color w:val="10161D"/>
          <w:sz w:val="21"/>
          <w:szCs w:val="21"/>
        </w:rPr>
        <w:t xml:space="preserve">Verdict: Main. Revised 26 August. </w:t>
      </w:r>
      <w:r>
        <w:rPr>
          <w:rFonts w:ascii="Calibri" w:cs="Calibri" w:eastAsia="Calibri" w:hAnsi="Calibri"/>
          <w:b w:val="false"/>
          <w:bCs w:val="false"/>
          <w:i w:val="false"/>
          <w:iCs w:val="false"/>
          <w:color w:val="10161D"/>
          <w:sz w:val="21"/>
          <w:szCs w:val="21"/>
        </w:rPr>
        <w:t xml:space="preserve">As issued, this was the surprise of the audit — the frozen static site beat the modern one on everything a crawler could see without JavaScript. Two fixes since have flipped it. Main now leads; the remaining gaps are narrower and named below.</w:t>
      </w:r>
    </w:p>
    <w:tbl>
      <w:tblPr>
        <w:tblW w:type="dxa" w:w="9360"/>
        <w:tblBorders>
          <w:top w:val="single" w:color="C2CBD5" w:sz="4"/>
          <w:left w:val="single" w:color="C2CBD5" w:sz="4"/>
          <w:bottom w:val="single" w:color="C2CBD5" w:sz="4"/>
          <w:right w:val="single" w:color="C2CBD5" w:sz="4"/>
          <w:insideH w:val="single" w:color="DBE1E8" w:sz="2"/>
          <w:insideV w:val="single" w:color="DBE1E8" w:sz="2"/>
        </w:tblBorders>
      </w:tblPr>
      <w:tblGrid>
        <w:gridCol w:w="2300"/>
        <w:gridCol w:w="3530"/>
        <w:gridCol w:w="3530"/>
      </w:tblGrid>
      <w:tr>
        <w:trPr>
          <w:tblHeader/>
        </w:trPr>
        <w:tc>
          <w:tcPr>
            <w:tcW w:type="dxa" w:w="230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In the server HTML</w:t>
            </w:r>
          </w:p>
        </w:tc>
        <w:tc>
          <w:tcPr>
            <w:tcW w:type="dxa" w:w="353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Main — as revised</w:t>
            </w:r>
          </w:p>
        </w:tc>
        <w:tc>
          <w:tcPr>
            <w:tcW w:type="dxa" w:w="353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Tampa</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Canonical tag</w:t>
            </w:r>
          </w:p>
        </w:tc>
        <w:tc>
          <w:tcPr>
            <w:tcW w:type="dxa" w:w="353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FIXED — server-rendered and correct on all 510 landers and /blog. Still absent on ~40 other pages incl. the homepage</w:t>
            </w:r>
          </w:p>
        </w:tc>
        <w:tc>
          <w:tcPr>
            <w:tcW w:type="dxa" w:w="353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Present and correct on all 12 content pages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JSON-LD</w:t>
            </w:r>
          </w:p>
        </w:tc>
        <w:tc>
          <w:tcPr>
            <w:tcW w:type="dxa" w:w="353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0 blocks — still client-injected only. The one unfixed item in this row set</w:t>
            </w:r>
          </w:p>
        </w:tc>
        <w:tc>
          <w:tcPr>
            <w:tcW w:type="dxa" w:w="353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RealEstateAgent on all 6 primary pages; FAQPage on the homepage</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og:image</w:t>
            </w:r>
          </w:p>
        </w:tc>
        <w:tc>
          <w:tcPr>
            <w:tcW w:type="dxa" w:w="353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Absent</w:t>
            </w:r>
          </w:p>
        </w:tc>
        <w:tc>
          <w:tcPr>
            <w:tcW w:type="dxa" w:w="353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Present on all 12</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Unique titles</w:t>
            </w:r>
          </w:p>
        </w:tc>
        <w:tc>
          <w:tcPr>
            <w:tcW w:type="dxa" w:w="353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FIXED — market-unique in raw HTML, 59–75 chars, brand/state/market once each. Verified on 8 landers</w:t>
            </w:r>
          </w:p>
        </w:tc>
        <w:tc>
          <w:tcPr>
            <w:tcW w:type="dxa" w:w="353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12 unique, well-differentiated, all within length</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Duplicate hostname</w:t>
            </w:r>
          </w:p>
        </w:tc>
        <w:tc>
          <w:tcPr>
            <w:tcW w:type="dxa" w:w="353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 — www serves 200 with index, follow; www variants already indexed</w:t>
            </w:r>
          </w:p>
        </w:tc>
        <w:tc>
          <w:tcPr>
            <w:tcW w:type="dxa" w:w="353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Not applicable</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H1 count</w:t>
            </w:r>
          </w:p>
        </w:tc>
        <w:tc>
          <w:tcPr>
            <w:tcW w:type="dxa" w:w="353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Exactly 1 per page, no violations</w:t>
            </w:r>
          </w:p>
        </w:tc>
        <w:tc>
          <w:tcPr>
            <w:tcW w:type="dxa" w:w="353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2 per page — desktop and mobile hero duplicates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Blog schema</w:t>
            </w:r>
          </w:p>
        </w:tc>
        <w:tc>
          <w:tcPr>
            <w:tcW w:type="dxa" w:w="353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Article/HowTo/FAQPage, client-injected; only BlogFAQ is server-rendered</w:t>
            </w:r>
          </w:p>
        </w:tc>
        <w:tc>
          <w:tcPr>
            <w:tcW w:type="dxa" w:w="353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None on any of the 5 posts</w:t>
            </w:r>
          </w:p>
        </w:tc>
      </w:tr>
    </w:tbl>
    <w:p>
      <w:pPr>
        <w:spacing w:after="100" w:before="0" w:line="276"/>
      </w:pPr>
      <w:r>
        <w:rPr>
          <w:rFonts w:ascii="Calibri" w:cs="Calibri" w:eastAsia="Calibri" w:hAnsi="Calibri"/>
          <w:b w:val="false"/>
          <w:bCs w:val="false"/>
          <w:i w:val="false"/>
          <w:iCs w:val="false"/>
          <w:color w:val="10161D"/>
          <w:sz w:val="21"/>
          <w:szCs w:val="21"/>
        </w:rPr>
        <w:t xml:space="preserve"/>
      </w:r>
    </w:p>
    <w:p>
      <w:pPr>
        <w:spacing w:after="120" w:before="60" w:line="276"/>
      </w:pPr>
      <w:r>
        <w:rPr>
          <w:rFonts w:ascii="Calibri" w:cs="Calibri" w:eastAsia="Calibri" w:hAnsi="Calibri"/>
          <w:b w:val="false"/>
          <w:bCs w:val="false"/>
          <w:i w:val="false"/>
          <w:iCs w:val="false"/>
          <w:color w:val="10161D"/>
          <w:sz w:val="21"/>
          <w:szCs w:val="21"/>
        </w:rPr>
        <w:t xml:space="preserve">Main’s schema is still the unfixed half of this section. It remains invisible to any crawler that does not execute JavaScript — Bing, most social scrapers, most SEO tooling, most LLM crawlers — because it is injected in SEOHead’s useEffect. Re-checked on 26 August: 0 application/ld+json blocks in the server HTML on four landers, 2 in the DOM. The url field no longer 404s, but the schema still declares 510 separate RealEstateBusiness entities for one company, each with no address, each asserting an aggregateRating of 4.7 across 100 reviews. Google’s guidelines are explicit about self-serving aggregateRating without per-entity reviews; this is manual-action territory. Moving JSON-LD server-side is the same one-line pattern that just fixed the canonical.</w:t>
      </w:r>
    </w:p>
    <w:tbl>
      <w:tblPr>
        <w:tblW w:type="dxa" w:w="9360"/>
        <w:tblBorders>
          <w:top w:val="single" w:color="DBE1E8" w:sz="2"/>
          <w:left w:val="single" w:color="9C5714"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9C5714"/>
                <w:sz w:val="16"/>
                <w:szCs w:val="16"/>
              </w:rPr>
              <w:t xml:space="preserve">HIGH  </w:t>
            </w:r>
            <w:r>
              <w:rPr>
                <w:rFonts w:ascii="Calibri" w:cs="Calibri" w:eastAsia="Calibri" w:hAnsi="Calibri"/>
                <w:b/>
                <w:bCs/>
                <w:i w:val="false"/>
                <w:iCs w:val="false"/>
                <w:color w:val="10161D"/>
                <w:sz w:val="21"/>
                <w:szCs w:val="21"/>
              </w:rPr>
              <w:t xml:space="preserve">Tampa’s five money pages are orphans</w:t>
            </w:r>
          </w:p>
          <w:p>
            <w:pPr>
              <w:spacing w:after="70" w:before="0" w:line="276"/>
            </w:pPr>
            <w:r>
              <w:rPr>
                <w:rFonts w:ascii="Calibri" w:cs="Calibri" w:eastAsia="Calibri" w:hAnsi="Calibri"/>
                <w:b w:val="false"/>
                <w:bCs w:val="false"/>
                <w:i w:val="false"/>
                <w:iCs w:val="false"/>
                <w:color w:val="10161D"/>
                <w:sz w:val="20"/>
                <w:szCs w:val="20"/>
              </w:rPr>
              <w:t xml:space="preserve">An exhaustive parse of every href in all 18 non-archive HTML files finds zero internal links to /divorce/, /foreclosure/, /inherited/, /distressed/ or /damage/. The only matches are each lander’s own canonical and hreflang tags. They are reachable from the sitemap and paid ads and nothing else.</w:t>
            </w:r>
          </w:p>
          <w:p>
            <w:pPr>
              <w:spacing w:after="70" w:before="0" w:line="276"/>
            </w:pPr>
            <w:r>
              <w:rPr>
                <w:rFonts w:ascii="Calibri" w:cs="Calibri" w:eastAsia="Calibri" w:hAnsi="Calibri"/>
                <w:b w:val="false"/>
                <w:bCs w:val="false"/>
                <w:i w:val="false"/>
                <w:iCs w:val="false"/>
                <w:color w:val="10161D"/>
                <w:sz w:val="20"/>
                <w:szCs w:val="20"/>
              </w:rPr>
              <w:t xml:space="preserve">The link graph runs the wrong way: the landers all link out to blog posts, and every blog CTA is &lt;a href="/"&gt;. The inherited-house article routes to the generic homepage rather than /inherited/. Five topically-matched articles, five topically-matched landers, ten links that would each take about a minute to wire.</w:t>
            </w:r>
          </w:p>
        </w:tc>
      </w:tr>
    </w:tbl>
    <w:p>
      <w:pPr>
        <w:spacing w:after="100" w:before="0" w:line="276"/>
      </w:pPr>
      <w:r>
        <w:rPr>
          <w:rFonts w:ascii="Calibri" w:cs="Calibri" w:eastAsia="Calibri" w:hAnsi="Calibri"/>
          <w:b w:val="false"/>
          <w:bCs w:val="false"/>
          <w:i w:val="false"/>
          <w:iCs w:val="false"/>
          <w:color w:val="10161D"/>
          <w:sz w:val="21"/>
          <w:szCs w:val="21"/>
        </w:rPr>
        <w:t xml:space="preserve"/>
      </w:r>
    </w:p>
    <w:tbl>
      <w:tblPr>
        <w:tblW w:type="dxa" w:w="9360"/>
        <w:tblBorders>
          <w:top w:val="single" w:color="DBE1E8" w:sz="2"/>
          <w:left w:val="single" w:color="9C5714"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9C5714"/>
                <w:sz w:val="16"/>
                <w:szCs w:val="16"/>
              </w:rPr>
              <w:t xml:space="preserve">HIGH  </w:t>
            </w:r>
            <w:r>
              <w:rPr>
                <w:rFonts w:ascii="Calibri" w:cs="Calibri" w:eastAsia="Calibri" w:hAnsi="Calibri"/>
                <w:b/>
                <w:bCs/>
                <w:i w:val="false"/>
                <w:iCs w:val="false"/>
                <w:color w:val="10161D"/>
                <w:sz w:val="21"/>
                <w:szCs w:val="21"/>
              </w:rPr>
              <w:t xml:space="preserve">_archive/ is a live, crawlable duplicate-content farm</w:t>
            </w:r>
          </w:p>
          <w:p>
            <w:pPr>
              <w:spacing w:after="70" w:before="0" w:line="276"/>
            </w:pPr>
            <w:r>
              <w:rPr>
                <w:rFonts w:ascii="Calibri" w:cs="Calibri" w:eastAsia="Calibri" w:hAnsi="Calibri"/>
                <w:b w:val="false"/>
                <w:bCs w:val="false"/>
                <w:i w:val="false"/>
                <w:iCs w:val="false"/>
                <w:color w:val="10161D"/>
                <w:sz w:val="20"/>
                <w:szCs w:val="20"/>
              </w:rPr>
              <w:t xml:space="preserve">37 HTML files, publicly reachable (HTTP 200 confirmed on three), zero with a noindex, none in the sitemap, none disallowed — robots.txt is Allow: / with no Disallow. It contains ten near-identical inherited*.html variants and five superseded landers competing with your live URLs for the same queries, with no canonicals pointing home.</w:t>
            </w:r>
          </w:p>
          <w:p>
            <w:pPr>
              <w:spacing w:after="70" w:before="0" w:line="276"/>
            </w:pPr>
            <w:r>
              <w:rPr>
                <w:rFonts w:ascii="Calibri" w:cs="Calibri" w:eastAsia="Calibri" w:hAnsi="Calibri"/>
                <w:b w:val="false"/>
                <w:bCs w:val="false"/>
                <w:i w:val="false"/>
                <w:iCs w:val="false"/>
                <w:color w:val="10161D"/>
                <w:sz w:val="20"/>
                <w:szCs w:val="20"/>
              </w:rPr>
              <w:t xml:space="preserve">It also leaks stale tracking: one archived page carries Google Ads ID AW-3344181007 — a different account from your live AW-18110677556 — and Meta Pixel 1453673039441669. Any crawl or human visit fires both.</w:t>
            </w:r>
          </w:p>
        </w:tc>
      </w:tr>
    </w:tbl>
    <w:p>
      <w:pPr>
        <w:pStyle w:val="Heading3"/>
        <w:spacing w:after="90" w:before="220"/>
      </w:pPr>
      <w:r>
        <w:t xml:space="preserve">The standalone-domain question, answered precisely</w:t>
      </w:r>
    </w:p>
    <w:p>
      <w:pPr>
        <w:spacing w:after="120" w:before="60" w:line="276"/>
      </w:pPr>
      <w:r>
        <w:rPr>
          <w:rFonts w:ascii="Calibri" w:cs="Calibri" w:eastAsia="Calibri" w:hAnsi="Calibri"/>
          <w:b w:val="false"/>
          <w:bCs w:val="false"/>
          <w:i w:val="false"/>
          <w:iCs w:val="false"/>
          <w:color w:val="10161D"/>
          <w:sz w:val="21"/>
          <w:szCs w:val="21"/>
        </w:rPr>
        <w:t xml:space="preserve">You asked whether tbhtampa.com earns its keep against a /[market] subpath. The decisive fact is that a Main market page carries essentially no local-entity signal:</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No local phone — all 30 markets spread one SHARED_PHONE constant, so every lander dials the same toll-free line.</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No street address, no map, no business hours, no Google Business Profile link.</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No LocalBusiness schema with an address — the injected entity has telephone and nothing else, and it is client-only.</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The only physical address on the entire site is on /contact — Anaheim, California — and it appears in no schema anywhere.</w:t>
      </w:r>
    </w:p>
    <w:p>
      <w:pPr>
        <w:spacing w:after="120" w:before="60" w:line="276"/>
      </w:pPr>
      <w:r>
        <w:rPr>
          <w:rFonts w:ascii="Calibri" w:cs="Calibri" w:eastAsia="Calibri" w:hAnsi="Calibri"/>
          <w:b w:val="false"/>
          <w:bCs w:val="false"/>
          <w:i w:val="false"/>
          <w:iCs w:val="false"/>
          <w:color w:val="10161D"/>
          <w:sz w:val="21"/>
          <w:szCs w:val="21"/>
        </w:rPr>
        <w:t xml:space="preserve">What a market page does have is the market name interpolated into templated copy, a 20-item neighbourhood word list rendered as plain &lt;span&gt; rather than links, and two market-specific cells in one comparison table. Between /divorce/tampa and /divorce/phoenix the entire DOM is identical except roughly fifteen substituted strings.</w:t>
      </w:r>
    </w:p>
    <w:p>
      <w:pPr>
        <w:spacing w:after="120" w:before="60" w:line="276"/>
      </w:pPr>
      <w:r>
        <w:rPr>
          <w:rFonts w:ascii="Calibri" w:cs="Calibri" w:eastAsia="Calibri" w:hAnsi="Calibri"/>
          <w:b/>
          <w:bCs/>
          <w:i w:val="false"/>
          <w:iCs w:val="false"/>
          <w:color w:val="10161D"/>
          <w:sz w:val="21"/>
          <w:szCs w:val="21"/>
        </w:rPr>
        <w:t xml:space="preserve">So the domain question is currently unanswerable on the merits</w:t>
      </w:r>
      <w:r>
        <w:rPr>
          <w:rFonts w:ascii="Calibri" w:cs="Calibri" w:eastAsia="Calibri" w:hAnsi="Calibri"/>
          <w:b w:val="false"/>
          <w:bCs w:val="false"/>
          <w:i w:val="false"/>
          <w:iCs w:val="false"/>
          <w:color w:val="10161D"/>
          <w:sz w:val="21"/>
          <w:szCs w:val="21"/>
        </w:rPr>
        <w:t xml:space="preserve"> — you would be comparing a real local domain against subpaths that carry no local signal to inherit. Tampa’s domain is not beating a strong alternative; there is no alternative yet. Building genuine local signal into /[market] — a tracked local number, an address, real LocalBusiness schema, linked neighbourhoods — is the prerequisite to even running that test.</w:t>
      </w:r>
    </w:p>
    <w:p>
      <w:pPr>
        <w:pStyle w:val="Heading3"/>
        <w:spacing w:after="90" w:before="220"/>
      </w:pPr>
      <w:r>
        <w:t xml:space="preserve">Prioritised fixes</w:t>
      </w:r>
    </w:p>
    <w:tbl>
      <w:tblPr>
        <w:tblW w:type="dxa" w:w="9360"/>
        <w:tblBorders>
          <w:top w:val="single" w:color="C2CBD5" w:sz="4"/>
          <w:left w:val="single" w:color="C2CBD5" w:sz="4"/>
          <w:bottom w:val="single" w:color="C2CBD5" w:sz="4"/>
          <w:right w:val="single" w:color="C2CBD5" w:sz="4"/>
          <w:insideH w:val="single" w:color="DBE1E8" w:sz="2"/>
          <w:insideV w:val="single" w:color="DBE1E8" w:sz="2"/>
        </w:tblBorders>
      </w:tblPr>
      <w:tblGrid>
        <w:gridCol w:w="1200"/>
        <w:gridCol w:w="8160"/>
      </w:tblGrid>
      <w:tr>
        <w:trPr>
          <w:tblHeader/>
        </w:trPr>
        <w:tc>
          <w:tcPr>
            <w:tcW w:type="dxa" w:w="120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Site</w:t>
            </w:r>
          </w:p>
        </w:tc>
        <w:tc>
          <w:tcPr>
            <w:tcW w:type="dxa" w:w="816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Action</w:t>
            </w:r>
          </w:p>
        </w:tc>
      </w:tr>
      <w:tr>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 (rev.)</w:t>
            </w:r>
          </w:p>
        </w:tc>
        <w:tc>
          <w:tcPr>
            <w:tcW w:type="dxa" w:w="81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1. DONE 26 Aug — canonical fixed. 2. DONE 26 Aug — {market} in titles, solved better than proposed by rebuilding title construction rather than editing 17 strings. 3. DONE 26 Aug — generated_content now rendered server-side. 4. OPEN: set www to redirect to the apex (Vercel → Domains). Currently serves 200, indexable, and www URLs are already in the index. Dashboard toggle, no deploy. 5. OPEN: move JSON-LD and og:image server-side — the last client-only metadata, same pattern as the canonical fix. 6. OPEN: add a canonical to the ~40 pages that still lack one, starting with the homepage and the 30 /markets/{slug} pages. 7. OPEN: drop aggregateRating from the per-page schema, or make it real and per-entity. 8. OPEN: add disallow: ['/admin'] to robots.ts. 9. OPEN: stop stamping lastModified: new Date() on 510 URLs every crawl; add the 30 /markets/{slug} pages to the sitemap. 10. OPEN: add a test asserting all 510 titles — no repeated market token, no brace, length ≤ 65.</w:t>
            </w:r>
          </w:p>
        </w:tc>
      </w:tr>
      <w:tr>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81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1. Disallow: /_archive/ today, then delete it. Add noindex to /thank-you/ and blog/_template.html (live, serving raw {{META_TITLE}} placeholders). 2. Wire the ten blog↔lander links and add lander links to the homepage — highest-return hour on the site. 3. Collapse the duplicate H1. 4. Add Article schema to the 5 blog posts and FAQPage to the landers; add the 3 legal pages to the sitemap and refresh lastmod (~10 weeks stale). 5. Change @type from RealEstateAgent to LocalBusiness so the schema stops contradicting your own footer disclaimer.</w:t>
            </w:r>
          </w:p>
        </w:tc>
      </w:tr>
    </w:tbl>
    <w:p>
      <w:pPr>
        <w:pStyle w:val="Heading1"/>
        <w:spacing w:after="140" w:before="360"/>
      </w:pPr>
      <w:r>
        <w:t xml:space="preserve">8 · Tracking &amp; conversion wiring</w:t>
      </w:r>
    </w:p>
    <w:p>
      <w:pPr>
        <w:spacing w:after="120" w:before="60" w:line="276"/>
      </w:pPr>
      <w:r>
        <w:rPr>
          <w:rFonts w:ascii="Calibri" w:cs="Calibri" w:eastAsia="Calibri" w:hAnsi="Calibri"/>
          <w:b/>
          <w:bCs/>
          <w:i w:val="false"/>
          <w:iCs w:val="false"/>
          <w:color w:val="10161D"/>
          <w:sz w:val="21"/>
          <w:szCs w:val="21"/>
        </w:rPr>
        <w:t xml:space="preserve">Verdict: Main. Revised 26 August. </w:t>
      </w:r>
      <w:r>
        <w:rPr>
          <w:rFonts w:ascii="Calibri" w:cs="Calibri" w:eastAsia="Calibri" w:hAnsi="Calibri"/>
          <w:b w:val="false"/>
          <w:bCs w:val="false"/>
          <w:i w:val="false"/>
          <w:iCs w:val="false"/>
          <w:color w:val="10161D"/>
          <w:sz w:val="21"/>
          <w:szCs w:val="21"/>
        </w:rPr>
        <w:t xml:space="preserve">My original "both broken" was too strong for Main. Main’s lead tracking works and reconciles to the unit; what it has are leaks. Tampa’s problems are integrity failures. Both cost money, but they are different categories and should not share a verdict.</w:t>
      </w:r>
    </w:p>
    <w:tbl>
      <w:tblPr>
        <w:tblW w:type="dxa" w:w="9360"/>
        <w:tblBorders>
          <w:top w:val="single" w:color="DBE1E8" w:sz="2"/>
          <w:left w:val="single" w:color="1C6B4C"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1C6B4C"/>
                <w:sz w:val="16"/>
                <w:szCs w:val="16"/>
              </w:rPr>
              <w:t xml:space="preserve">WHAT WORKS  </w:t>
            </w:r>
            <w:r>
              <w:rPr>
                <w:rFonts w:ascii="Calibri" w:cs="Calibri" w:eastAsia="Calibri" w:hAnsi="Calibri"/>
                <w:b/>
                <w:bCs/>
                <w:i w:val="false"/>
                <w:iCs w:val="false"/>
                <w:color w:val="10161D"/>
                <w:sz w:val="21"/>
                <w:szCs w:val="21"/>
              </w:rPr>
              <w:t xml:space="preserve">Main’s lead tracking is functioning — stated first, because I buried it</w:t>
            </w:r>
          </w:p>
          <w:p>
            <w:pPr>
              <w:spacing w:after="70" w:before="0" w:line="276"/>
            </w:pPr>
            <w:r>
              <w:rPr>
                <w:rFonts w:ascii="Calibri" w:cs="Calibri" w:eastAsia="Calibri" w:hAnsi="Calibri"/>
                <w:b w:val="false"/>
                <w:bCs w:val="false"/>
                <w:i w:val="false"/>
                <w:iCs w:val="false"/>
                <w:color w:val="10161D"/>
                <w:sz w:val="20"/>
                <w:szCs w:val="20"/>
              </w:rPr>
              <w:t xml:space="preserve">Ads reports 77 conversions for the window, and "TBH - Lead Form Submission - CURIO" reports exactly 77. A broken path does not reconcile to the unit. The homepage form fires dataLayer.push({event:"form_submitted"}), GTM picks it up, and the Ads conversion lands.</w:t>
            </w:r>
          </w:p>
        </w:tc>
      </w:tr>
    </w:tbl>
    <w:p>
      <w:pPr>
        <w:spacing w:after="100" w:before="0" w:line="276"/>
      </w:pPr>
      <w:r>
        <w:rPr>
          <w:rFonts w:ascii="Calibri" w:cs="Calibri" w:eastAsia="Calibri" w:hAnsi="Calibri"/>
          <w:b w:val="false"/>
          <w:bCs w:val="false"/>
          <w:i w:val="false"/>
          <w:iCs w:val="false"/>
          <w:color w:val="10161D"/>
          <w:sz w:val="21"/>
          <w:szCs w:val="21"/>
        </w:rPr>
        <w:t xml:space="preserve"/>
      </w:r>
    </w:p>
    <w:tbl>
      <w:tblPr>
        <w:tblW w:type="dxa" w:w="9360"/>
        <w:tblBorders>
          <w:top w:val="single" w:color="DBE1E8" w:sz="2"/>
          <w:left w:val="single" w:color="9C5714"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9C5714"/>
                <w:sz w:val="16"/>
                <w:szCs w:val="16"/>
              </w:rPr>
              <w:t xml:space="preserve">LEAK, NOT A BREAK  </w:t>
            </w:r>
            <w:r>
              <w:rPr>
                <w:rFonts w:ascii="Calibri" w:cs="Calibri" w:eastAsia="Calibri" w:hAnsi="Calibri"/>
                <w:b/>
                <w:bCs/>
                <w:i w:val="false"/>
                <w:iCs w:val="false"/>
                <w:color w:val="10161D"/>
                <w:sz w:val="21"/>
                <w:szCs w:val="21"/>
              </w:rPr>
              <w:t xml:space="preserve">Main’s hand-written analytics layer is dead code</w:t>
            </w:r>
          </w:p>
          <w:p>
            <w:pPr>
              <w:spacing w:after="70" w:before="0" w:line="276"/>
            </w:pPr>
            <w:r>
              <w:rPr>
                <w:rFonts w:ascii="Calibri" w:cs="Calibri" w:eastAsia="Calibri" w:hAnsi="Calibri"/>
                <w:b w:val="false"/>
                <w:bCs w:val="false"/>
                <w:i w:val="false"/>
                <w:iCs w:val="false"/>
                <w:color w:val="10161D"/>
                <w:sz w:val="20"/>
                <w:szCs w:val="20"/>
              </w:rPr>
              <w:t xml:space="preserve">analytics.ts gates every emission behind ga4Loaded and metaLoaded, which are set only by initAnalytics(). That function is reachable from exactly two places: a component mounted only on /landing/california, and a cookie_consent_change listener that fires only when a visitor clicks "Accept All" — on a banner that is not mounted on the homepage.</w:t>
            </w:r>
          </w:p>
          <w:p>
            <w:pPr>
              <w:spacing w:after="70" w:before="0" w:line="276"/>
            </w:pPr>
            <w:r>
              <w:rPr>
                <w:rFonts w:ascii="Calibri" w:cs="Calibri" w:eastAsia="Calibri" w:hAnsi="Calibri"/>
                <w:b w:val="false"/>
                <w:bCs w:val="false"/>
                <w:i w:val="false"/>
                <w:iCs w:val="false"/>
                <w:color w:val="10161D"/>
                <w:sz w:val="20"/>
                <w:szCs w:val="20"/>
              </w:rPr>
              <w:t xml:space="preserve">Verified live: on the homepage with cookie_consent already "all", after a successful submission, typeof window.gtag === "undefined" and no googleadservices request fired from this code path.</w:t>
            </w:r>
          </w:p>
          <w:p>
            <w:pPr>
              <w:spacing w:after="70" w:before="0" w:line="276"/>
            </w:pPr>
            <w:r>
              <w:rPr>
                <w:rFonts w:ascii="Calibri" w:cs="Calibri" w:eastAsia="Calibri" w:hAnsi="Calibri"/>
                <w:b w:val="false"/>
                <w:bCs w:val="false"/>
                <w:i w:val="false"/>
                <w:iCs w:val="false"/>
                <w:color w:val="10161D"/>
                <w:sz w:val="20"/>
                <w:szCs w:val="20"/>
              </w:rPr>
              <w:t xml:space="preserve">Nothing is lost — GTM covers the conversion. The cost is that you are maintaining a full GA4/Ads/Meta emission layer, plus ~25 console.log calls, that looks like it is tracking and is not. That is a trap for the next person who touches it. Either call initAnalytics() site-wide or delete the dead paths; leaving it ambiguous is the only bad option. One genuine consequence: the Meta Lead event never fires client-side on any page, so Meta optimisation runs on CAPI alone and only for visitors who accepted all cookies.</w:t>
            </w:r>
          </w:p>
        </w:tc>
      </w:tr>
    </w:tbl>
    <w:p>
      <w:pPr>
        <w:spacing w:after="100" w:before="0" w:line="276"/>
      </w:pPr>
      <w:r>
        <w:rPr>
          <w:rFonts w:ascii="Calibri" w:cs="Calibri" w:eastAsia="Calibri" w:hAnsi="Calibri"/>
          <w:b w:val="false"/>
          <w:bCs w:val="false"/>
          <w:i w:val="false"/>
          <w:iCs w:val="false"/>
          <w:color w:val="10161D"/>
          <w:sz w:val="21"/>
          <w:szCs w:val="21"/>
        </w:rPr>
        <w:t xml:space="preserve"/>
      </w:r>
    </w:p>
    <w:tbl>
      <w:tblPr>
        <w:tblW w:type="dxa" w:w="9360"/>
        <w:tblBorders>
          <w:top w:val="single" w:color="DBE1E8" w:sz="2"/>
          <w:left w:val="single" w:color="9C5714"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9C5714"/>
                <w:sz w:val="16"/>
                <w:szCs w:val="16"/>
              </w:rPr>
              <w:t xml:space="preserve">CEILING, NOT A BREAK  </w:t>
            </w:r>
            <w:r>
              <w:rPr>
                <w:rFonts w:ascii="Calibri" w:cs="Calibri" w:eastAsia="Calibri" w:hAnsi="Calibri"/>
                <w:b/>
                <w:bCs/>
                <w:i w:val="false"/>
                <w:iCs w:val="false"/>
                <w:color w:val="10161D"/>
                <w:sz w:val="21"/>
                <w:szCs w:val="21"/>
              </w:rPr>
              <w:t xml:space="preserve">Main’s qualified-lead feedback never reaches Google</w:t>
            </w:r>
          </w:p>
          <w:p>
            <w:pPr>
              <w:spacing w:after="70" w:before="0" w:line="276"/>
            </w:pPr>
            <w:r>
              <w:rPr>
                <w:rFonts w:ascii="Calibri" w:cs="Calibri" w:eastAsia="Calibri" w:hAnsi="Calibri"/>
                <w:b w:val="false"/>
                <w:bCs w:val="false"/>
                <w:i w:val="false"/>
                <w:iCs w:val="false"/>
                <w:color w:val="10161D"/>
                <w:sz w:val="20"/>
                <w:szCs w:val="20"/>
              </w:rPr>
              <w:t xml:space="preserve">Of 14 conversion actions, the only three marked "Included in account-level goals: Yes" are the GoHighLevel offline imports — GHL Inbound SMS, GHL Inbound Call and GHL (All Qualified Leads). All three read 0.00 for the last 30 days. Two are "Needs attention"; one is "Inactive". The account summary says so plainly: "Your contact goal cannot be used for optimization because it does not have any primary conversion actions."</w:t>
            </w:r>
          </w:p>
          <w:p>
            <w:pPr>
              <w:spacing w:after="70" w:before="0" w:line="276"/>
            </w:pPr>
            <w:r>
              <w:rPr>
                <w:rFonts w:ascii="Calibri" w:cs="Calibri" w:eastAsia="Calibri" w:hAnsi="Calibri"/>
                <w:b/>
                <w:bCs/>
                <w:i w:val="false"/>
                <w:iCs w:val="false"/>
                <w:color w:val="10161D"/>
                <w:sz w:val="20"/>
                <w:szCs w:val="20"/>
              </w:rPr>
              <w:t xml:space="preserve">Correction to my original framing: </w:t>
            </w:r>
            <w:r>
              <w:rPr>
                <w:rFonts w:ascii="Calibri" w:cs="Calibri" w:eastAsia="Calibri" w:hAnsi="Calibri"/>
                <w:b w:val="false"/>
                <w:bCs w:val="false"/>
                <w:i w:val="false"/>
                <w:iCs w:val="false"/>
                <w:color w:val="10161D"/>
                <w:sz w:val="20"/>
                <w:szCs w:val="20"/>
              </w:rPr>
              <w:t xml:space="preserve">I wrote that bidding was optimising "against three zeroes." That overstated it. Four campaigns run Target CPA and do receive conversions, so they must be pointed at a custom goal containing the working form-submission action. Bidding is not blind — it is optimising to form fills.</w:t>
            </w:r>
          </w:p>
          <w:p>
            <w:pPr>
              <w:spacing w:after="70" w:before="0" w:line="276"/>
            </w:pPr>
            <w:r>
              <w:rPr>
                <w:rFonts w:ascii="Calibri" w:cs="Calibri" w:eastAsia="Calibri" w:hAnsi="Calibri"/>
                <w:b w:val="false"/>
                <w:bCs w:val="false"/>
                <w:i w:val="false"/>
                <w:iCs w:val="false"/>
                <w:color w:val="10161D"/>
                <w:sz w:val="20"/>
                <w:szCs w:val="20"/>
              </w:rPr>
              <w:t xml:space="preserve">The real cost is a ceiling. Google never learns which of those form fills became qualified leads or closed deals, so it cannot bid toward lead quality, only lead volume. On $33,507 a month that is the single largest unrealised gain in this section. It is also the Ads-side confirmation of the code finding: attribution_clicks is built, documented, indexed and never called, and there is no Google Ads offline import anywhere in the repo.</w:t>
            </w:r>
          </w:p>
        </w:tc>
      </w:tr>
    </w:tbl>
    <w:p>
      <w:pPr>
        <w:spacing w:after="100" w:before="0" w:line="276"/>
      </w:pPr>
      <w:r>
        <w:rPr>
          <w:rFonts w:ascii="Calibri" w:cs="Calibri" w:eastAsia="Calibri" w:hAnsi="Calibri"/>
          <w:b w:val="false"/>
          <w:bCs w:val="false"/>
          <w:i w:val="false"/>
          <w:iCs w:val="false"/>
          <w:color w:val="10161D"/>
          <w:sz w:val="21"/>
          <w:szCs w:val="21"/>
        </w:rPr>
        <w:t xml:space="preserve"/>
      </w:r>
    </w:p>
    <w:tbl>
      <w:tblPr>
        <w:tblW w:type="dxa" w:w="9360"/>
        <w:tblBorders>
          <w:top w:val="single" w:color="DBE1E8" w:sz="2"/>
          <w:left w:val="single" w:color="9C5714"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9C5714"/>
                <w:sz w:val="16"/>
                <w:szCs w:val="16"/>
              </w:rPr>
              <w:t xml:space="preserve">HIGH  </w:t>
            </w:r>
            <w:r>
              <w:rPr>
                <w:rFonts w:ascii="Calibri" w:cs="Calibri" w:eastAsia="Calibri" w:hAnsi="Calibri"/>
                <w:b/>
                <w:bCs/>
                <w:i w:val="false"/>
                <w:iCs w:val="false"/>
                <w:color w:val="10161D"/>
                <w:sz w:val="21"/>
                <w:szCs w:val="21"/>
              </w:rPr>
              <w:t xml:space="preserve">Tampa’s per-lander conversion labels are all dead</w:t>
            </w:r>
          </w:p>
          <w:p>
            <w:pPr>
              <w:spacing w:after="70" w:before="0" w:line="276"/>
            </w:pPr>
            <w:r>
              <w:rPr>
                <w:rFonts w:ascii="Calibri" w:cs="Calibri" w:eastAsia="Calibri" w:hAnsi="Calibri"/>
                <w:b w:val="false"/>
                <w:bCs w:val="false"/>
                <w:i w:val="false"/>
                <w:iCs w:val="false"/>
                <w:color w:val="10161D"/>
                <w:sz w:val="20"/>
                <w:szCs w:val="20"/>
              </w:rPr>
              <w:t xml:space="preserve">Nineteen conversion actions. Ten are "Misconfigured", all reading 0.00 — every Tampa-*-Call and Tampa-*-SMS action. Five more are "Awaiting conversions"; four of those are at 0.00. The five per-situation lead-form labels hardcoded in thank-you/index.html have recorded 0, 0, 0, 0 and 2 conversions in 30 days on $13,003 of spend.</w:t>
            </w:r>
          </w:p>
          <w:p>
            <w:pPr>
              <w:spacing w:after="70" w:before="0" w:line="276"/>
            </w:pPr>
            <w:r>
              <w:rPr>
                <w:rFonts w:ascii="Calibri" w:cs="Calibri" w:eastAsia="Calibri" w:hAnsi="Calibri"/>
                <w:b w:val="false"/>
                <w:bCs w:val="false"/>
                <w:i w:val="false"/>
                <w:iCs w:val="false"/>
                <w:color w:val="10161D"/>
                <w:sz w:val="20"/>
                <w:szCs w:val="20"/>
              </w:rPr>
              <w:t xml:space="preserve">The mechanism works — I fired the divorce label myself from a URL. So the labels are wired; almost nobody is reaching them. With the form itself cleared (Dimension 2), the likely causes are the ten misconfigured actions above and the fact that the five landers carry no inbound internal links at all.</w:t>
            </w:r>
          </w:p>
        </w:tc>
      </w:tr>
    </w:tbl>
    <w:p>
      <w:pPr>
        <w:pStyle w:val="Heading3"/>
        <w:spacing w:after="90" w:before="220"/>
      </w:pPr>
      <w:r>
        <w:t xml:space="preserve">Three more, briefly</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Tampa triple-fires its form analytics: three goliath_form_ready and three goliath_form_step_view events per page view, one per mount including the invisible one. Any GTM tag listening on those inflates form-start metrics 3×.</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GTM does not load on Tampa’s thank-you page. The head snippet is commented out; only the &lt;noscript&gt; iframe survives, which can never fire for a JS-enabled visitor. Confirmed live: gtag/js?id=AW-… loaded, gtm.js did not, and zero google-analytics requests fired. GA4 has no record of your conversion page.</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A Meta Pixel runs on Tampa that is not in the repo: pixel 2911157519222964, 170 KB, injected entirely by GTM container GTM-M8XFK63B. The repo’s only pixel reference is a different, older ID in _archive/. This is dependency risk made concrete — a tracking system on your property that your source of truth cannot see.</w:t>
      </w:r>
    </w:p>
    <w:tbl>
      <w:tblPr>
        <w:tblW w:type="dxa" w:w="9360"/>
        <w:tblBorders>
          <w:top w:val="single" w:color="DBE1E8" w:sz="2"/>
          <w:left w:val="single" w:color="9C5714"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9C5714"/>
                <w:sz w:val="16"/>
                <w:szCs w:val="16"/>
              </w:rPr>
              <w:t xml:space="preserve">COMPLIANCE  </w:t>
            </w:r>
            <w:r>
              <w:rPr>
                <w:rFonts w:ascii="Calibri" w:cs="Calibri" w:eastAsia="Calibri" w:hAnsi="Calibri"/>
                <w:b/>
                <w:bCs/>
                <w:i w:val="false"/>
                <w:iCs w:val="false"/>
                <w:color w:val="10161D"/>
                <w:sz w:val="21"/>
                <w:szCs w:val="21"/>
              </w:rPr>
              <w:t xml:space="preserve">Consent, on both sites</w:t>
            </w:r>
          </w:p>
          <w:p>
            <w:pPr>
              <w:spacing w:after="70" w:before="0" w:line="276"/>
            </w:pPr>
            <w:r>
              <w:rPr>
                <w:rFonts w:ascii="Calibri" w:cs="Calibri" w:eastAsia="Calibri" w:hAnsi="Calibri"/>
                <w:b w:val="false"/>
                <w:bCs w:val="false"/>
                <w:i w:val="false"/>
                <w:iCs w:val="false"/>
                <w:color w:val="10161D"/>
                <w:sz w:val="20"/>
                <w:szCs w:val="20"/>
              </w:rPr>
              <w:t xml:space="preserve">Neither site implements Google Consent Mode v2. Tampa has no cookie banner and no CMP of any kind; its /do-not-sell/ page is documentation that wires to nothing — no form, no toggle, no suppression signal — and loads GTM while the visitor reads it.</w:t>
            </w:r>
          </w:p>
          <w:p>
            <w:pPr>
              <w:spacing w:after="70" w:before="0" w:line="276"/>
            </w:pPr>
            <w:r>
              <w:rPr>
                <w:rFonts w:ascii="Calibri" w:cs="Calibri" w:eastAsia="Calibri" w:hAnsi="Calibri"/>
                <w:b w:val="false"/>
                <w:bCs w:val="false"/>
                <w:i w:val="false"/>
                <w:iCs w:val="false"/>
                <w:color w:val="10161D"/>
                <w:sz w:val="20"/>
                <w:szCs w:val="20"/>
              </w:rPr>
              <w:t xml:space="preserve">Main has a banner, but GTM (beforeInteractive), the Meta Pixel PageView, reCAPTCHA and CallRail all load and fire before and regardless of any choice, and the banner is not mounted on the homepage. A Main visitor who clicks "Reject All" is still tracked by four systems, and trackPhoneClick fires a Meta ClickToCall event with no consent check at all. With California traffic and a CCPA page, this is the most exposed compliance gap in the audit.</w:t>
            </w:r>
          </w:p>
        </w:tc>
      </w:tr>
    </w:tbl>
    <w:p>
      <w:pPr>
        <w:pStyle w:val="Heading3"/>
        <w:spacing w:after="90" w:before="220"/>
      </w:pPr>
      <w:r>
        <w:t xml:space="preserve">Prioritised fixes</w:t>
      </w:r>
    </w:p>
    <w:tbl>
      <w:tblPr>
        <w:tblW w:type="dxa" w:w="9360"/>
        <w:tblBorders>
          <w:top w:val="single" w:color="C2CBD5" w:sz="4"/>
          <w:left w:val="single" w:color="C2CBD5" w:sz="4"/>
          <w:bottom w:val="single" w:color="C2CBD5" w:sz="4"/>
          <w:right w:val="single" w:color="C2CBD5" w:sz="4"/>
          <w:insideH w:val="single" w:color="DBE1E8" w:sz="2"/>
          <w:insideV w:val="single" w:color="DBE1E8" w:sz="2"/>
        </w:tblBorders>
      </w:tblPr>
      <w:tblGrid>
        <w:gridCol w:w="1200"/>
        <w:gridCol w:w="8160"/>
      </w:tblGrid>
      <w:tr>
        <w:trPr>
          <w:tblHeader/>
        </w:trPr>
        <w:tc>
          <w:tcPr>
            <w:tcW w:type="dxa" w:w="120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Site</w:t>
            </w:r>
          </w:p>
        </w:tc>
        <w:tc>
          <w:tcPr>
            <w:tcW w:type="dxa" w:w="816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Action</w:t>
            </w:r>
          </w:p>
        </w:tc>
      </w:tr>
      <w:tr>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81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1. Get the GHL offline import working, or stop having Target CPA optimise against three zeroes — worth more than any on-page change. 2. Persist UTMs and click IDs; attribution currently reads window.location.search at submit time with zero persistence, so any internal &lt;Link&gt; navigation before converting discards gclid and buckets the lead as "Direct / Organic". 3. gbraid/wbraid are collapsed into the gclid field, which Ads offline import rejects. 4. Either call initAnalytics() site-wide or delete analytics.ts’s dead paths. 5. Implement Consent Mode v2 and mount the banner on the homepage.</w:t>
            </w:r>
          </w:p>
        </w:tc>
      </w:tr>
      <w:tr>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81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1. Uncomment the GTM head snippet on /thank-you/ — one line, restores GA4 visibility of every conversion. 2. Fix or delete the 10 misconfigured conversion actions. 3. Validate the source parameter against an allowlist; today any string fires a conversion and blog traffic silently mis-attributes to homepage. 4. Remove the divorce-only PerformanceObserver hack, which infers a submission from three network requests in two seconds and bypasses the GA4 push. 5. Get the GTM container documented and version-controlled.</w:t>
            </w:r>
          </w:p>
        </w:tc>
      </w:tr>
    </w:tbl>
    <w:p>
      <w:pPr>
        <w:pStyle w:val="Heading1"/>
        <w:spacing w:after="140" w:before="360"/>
      </w:pPr>
      <w:r>
        <w:t xml:space="preserve">9 · What the data can tell us</w:t>
      </w:r>
    </w:p>
    <w:p>
      <w:pPr>
        <w:spacing w:after="120" w:before="60" w:line="276"/>
      </w:pPr>
      <w:r>
        <w:rPr>
          <w:rFonts w:ascii="Calibri" w:cs="Calibri" w:eastAsia="Calibri" w:hAnsi="Calibri"/>
          <w:b/>
          <w:bCs/>
          <w:i w:val="false"/>
          <w:iCs w:val="false"/>
          <w:color w:val="10161D"/>
          <w:sz w:val="21"/>
          <w:szCs w:val="21"/>
        </w:rPr>
        <w:t xml:space="preserve">Verdict: not yet answerable. Revised 26 August. </w:t>
      </w:r>
      <w:r>
        <w:rPr>
          <w:rFonts w:ascii="Calibri" w:cs="Calibri" w:eastAsia="Calibri" w:hAnsi="Calibri"/>
          <w:b w:val="false"/>
          <w:bCs w:val="false"/>
          <w:i w:val="false"/>
          <w:iCs w:val="false"/>
          <w:color w:val="10161D"/>
          <w:sz w:val="21"/>
          <w:szCs w:val="21"/>
        </w:rPr>
        <w:t xml:space="preserve">You asked which version actually performs better. The honest answer is that the available data cannot settle it — and the reason is not that the two sites are close. It is that one of them is instrumented and the other is not.</w:t>
      </w:r>
    </w:p>
    <w:p>
      <w:pPr>
        <w:pStyle w:val="Heading3"/>
        <w:spacing w:after="90" w:before="220"/>
      </w:pPr>
      <w:r>
        <w:t xml:space="preserve">What each side can actually tell you</w:t>
      </w:r>
    </w:p>
    <w:tbl>
      <w:tblPr>
        <w:tblW w:type="dxa" w:w="9360"/>
        <w:tblBorders>
          <w:top w:val="single" w:color="C2CBD5" w:sz="4"/>
          <w:left w:val="single" w:color="C2CBD5" w:sz="4"/>
          <w:bottom w:val="single" w:color="C2CBD5" w:sz="4"/>
          <w:right w:val="single" w:color="C2CBD5" w:sz="4"/>
          <w:insideH w:val="single" w:color="DBE1E8" w:sz="2"/>
          <w:insideV w:val="single" w:color="DBE1E8" w:sz="2"/>
        </w:tblBorders>
      </w:tblPr>
      <w:tblGrid>
        <w:gridCol w:w="1400"/>
        <w:gridCol w:w="7960"/>
      </w:tblGrid>
      <w:tr>
        <w:trPr>
          <w:tblHeader/>
        </w:trPr>
        <w:tc>
          <w:tcPr>
            <w:tcW w:type="dxa" w:w="140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Site</w:t>
            </w:r>
          </w:p>
        </w:tc>
        <w:tc>
          <w:tcPr>
            <w:tcW w:type="dxa" w:w="796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What it can report</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79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Every lead lands in a table you own, tagged with its source, market and situation — you can segment it yourself, today, without asking a vendor. An admin panel reads that table directly. Its ad account’s conversion count reconciles exactly against its form-submission count; when two independent systems agree to the unit, the measurement is trustworthy. The gap: market is derived from the visitor’s location rather than the address they typed, so a meaningful share of leads carry a market that contradicts their own property address.</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79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Leads land in a rented CRM whose source field distinguishes only “form” from “phone call” — it never records which lander produced the lead, so the five service pages you buy traffic to cannot be told apart at all. Analytics never fires on the conversion page, because the tag manager is commented out there. Most of its ad conversion actions are flagged misconfigured or awaiting data and record nothing. And a conversion can be triggered by loading a URL, with no submission behind it, so any figure that account reports is an upper bound rather than a count.</w:t>
            </w:r>
          </w:p>
        </w:tc>
      </w:tr>
    </w:tbl>
    <w:p>
      <w:pPr>
        <w:spacing w:after="100" w:before="0" w:line="276"/>
      </w:pPr>
      <w:r>
        <w:rPr>
          <w:rFonts w:ascii="Calibri" w:cs="Calibri" w:eastAsia="Calibri" w:hAnsi="Calibri"/>
          <w:b w:val="false"/>
          <w:bCs w:val="false"/>
          <w:i w:val="false"/>
          <w:iCs w:val="false"/>
          <w:color w:val="10161D"/>
          <w:sz w:val="21"/>
          <w:szCs w:val="21"/>
        </w:rPr>
        <w:t xml:space="preserve"/>
      </w:r>
    </w:p>
    <w:tbl>
      <w:tblPr>
        <w:tblW w:type="dxa" w:w="9360"/>
        <w:tblBorders>
          <w:top w:val="single" w:color="DBE1E8" w:sz="2"/>
          <w:left w:val="single" w:color="0F6E7C"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0F6E7C"/>
                <w:sz w:val="16"/>
                <w:szCs w:val="16"/>
              </w:rPr>
              <w:t xml:space="preserve">COUNTING  </w:t>
            </w:r>
            <w:r>
              <w:rPr>
                <w:rFonts w:ascii="Calibri" w:cs="Calibri" w:eastAsia="Calibri" w:hAnsi="Calibri"/>
                <w:b/>
                <w:bCs/>
                <w:i w:val="false"/>
                <w:iCs w:val="false"/>
                <w:color w:val="10161D"/>
                <w:sz w:val="21"/>
                <w:szCs w:val="21"/>
              </w:rPr>
              <w:t xml:space="preserve">The two ad accounts are not counting the same thing</w:t>
            </w:r>
          </w:p>
          <w:p>
            <w:pPr>
              <w:spacing w:after="70" w:before="0" w:line="276"/>
            </w:pPr>
            <w:r>
              <w:rPr>
                <w:rFonts w:ascii="Calibri" w:cs="Calibri" w:eastAsia="Calibri" w:hAnsi="Calibri"/>
                <w:b w:val="false"/>
                <w:bCs w:val="false"/>
                <w:i w:val="false"/>
                <w:iCs w:val="false"/>
                <w:color w:val="10161D"/>
                <w:sz w:val="20"/>
                <w:szCs w:val="20"/>
              </w:rPr>
              <w:t xml:space="preserve">One classes taps on “Call” and “Text” links as conversions alongside form submissions. The other records those taps separately and excludes them from its headline. Read side by side, the dashboards compare form fills on one site against form fills plus intent taps on the other.</w:t>
            </w:r>
          </w:p>
          <w:p>
            <w:pPr>
              <w:spacing w:after="70" w:before="0" w:line="276"/>
            </w:pPr>
            <w:r>
              <w:rPr>
                <w:rFonts w:ascii="Calibri" w:cs="Calibri" w:eastAsia="Calibri" w:hAnsi="Calibri"/>
                <w:b w:val="false"/>
                <w:bCs w:val="false"/>
                <w:i w:val="false"/>
                <w:iCs w:val="false"/>
                <w:color w:val="10161D"/>
                <w:sz w:val="20"/>
                <w:szCs w:val="20"/>
              </w:rPr>
              <w:t xml:space="preserve">Neither convention is wrong on its own — a tap on “Call Now” is real intent and worth tracking. What is wrong is that the choice was made differently in each account and never reconciled. Until one convention is applied to both, no comparison drawn from those two screens means anything.</w:t>
            </w:r>
          </w:p>
        </w:tc>
      </w:tr>
    </w:tbl>
    <w:p>
      <w:pPr>
        <w:spacing w:after="100" w:before="0" w:line="276"/>
      </w:pPr>
      <w:r>
        <w:rPr>
          <w:rFonts w:ascii="Calibri" w:cs="Calibri" w:eastAsia="Calibri" w:hAnsi="Calibri"/>
          <w:b w:val="false"/>
          <w:bCs w:val="false"/>
          <w:i w:val="false"/>
          <w:iCs w:val="false"/>
          <w:color w:val="10161D"/>
          <w:sz w:val="21"/>
          <w:szCs w:val="21"/>
        </w:rPr>
        <w:t xml:space="preserve"/>
      </w:r>
    </w:p>
    <w:tbl>
      <w:tblPr>
        <w:tblW w:type="dxa" w:w="9360"/>
        <w:tblBorders>
          <w:top w:val="single" w:color="DBE1E8" w:sz="2"/>
          <w:left w:val="single" w:color="1C6B4C"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1C6B4C"/>
                <w:sz w:val="16"/>
                <w:szCs w:val="16"/>
              </w:rPr>
              <w:t xml:space="preserve">VERDICT  </w:t>
            </w:r>
            <w:r>
              <w:rPr>
                <w:rFonts w:ascii="Calibri" w:cs="Calibri" w:eastAsia="Calibri" w:hAnsi="Calibri"/>
                <w:b/>
                <w:bCs/>
                <w:i w:val="false"/>
                <w:iCs w:val="false"/>
                <w:color w:val="10161D"/>
                <w:sz w:val="21"/>
                <w:szCs w:val="21"/>
              </w:rPr>
              <w:t xml:space="preserve">So which performs better?</w:t>
            </w:r>
          </w:p>
          <w:p>
            <w:pPr>
              <w:spacing w:after="70" w:before="0" w:line="276"/>
            </w:pPr>
            <w:r>
              <w:rPr>
                <w:rFonts w:ascii="Calibri" w:cs="Calibri" w:eastAsia="Calibri" w:hAnsi="Calibri"/>
                <w:b w:val="false"/>
                <w:bCs w:val="false"/>
                <w:i w:val="false"/>
                <w:iCs w:val="false"/>
                <w:color w:val="10161D"/>
                <w:sz w:val="20"/>
                <w:szCs w:val="20"/>
              </w:rPr>
              <w:t xml:space="preserve">On the evidence available, the question cannot be answered cleanly — and that asymmetry is itself the finding. Main can be interrogated: you can ask it a question about source, market or situation and get a trustworthy answer. Tampa cannot: its CRM does not record which page produced a lead, its analytics is blind on the page that matters, and its conversion counts can be inflated by anyone loading a URL.</w:t>
            </w:r>
          </w:p>
          <w:p>
            <w:pPr>
              <w:spacing w:after="70" w:before="0" w:line="276"/>
            </w:pPr>
            <w:r>
              <w:rPr>
                <w:rFonts w:ascii="Calibri" w:cs="Calibri" w:eastAsia="Calibri" w:hAnsi="Calibri"/>
                <w:b w:val="false"/>
                <w:bCs w:val="false"/>
                <w:i w:val="false"/>
                <w:iCs w:val="false"/>
                <w:color w:val="10161D"/>
                <w:sz w:val="20"/>
                <w:szCs w:val="20"/>
              </w:rPr>
              <w:t xml:space="preserve">Being able to know how you are performing is not a reporting nicety. It determines whether you can optimise at all. On that basis Main is ahead — not because its results are demonstrably better, but because its results are knowable, and Tampa’s currently are not.</w:t>
            </w:r>
          </w:p>
        </w:tc>
      </w:tr>
    </w:tbl>
    <w:p>
      <w:pPr>
        <w:pStyle w:val="Heading3"/>
        <w:spacing w:after="90" w:before="220"/>
      </w:pPr>
      <w:r>
        <w:t xml:space="preserve">What would make this answerable</w:t>
      </w:r>
    </w:p>
    <w:p>
      <w:pPr>
        <w:pStyle w:val="ListParagraph"/>
        <w:numPr>
          <w:ilvl w:val="0"/>
          <w:numId w:val="3"/>
        </w:numPr>
        <w:spacing w:after="60" w:before="40" w:line="264"/>
      </w:pPr>
      <w:r>
        <w:rPr>
          <w:rFonts w:ascii="Calibri" w:cs="Calibri" w:eastAsia="Calibri" w:hAnsi="Calibri"/>
          <w:b w:val="false"/>
          <w:bCs w:val="false"/>
          <w:i w:val="false"/>
          <w:iCs w:val="false"/>
          <w:color w:val="10161D"/>
          <w:sz w:val="21"/>
          <w:szCs w:val="21"/>
        </w:rPr>
        <w:t xml:space="preserve">Apply one conversion-counting convention across both ad accounts, so the two dashboards report the same unit.</w:t>
      </w:r>
    </w:p>
    <w:p>
      <w:pPr>
        <w:pStyle w:val="ListParagraph"/>
        <w:numPr>
          <w:ilvl w:val="0"/>
          <w:numId w:val="3"/>
        </w:numPr>
        <w:spacing w:after="60" w:before="40" w:line="264"/>
      </w:pPr>
      <w:r>
        <w:rPr>
          <w:rFonts w:ascii="Calibri" w:cs="Calibri" w:eastAsia="Calibri" w:hAnsi="Calibri"/>
          <w:b w:val="false"/>
          <w:bCs w:val="false"/>
          <w:i w:val="false"/>
          <w:iCs w:val="false"/>
          <w:color w:val="10161D"/>
          <w:sz w:val="21"/>
          <w:szCs w:val="21"/>
        </w:rPr>
        <w:t xml:space="preserve">Restore the tag manager on Tampa’s confirmation page, so analytics sees conversions at all.</w:t>
      </w:r>
    </w:p>
    <w:p>
      <w:pPr>
        <w:pStyle w:val="ListParagraph"/>
        <w:numPr>
          <w:ilvl w:val="0"/>
          <w:numId w:val="3"/>
        </w:numPr>
        <w:spacing w:after="60" w:before="40" w:line="264"/>
      </w:pPr>
      <w:r>
        <w:rPr>
          <w:rFonts w:ascii="Calibri" w:cs="Calibri" w:eastAsia="Calibri" w:hAnsi="Calibri"/>
          <w:b w:val="false"/>
          <w:bCs w:val="false"/>
          <w:i w:val="false"/>
          <w:iCs w:val="false"/>
          <w:color w:val="10161D"/>
          <w:sz w:val="21"/>
          <w:szCs w:val="21"/>
        </w:rPr>
        <w:t xml:space="preserve">Fix or remove Tampa’s misconfigured conversion actions.</w:t>
      </w:r>
    </w:p>
    <w:p>
      <w:pPr>
        <w:pStyle w:val="ListParagraph"/>
        <w:numPr>
          <w:ilvl w:val="0"/>
          <w:numId w:val="3"/>
        </w:numPr>
        <w:spacing w:after="60" w:before="40" w:line="264"/>
      </w:pPr>
      <w:r>
        <w:rPr>
          <w:rFonts w:ascii="Calibri" w:cs="Calibri" w:eastAsia="Calibri" w:hAnsi="Calibri"/>
          <w:b w:val="false"/>
          <w:bCs w:val="false"/>
          <w:i w:val="false"/>
          <w:iCs w:val="false"/>
          <w:color w:val="10161D"/>
          <w:sz w:val="21"/>
          <w:szCs w:val="21"/>
        </w:rPr>
        <w:t xml:space="preserve">Validate the parameter that triggers Tampa’s conversion, so a loaded URL can no longer fire one.</w:t>
      </w:r>
    </w:p>
    <w:p>
      <w:pPr>
        <w:pStyle w:val="ListParagraph"/>
        <w:numPr>
          <w:ilvl w:val="0"/>
          <w:numId w:val="3"/>
        </w:numPr>
        <w:spacing w:after="60" w:before="40" w:line="264"/>
      </w:pPr>
      <w:r>
        <w:rPr>
          <w:rFonts w:ascii="Calibri" w:cs="Calibri" w:eastAsia="Calibri" w:hAnsi="Calibri"/>
          <w:b w:val="false"/>
          <w:bCs w:val="false"/>
          <w:i w:val="false"/>
          <w:iCs w:val="false"/>
          <w:color w:val="10161D"/>
          <w:sz w:val="21"/>
          <w:szCs w:val="21"/>
        </w:rPr>
        <w:t xml:space="preserve">Get per-lander attribution into Tampa’s CRM — or accept that the five service pages can never be evaluated separately while it owns the form.</w:t>
      </w:r>
    </w:p>
    <w:p>
      <w:pPr>
        <w:pStyle w:val="ListParagraph"/>
        <w:numPr>
          <w:ilvl w:val="0"/>
          <w:numId w:val="3"/>
        </w:numPr>
        <w:spacing w:after="60" w:before="40" w:line="264"/>
      </w:pPr>
      <w:r>
        <w:rPr>
          <w:rFonts w:ascii="Calibri" w:cs="Calibri" w:eastAsia="Calibri" w:hAnsi="Calibri"/>
          <w:b w:val="false"/>
          <w:bCs w:val="false"/>
          <w:i w:val="false"/>
          <w:iCs w:val="false"/>
          <w:color w:val="10161D"/>
          <w:sz w:val="21"/>
          <w:szCs w:val="21"/>
        </w:rPr>
        <w:t xml:space="preserve">On Main, derive market from the submitted address rather than the visitor’s location.</w:t>
      </w:r>
    </w:p>
    <w:p>
      <w:pPr>
        <w:spacing w:after="120" w:before="60" w:line="276"/>
      </w:pPr>
      <w:r>
        <w:rPr>
          <w:rFonts w:ascii="Calibri" w:cs="Calibri" w:eastAsia="Calibri" w:hAnsi="Calibri"/>
          <w:b w:val="false"/>
          <w:bCs w:val="false"/>
          <w:i w:val="false"/>
          <w:iCs w:val="false"/>
          <w:color w:val="10161D"/>
          <w:sz w:val="21"/>
          <w:szCs w:val="21"/>
        </w:rPr>
        <w:t xml:space="preserve">Items 2 through 4 are small and independent. Until they are done, any Tampa figure — good or bad — should be treated as unverified.</w:t>
      </w:r>
    </w:p>
    <w:p>
      <w:r>
        <w:br w:type="page"/>
      </w:r>
    </w:p>
    <w:p>
      <w:pPr>
        <w:pStyle w:val="Heading1"/>
        <w:spacing w:after="140" w:before="360"/>
      </w:pPr>
      <w:r>
        <w:t xml:space="preserve">10 · Head to head</w:t>
      </w:r>
    </w:p>
    <w:p>
      <w:pPr>
        <w:spacing w:after="120" w:before="60" w:line="276"/>
      </w:pPr>
      <w:r>
        <w:rPr>
          <w:rFonts w:ascii="Calibri" w:cs="Calibri" w:eastAsia="Calibri" w:hAnsi="Calibri"/>
          <w:b w:val="false"/>
          <w:bCs w:val="false"/>
          <w:i w:val="false"/>
          <w:iCs w:val="false"/>
          <w:color w:val="10161D"/>
          <w:sz w:val="21"/>
          <w:szCs w:val="21"/>
        </w:rPr>
        <w:t xml:space="preserve">The comparison distilled: what each site does better, which one I would back, what to move between them, and everything still outstanding.</w:t>
      </w:r>
    </w:p>
    <w:p>
      <w:pPr>
        <w:pStyle w:val="Heading3"/>
        <w:spacing w:after="90" w:before="220"/>
      </w:pPr>
      <w:r>
        <w:t xml:space="preserve">1 · What Tampa does better</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Entry friction. One field to start — an address, nothing else. Main asks for more and gates the first step behind an address validator that rejects hand-typed input.</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A phone number that is always there. A live click-to-call in the header on every page, plus a fixed Text/Call bar on mobile. Main’s header carries neither, at any screen size.</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Page weight. Dramatically less JavaScript and a fraction of the requests. Both sites score well on Lighthouse, but Tampa gets there carrying far less.</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Legibility. Open the file, see what ships. No build step, no database, no environment variables between the source and the page — with one large exception noted below.</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Cost of a copy change. Editing a headline is editing one file. No pull request, no CI, no deploy pipeline.</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A locality-exact domain with its own history, which a subfolder does not inherit.</w:t>
      </w:r>
    </w:p>
    <w:p>
      <w:pPr>
        <w:pStyle w:val="Heading3"/>
        <w:spacing w:after="90" w:before="220"/>
      </w:pPr>
      <w:r>
        <w:t xml:space="preserve">2 · What the main site does better</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It owns its leads. First-party capture into your own database, with recovery tooling when something fails. Tampa’s leads are handed to a third party at the moment of submission.</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It owns its content, and can produce it at scale. Distinct copy per situation and market, managed through an admin panel, now rendered server-side where search engines can read it.</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Its measurement reconciles. Conversion counts agree to the unit with form submissions. Nothing on Tampa can currently make that claim.</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It fails recoverably. A failed submission is logged, surfaced in an admin view, and can be retried with the payload intact. Tampa has no equivalent — a failure there is simply a lost lead.</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It has a real responsive system, rather than a stylesheet that stopped being rebuilt while the pages kept changing.</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It has quality gates and environments — a testing site, a staging branch, automated tests, and a review path before anything reaches production.</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It has genuine trust assets — the offer-calculation walkthrough, the comparison table, the guarantee section. Tampa has no equivalent of any of them.</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It can be changed safely. This is the quiet one that matters most: Tampa is not hard to break, it is hard to change without breaking.</w:t>
      </w:r>
    </w:p>
    <w:p>
      <w:pPr>
        <w:pStyle w:val="Heading3"/>
        <w:spacing w:after="90" w:before="220"/>
      </w:pPr>
      <w:r>
        <w:t xml:space="preserve">3 · Why I believe it performs better</w:t>
      </w:r>
    </w:p>
    <w:p>
      <w:pPr>
        <w:spacing w:after="120" w:before="60" w:line="276"/>
      </w:pPr>
      <w:r>
        <w:rPr>
          <w:rFonts w:ascii="Calibri" w:cs="Calibri" w:eastAsia="Calibri" w:hAnsi="Calibri"/>
          <w:b/>
          <w:bCs/>
          <w:i w:val="false"/>
          <w:iCs w:val="false"/>
          <w:color w:val="10161D"/>
          <w:sz w:val="21"/>
          <w:szCs w:val="21"/>
        </w:rPr>
        <w:t xml:space="preserve">I would back the main site, with one caveat stated plainly: “performs better” is partly unprovable right now, because only one of the two is instrumented well enough to prove anything.</w:t>
      </w:r>
    </w:p>
    <w:p>
      <w:pPr>
        <w:spacing w:after="120" w:before="60" w:line="276"/>
      </w:pPr>
      <w:r>
        <w:rPr>
          <w:rFonts w:ascii="Calibri" w:cs="Calibri" w:eastAsia="Calibri" w:hAnsi="Calibri"/>
          <w:b w:val="false"/>
          <w:bCs w:val="false"/>
          <w:i w:val="false"/>
          <w:iCs w:val="false"/>
          <w:color w:val="10161D"/>
          <w:sz w:val="21"/>
          <w:szCs w:val="21"/>
        </w:rPr>
        <w:t xml:space="preserve">The reasons that do not depend on missing data:</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Its conversion signal reconciles, so decisions made on it are sound. Tampa’s can be triggered without a submission, so its figures cannot be trusted in either direction.</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It differentiates its content per situation and market, and search engines can now read that content. Tampa is a single market with hand-written pages that cannot scale past it.</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It recovers from failure. Tampa loses the lead and produces no record.</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It has trust material that Tampa simply lacks — and its strongest such asset is not even on the homepage yet.</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Its dependencies are ones you control. Tampa’s conversion path, ad tags and hero video all belong to parties outside your repository, and at least one tracking system runs on it that its own source code cannot see.</w:t>
      </w:r>
    </w:p>
    <w:p>
      <w:pPr>
        <w:spacing w:after="120" w:before="60" w:line="276"/>
      </w:pPr>
      <w:r>
        <w:rPr>
          <w:rFonts w:ascii="Calibri" w:cs="Calibri" w:eastAsia="Calibri" w:hAnsi="Calibri"/>
          <w:b w:val="false"/>
          <w:bCs w:val="false"/>
          <w:i w:val="false"/>
          <w:iCs w:val="false"/>
          <w:color w:val="10161D"/>
          <w:sz w:val="21"/>
          <w:szCs w:val="21"/>
        </w:rPr>
        <w:t xml:space="preserve">The reason to hold the caveat: Tampa’s apparent weakness is measured through instruments we already know are broken. A fair verdict needs the fixes in Dimension 9 first. What I would say with confidence today is that Main is the better system, and that it is currently performing below its own ceiling for reasons this audit has identified and you have already begun closing.</w:t>
      </w:r>
    </w:p>
    <w:p>
      <w:pPr>
        <w:pStyle w:val="Heading3"/>
        <w:spacing w:after="90" w:before="220"/>
      </w:pPr>
      <w:r>
        <w:t xml:space="preserve">4 · What to carry over, and what to change</w:t>
      </w:r>
    </w:p>
    <w:tbl>
      <w:tblPr>
        <w:tblW w:type="dxa" w:w="9360"/>
        <w:tblBorders>
          <w:top w:val="single" w:color="C2CBD5" w:sz="4"/>
          <w:left w:val="single" w:color="C2CBD5" w:sz="4"/>
          <w:bottom w:val="single" w:color="C2CBD5" w:sz="4"/>
          <w:right w:val="single" w:color="C2CBD5" w:sz="4"/>
          <w:insideH w:val="single" w:color="DBE1E8" w:sz="2"/>
          <w:insideV w:val="single" w:color="DBE1E8" w:sz="2"/>
        </w:tblBorders>
      </w:tblPr>
      <w:tblGrid>
        <w:gridCol w:w="2000"/>
        <w:gridCol w:w="7360"/>
      </w:tblGrid>
      <w:tr>
        <w:trPr>
          <w:tblHeader/>
        </w:trPr>
        <w:tc>
          <w:tcPr>
            <w:tcW w:type="dxa" w:w="200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Direction</w:t>
            </w:r>
          </w:p>
        </w:tc>
        <w:tc>
          <w:tcPr>
            <w:tcW w:type="dxa" w:w="736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What moves</w:t>
            </w:r>
          </w:p>
        </w:tc>
      </w:tr>
      <w:tr>
        <w:tc>
          <w:tcPr>
            <w:tcW w:type="dxa" w:w="20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 → Main</w:t>
            </w:r>
          </w:p>
        </w:tc>
        <w:tc>
          <w:tcPr>
            <w:tcW w:type="dxa" w:w="73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A one-field way in — consider letting a visitor start with just an address and collecting the rest afterwards, or at minimum accepting a typed address rather than requiring a picked suggestion. The always-visible phone: a click-to-call in the header on every page, paired with the proposed header CTA. And a page-weight budget — Tampa’s lightness is not a property of being static, it is a property of shipping less.</w:t>
            </w:r>
          </w:p>
        </w:tc>
      </w:tr>
      <w:tr>
        <w:tc>
          <w:tcPr>
            <w:tcW w:type="dxa" w:w="20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 → Tampa</w:t>
            </w:r>
          </w:p>
        </w:tc>
        <w:tc>
          <w:tcPr>
            <w:tcW w:type="dxa" w:w="73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First-party lead capture, so a lead exists somewhere you control before a third party sees it. Per-lander attribution, so the five service pages can be told apart. Server-rendered metadata and schema, and a build step that actually runs. And any recovery path at all for a failed submission.</w:t>
            </w:r>
          </w:p>
        </w:tc>
      </w:tr>
    </w:tbl>
    <w:p>
      <w:pPr>
        <w:spacing w:after="120" w:before="60" w:line="276"/>
      </w:pPr>
      <w:r>
        <w:rPr>
          <w:rFonts w:ascii="Calibri" w:cs="Calibri" w:eastAsia="Calibri" w:hAnsi="Calibri"/>
          <w:b w:val="false"/>
          <w:bCs w:val="false"/>
          <w:i w:val="false"/>
          <w:iCs w:val="false"/>
          <w:color w:val="10161D"/>
          <w:sz w:val="21"/>
          <w:szCs w:val="21"/>
        </w:rPr>
        <w:t xml:space="preserve">The strategic read is unchanged from Dimension 12: these are the things a migration would preserve and the things it would bring. Neither list requires committing to a migration today.</w:t>
      </w:r>
    </w:p>
    <w:p>
      <w:pPr>
        <w:pStyle w:val="Heading3"/>
        <w:spacing w:after="90" w:before="220"/>
      </w:pPr>
      <w:r>
        <w:t xml:space="preserve">5 · Issues found — status</w:t>
      </w:r>
    </w:p>
    <w:p>
      <w:pPr>
        <w:spacing w:after="120" w:before="60" w:line="276"/>
      </w:pPr>
      <w:r>
        <w:rPr>
          <w:rFonts w:ascii="Calibri" w:cs="Calibri" w:eastAsia="Calibri" w:hAnsi="Calibri"/>
          <w:b w:val="false"/>
          <w:bCs w:val="false"/>
          <w:i w:val="false"/>
          <w:iCs w:val="false"/>
          <w:color w:val="10161D"/>
          <w:sz w:val="21"/>
          <w:szCs w:val="21"/>
        </w:rPr>
        <w:t xml:space="preserve">Everything this audit has raised, and where each item currently stands. Resolved entries were re-verified in production; withdrawn entries are my own claims that did not survive scrutiny.</w:t>
      </w:r>
    </w:p>
    <w:tbl>
      <w:tblPr>
        <w:tblW w:type="dxa" w:w="9360"/>
        <w:tblBorders>
          <w:top w:val="single" w:color="C2CBD5" w:sz="4"/>
          <w:left w:val="single" w:color="C2CBD5" w:sz="4"/>
          <w:bottom w:val="single" w:color="C2CBD5" w:sz="4"/>
          <w:right w:val="single" w:color="C2CBD5" w:sz="4"/>
          <w:insideH w:val="single" w:color="DBE1E8" w:sz="2"/>
          <w:insideV w:val="single" w:color="DBE1E8" w:sz="2"/>
        </w:tblBorders>
      </w:tblPr>
      <w:tblGrid>
        <w:gridCol w:w="6600"/>
        <w:gridCol w:w="1200"/>
        <w:gridCol w:w="1560"/>
      </w:tblGrid>
      <w:tr>
        <w:trPr>
          <w:tblHeader/>
        </w:trPr>
        <w:tc>
          <w:tcPr>
            <w:tcW w:type="dxa" w:w="660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Item</w:t>
            </w:r>
          </w:p>
        </w:tc>
        <w:tc>
          <w:tcPr>
            <w:tcW w:type="dxa" w:w="120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Site</w:t>
            </w:r>
          </w:p>
        </w:tc>
        <w:tc>
          <w:tcPr>
            <w:tcW w:type="dxa" w:w="1560"/>
            <w:shd w:fill="E4E9EE" w:color="auto" w:val="clear"/>
            <w:tcMar>
              <w:top w:type="dxa" w:w="90"/>
              <w:left w:type="dxa" w:w="130"/>
              <w:bottom w:type="dxa" w:w="90"/>
              <w:right w:type="dxa" w:w="130"/>
            </w:tcMar>
          </w:tcPr>
          <w:p>
            <w:pPr>
              <w:spacing w:after="0" w:before="0" w:line="276"/>
            </w:pPr>
            <w:r>
              <w:rPr>
                <w:rFonts w:ascii="Calibri" w:cs="Calibri" w:eastAsia="Calibri" w:hAnsi="Calibri"/>
                <w:b/>
                <w:bCs/>
                <w:i w:val="false"/>
                <w:iCs w:val="false"/>
                <w:color w:val="55606C"/>
                <w:sz w:val="18"/>
                <w:szCs w:val="18"/>
              </w:rPr>
              <w:t xml:space="preserve">Status</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Canonical tag on all 510 landers pointed at a URL that 404s</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RESOLVED</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Server-rendered titles and descriptions carried no market name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RESOLVED</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AI-generated per-page copy was fetched only client-side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RESOLVED</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Brand suffix duplicated 2–3x and {market} placeholder leaking into live titles</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RESOLVED</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A lead could be lost while the seller saw a success screen</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RESOLVED</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“Tampa’s form dead-ends on address autocomplete” — did not survive manual testing</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Withdrawn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 wins on performance” — Lighthouse shows parity; original verdict restored</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Both</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Withdrawn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“Tracking is broken on both” — Main’s reconciles; rescoped to leaks</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Withdrawn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Cost-per-lead comparison between the two ad accounts — not comparable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Both</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Withdrawn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“reCAPTCHA fails open” — the skip branch is a deliberate dev affordance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Withdrawn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“Tampa’s form has no spam or validation controls” — unobservable, not absent</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Withdrawn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www serves pages rather than redirecting; duplicate host already indexed</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Structured data injected client-side, and its star rating is not backed by reviews on the page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~40 pages still have no canonical, including the homepage and all 30 market pages</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No automated check on the 510 generated titles</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Header carries no CTA and no phone number at any screen size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Desktop navigation never renders; the whole site navigates by hamburger</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No CTA anywhere in the middle of a lander, on desktop</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The mobile form most visitors touch uses text small enough to trigger iOS zoom, with undersized tap targets</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Testimonials section still hidden on the homepage — promotion pending</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Lander testimonials are hardcoded, labelled “Verified Seller”, and carry no disclaimer</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Two press logos still shown under “As Featured On” that your own ledger recommends removing</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Terms consent is collected but never stored; four components share one duplicated element id</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Forms offer no autofill hints, so mobile keyboards and autofill do not engage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Ad click identifiers are dropped if a visitor navigates internally before converting</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Qualified-lead feedback never reaches the ad platform, capping bidding at lead volume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A full analytics layer exists in code that never initialises on any public route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Tracking and consent scripts fire before the visitor makes a choice; no banner on the homepage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A voice-agent SDK downloads and executes on every lander while rendering nothing</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CAPTCHA and address-lookup scripts load on pages that have no form</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Sitemap claims every page was modified at crawl time; 30 market pages are missing from it</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Admin area is crawlable and has no server-side access guard</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Nothing in the build pipeline type-checks</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Market on a lead is derived from visitor location, not the submitted address</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“Licensed, bonded and insured in every state” is unsupported by the claims ledger</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Response-time promise contradicts itself between the form and the confirmation page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Main</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A live CRM credential is readable in the page source of every primary page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Deployment archives are publicly downloadable from the site root</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An archive folder of superseded pages is crawlable and fires an old ad and tracking pixel</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A script error occurs on every page load, killing the code that follows it</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The stylesheet stopped being rebuilt while the pages kept changing; the sticky header has no background</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A hard-pinned iframe height clips the second step of the form on all five landers</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The five service landers have no inbound internal links from anywhere on the site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The probate FAQ is served verbatim on every page, including divorce and foreclosure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The tag manager is commented out on the confirmation page, so analytics never sees a conversion</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A conversion can be fired by loading a URL, with no submission and no validation</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Most ad conversion actions are misconfigured or awaiting data and record nothing</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Form analytics events fire three times per page view, once per mount</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A tracking pixel runs on the site that does not exist anywhere in its source code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No consent mechanism of any kind; the opt-out page wires to nothing</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Two h1 elements on every page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No article or FAQ structured data on any blog post</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Rating and accreditation claims are shown with no source, link or supporting markup</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A caption file referenced by every video does not exist</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r>
        <w:tc>
          <w:tcPr>
            <w:tcW w:type="dxa" w:w="66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A page-specific script can navigate a visitor away mid-form and record a conversion</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Tampa</w:t>
            </w:r>
          </w:p>
        </w:tc>
        <w:tc>
          <w:tcPr>
            <w:tcW w:type="dxa" w:w="1560"/>
            <w:tcMar>
              <w:top w:type="dxa" w:w="90"/>
              <w:left w:type="dxa" w:w="130"/>
              <w:bottom w:type="dxa" w:w="90"/>
              <w:right w:type="dxa" w:w="130"/>
            </w:tcMar>
          </w:tcPr>
          <w:p>
            <w:pPr>
              <w:spacing w:after="0" w:before="0" w:line="276"/>
            </w:pPr>
            <w:r>
              <w:rPr>
                <w:rFonts w:ascii="Calibri" w:cs="Calibri" w:eastAsia="Calibri" w:hAnsi="Calibri"/>
                <w:b w:val="false"/>
                <w:bCs w:val="false"/>
                <w:i w:val="false"/>
                <w:iCs w:val="false"/>
                <w:color w:val="10161D"/>
                <w:sz w:val="19"/>
                <w:szCs w:val="19"/>
              </w:rPr>
              <w:t xml:space="preserve">OPEN</w:t>
            </w:r>
          </w:p>
        </w:tc>
      </w:tr>
    </w:tbl>
    <w:p>
      <w:pPr>
        <w:spacing w:after="120" w:before="60" w:line="276"/>
      </w:pPr>
      <w:r>
        <w:rPr>
          <w:rFonts w:ascii="Calibri" w:cs="Calibri" w:eastAsia="Calibri" w:hAnsi="Calibri"/>
          <w:b w:val="false"/>
          <w:bCs w:val="false"/>
          <w:i/>
          <w:iCs/>
          <w:color w:val="55606C"/>
          <w:sz w:val="17"/>
          <w:szCs w:val="17"/>
        </w:rPr>
        <w:t xml:space="preserve">Totals: 5 resolved, 6 withdrawn or rescoped, 25 open on Main, 19 open on Tampa. Severity and evidence for every open item are in its own dimension above.</w:t>
      </w:r>
    </w:p>
    <w:p>
      <w:r>
        <w:br w:type="page"/>
      </w:r>
    </w:p>
    <w:p>
      <w:pPr>
        <w:pStyle w:val="Heading1"/>
        <w:spacing w:after="140" w:before="360"/>
      </w:pPr>
      <w:r>
        <w:t xml:space="preserve">11 · What I still need from you</w:t>
      </w:r>
    </w:p>
    <w:p>
      <w:pPr>
        <w:spacing w:after="120" w:before="60" w:line="276"/>
      </w:pPr>
      <w:r>
        <w:rPr>
          <w:rFonts w:ascii="Calibri" w:cs="Calibri" w:eastAsia="Calibri" w:hAnsi="Calibri"/>
          <w:b w:val="false"/>
          <w:bCs w:val="false"/>
          <w:i w:val="false"/>
          <w:iCs w:val="false"/>
          <w:color w:val="10161D"/>
          <w:sz w:val="21"/>
          <w:szCs w:val="21"/>
        </w:rPr>
        <w:t xml:space="preserve">Five exports would close the remaining gaps. Everything else in this document is already evidenced.</w:t>
      </w:r>
    </w:p>
    <w:p>
      <w:pPr>
        <w:pStyle w:val="ListParagraph"/>
        <w:numPr>
          <w:ilvl w:val="0"/>
          <w:numId w:val="3"/>
        </w:numPr>
        <w:spacing w:after="60" w:before="40" w:line="264"/>
      </w:pPr>
      <w:r>
        <w:rPr>
          <w:rFonts w:ascii="Calibri" w:cs="Calibri" w:eastAsia="Calibri" w:hAnsi="Calibri"/>
          <w:b w:val="false"/>
          <w:bCs w:val="false"/>
          <w:i w:val="false"/>
          <w:iCs w:val="false"/>
          <w:color w:val="10161D"/>
          <w:sz w:val="21"/>
          <w:szCs w:val="21"/>
        </w:rPr>
        <w:t xml:space="preserve">GA4 for tbhtampa.com, last 90 days: Reports → Engagement → Events, plus Traffic acquisition by session source/medium, and Pages and screens by landing page. I need to know whether lead_submission, call_click and sms_click are arriving at all, and how the five landers compare on sessions and engagement. Without it I cannot give you Tampa’s organic-vs-paid split.</w:t>
      </w:r>
    </w:p>
    <w:p>
      <w:pPr>
        <w:pStyle w:val="ListParagraph"/>
        <w:numPr>
          <w:ilvl w:val="0"/>
          <w:numId w:val="3"/>
        </w:numPr>
        <w:spacing w:after="60" w:before="40" w:line="264"/>
      </w:pPr>
      <w:r>
        <w:rPr>
          <w:rFonts w:ascii="Calibri" w:cs="Calibri" w:eastAsia="Calibri" w:hAnsi="Calibri"/>
          <w:b w:val="false"/>
          <w:bCs w:val="false"/>
          <w:i w:val="false"/>
          <w:iCs w:val="false"/>
          <w:color w:val="10161D"/>
          <w:sz w:val="21"/>
          <w:szCs w:val="21"/>
        </w:rPr>
        <w:t xml:space="preserve">Goliath contacts with created-date and source, last 90 days, as CSV. The UI shows 273 all-time but cannot be segmented by date or lander — and "Source" only distinguishes "Free Cash Offer" from "Inbound Phone Call", never which of the five landers produced the lead. If that is all Goliath stores, that itself is the finding, and it is a strong migration argument.</w:t>
      </w:r>
    </w:p>
    <w:p>
      <w:pPr>
        <w:pStyle w:val="ListParagraph"/>
        <w:numPr>
          <w:ilvl w:val="0"/>
          <w:numId w:val="3"/>
        </w:numPr>
        <w:spacing w:after="60" w:before="40" w:line="264"/>
      </w:pPr>
      <w:r>
        <w:rPr>
          <w:rFonts w:ascii="Calibri" w:cs="Calibri" w:eastAsia="Calibri" w:hAnsi="Calibri"/>
          <w:b w:val="false"/>
          <w:bCs w:val="false"/>
          <w:i w:val="false"/>
          <w:iCs w:val="false"/>
          <w:color w:val="10161D"/>
          <w:sz w:val="21"/>
          <w:szCs w:val="21"/>
        </w:rPr>
        <w:t xml:space="preserve">Both Ads accounts, last 90 days, segmented by conversion action, with the Search terms report for Tampa’s single campaign. Ninety days smooths the noise and would tell us whether Tampa’s 12 form leads is typical or an artifact of the form breaking recently.</w:t>
      </w:r>
    </w:p>
    <w:p>
      <w:pPr>
        <w:pStyle w:val="ListParagraph"/>
        <w:numPr>
          <w:ilvl w:val="0"/>
          <w:numId w:val="3"/>
        </w:numPr>
        <w:spacing w:after="60" w:before="40" w:line="264"/>
      </w:pPr>
      <w:r>
        <w:rPr>
          <w:rFonts w:ascii="Calibri" w:cs="Calibri" w:eastAsia="Calibri" w:hAnsi="Calibri"/>
          <w:b w:val="false"/>
          <w:bCs w:val="false"/>
          <w:i w:val="false"/>
          <w:iCs w:val="false"/>
          <w:color w:val="10161D"/>
          <w:sz w:val="21"/>
          <w:szCs w:val="21"/>
        </w:rPr>
        <w:t xml:space="preserve">A free PageSpeed Insights API key, so I can replace this document’s field measurements with proper Lighthouse and CrUX numbers for both domains.</w:t>
      </w:r>
    </w:p>
    <w:p>
      <w:pPr>
        <w:pStyle w:val="ListParagraph"/>
        <w:numPr>
          <w:ilvl w:val="0"/>
          <w:numId w:val="3"/>
        </w:numPr>
        <w:spacing w:after="60" w:before="40" w:line="264"/>
      </w:pPr>
      <w:r>
        <w:rPr>
          <w:rFonts w:ascii="Calibri" w:cs="Calibri" w:eastAsia="Calibri" w:hAnsi="Calibri"/>
          <w:b w:val="false"/>
          <w:bCs w:val="false"/>
          <w:i w:val="false"/>
          <w:iCs w:val="false"/>
          <w:color w:val="10161D"/>
          <w:sz w:val="21"/>
          <w:szCs w:val="21"/>
        </w:rPr>
        <w:t xml:space="preserve">Read access to the GTM container GTM-M8XFK63B, or an export. It is currently the single largest unaudited surface on Tampa — it injects a Meta Pixel, GA4 and Google Ads, none visible in the repo, and the gtm-tbh-events-import.json in the repo is a sanitised template, not the live container.</w:t>
      </w:r>
    </w:p>
    <w:p>
      <w:pPr>
        <w:pStyle w:val="Heading1"/>
        <w:spacing w:after="140" w:before="360"/>
      </w:pPr>
      <w:r>
        <w:t xml:space="preserve">12 · The migration decision</w:t>
      </w:r>
    </w:p>
    <w:p>
      <w:pPr>
        <w:spacing w:after="120" w:before="60" w:line="276"/>
      </w:pPr>
      <w:r>
        <w:rPr>
          <w:rFonts w:ascii="Calibri" w:cs="Calibri" w:eastAsia="Calibri" w:hAnsi="Calibri"/>
          <w:b/>
          <w:bCs/>
          <w:i w:val="false"/>
          <w:iCs w:val="false"/>
          <w:color w:val="10161D"/>
          <w:sz w:val="21"/>
          <w:szCs w:val="21"/>
        </w:rPr>
        <w:t xml:space="preserve">My recommendation: do not migrate Tampa yet — and not because migration is wrong.</w:t>
      </w:r>
    </w:p>
    <w:p>
      <w:pPr>
        <w:spacing w:after="120" w:before="60" w:line="276"/>
      </w:pPr>
      <w:r>
        <w:rPr>
          <w:rFonts w:ascii="Calibri" w:cs="Calibri" w:eastAsia="Calibri" w:hAnsi="Calibri"/>
          <w:b w:val="false"/>
          <w:bCs w:val="false"/>
          <w:i w:val="false"/>
          <w:iCs w:val="false"/>
          <w:color w:val="10161D"/>
          <w:sz w:val="21"/>
          <w:szCs w:val="21"/>
        </w:rPr>
        <w:t xml:space="preserve">The case for migrating is real and this audit strengthened it. Tampa’s risks are all dependency risks and they compound: a leaked credential in client source, a lead funnel with a single hardcoded third-party and no fallback, hero videos on an externally-managed blob store, and a GTM container that injects a Meta Pixel nobody on your team can see. Add the maintainability risk — a CSS build three weeks behind its own HTML, a TypeError on every page load, dead code nobody dares remove — and the direction of travel is obvious.</w:t>
      </w:r>
    </w:p>
    <w:p>
      <w:pPr>
        <w:spacing w:after="120" w:before="60" w:line="276"/>
      </w:pPr>
      <w:r>
        <w:rPr>
          <w:rFonts w:ascii="Calibri" w:cs="Calibri" w:eastAsia="Calibri" w:hAnsi="Calibri"/>
          <w:b w:val="false"/>
          <w:bCs w:val="false"/>
          <w:i w:val="false"/>
          <w:iCs w:val="false"/>
          <w:color w:val="10161D"/>
          <w:sz w:val="21"/>
          <w:szCs w:val="21"/>
        </w:rPr>
        <w:t xml:space="preserve">But the sequencing matters more than the direction. Right now you cannot measure what Tampa is worth. Ten of its nineteen conversion actions are misconfigured; GA4 never sees its conversion page; its five money pages have no inbound internal links; and its CRM cannot tell you which lander produced a lead. Its recorded 12 form conversions on $13,003 may be a real result or a measurement artifact, and nothing currently in place can tell you which. Migrating now would move a measurement problem onto a nicer stack and you would still be guessing.</w:t>
      </w:r>
    </w:p>
    <w:tbl>
      <w:tblPr>
        <w:tblW w:type="dxa" w:w="9360"/>
        <w:tblBorders>
          <w:top w:val="single" w:color="DBE1E8" w:sz="2"/>
          <w:left w:val="single" w:color="0F6E7C"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0F6E7C"/>
                <w:sz w:val="16"/>
                <w:szCs w:val="16"/>
              </w:rPr>
              <w:t xml:space="preserve">PLAN  </w:t>
            </w:r>
            <w:r>
              <w:rPr>
                <w:rFonts w:ascii="Calibri" w:cs="Calibri" w:eastAsia="Calibri" w:hAnsi="Calibri"/>
                <w:b/>
                <w:bCs/>
                <w:i w:val="false"/>
                <w:iCs w:val="false"/>
                <w:color w:val="10161D"/>
                <w:sz w:val="21"/>
                <w:szCs w:val="21"/>
              </w:rPr>
              <w:t xml:space="preserve">A three-phase sequence</w:t>
            </w:r>
          </w:p>
          <w:p>
            <w:pPr>
              <w:spacing w:after="70" w:before="0" w:line="276"/>
            </w:pPr>
            <w:r>
              <w:rPr>
                <w:rFonts w:ascii="Calibri" w:cs="Calibri" w:eastAsia="Calibri" w:hAnsi="Calibri"/>
                <w:b/>
                <w:bCs/>
                <w:i w:val="false"/>
                <w:iCs w:val="false"/>
                <w:color w:val="10161D"/>
                <w:sz w:val="20"/>
                <w:szCs w:val="20"/>
              </w:rPr>
              <w:t xml:space="preserve">Phase 0 — this week. </w:t>
            </w:r>
            <w:r>
              <w:rPr>
                <w:rFonts w:ascii="Calibri" w:cs="Calibri" w:eastAsia="Calibri" w:hAnsi="Calibri"/>
                <w:b w:val="false"/>
                <w:bCs w:val="false"/>
                <w:i w:val="false"/>
                <w:iCs w:val="false"/>
                <w:color w:val="10161D"/>
                <w:sz w:val="20"/>
                <w:szCs w:val="20"/>
              </w:rPr>
              <w:t xml:space="preserve">Rotate the GHL token, delete the zips, uncomment GTM on the thank-you page, fix or delete the ten misconfigured conversion actions, disallow _archive/. All small, all independent of any migration decision, none wasted if you migrate later.</w:t>
            </w:r>
          </w:p>
          <w:p>
            <w:pPr>
              <w:spacing w:after="70" w:before="0" w:line="276"/>
            </w:pPr>
            <w:r>
              <w:rPr>
                <w:rFonts w:ascii="Calibri" w:cs="Calibri" w:eastAsia="Calibri" w:hAnsi="Calibri"/>
                <w:b/>
                <w:bCs/>
                <w:i w:val="false"/>
                <w:iCs w:val="false"/>
                <w:color w:val="10161D"/>
                <w:sz w:val="20"/>
                <w:szCs w:val="20"/>
              </w:rPr>
              <w:t xml:space="preserve">Phase 1 — the next 60 days. </w:t>
            </w:r>
            <w:r>
              <w:rPr>
                <w:rFonts w:ascii="Calibri" w:cs="Calibri" w:eastAsia="Calibri" w:hAnsi="Calibri"/>
                <w:b w:val="false"/>
                <w:bCs w:val="false"/>
                <w:i w:val="false"/>
                <w:iCs w:val="false"/>
                <w:color w:val="10161D"/>
                <w:sz w:val="20"/>
                <w:szCs w:val="20"/>
              </w:rPr>
              <w:t xml:space="preserve">Fix Tampa’s conversion actions, wire the ten blog↔lander links, and rebuild the CSS. Then let it run and get a clean baseline. In parallel, fix Main’s canonical and server-render its metadata — worth more than the entire Tampa question, and a one-line start.</w:t>
            </w:r>
          </w:p>
          <w:p>
            <w:pPr>
              <w:spacing w:after="70" w:before="0" w:line="276"/>
            </w:pPr>
            <w:r>
              <w:rPr>
                <w:rFonts w:ascii="Calibri" w:cs="Calibri" w:eastAsia="Calibri" w:hAnsi="Calibri"/>
                <w:b/>
                <w:bCs/>
                <w:i w:val="false"/>
                <w:iCs w:val="false"/>
                <w:color w:val="10161D"/>
                <w:sz w:val="20"/>
                <w:szCs w:val="20"/>
              </w:rPr>
              <w:t xml:space="preserve">Phase 2 — decide with data. </w:t>
            </w:r>
            <w:r>
              <w:rPr>
                <w:rFonts w:ascii="Calibri" w:cs="Calibri" w:eastAsia="Calibri" w:hAnsi="Calibri"/>
                <w:b w:val="false"/>
                <w:bCs w:val="false"/>
                <w:i w:val="false"/>
                <w:iCs w:val="false"/>
                <w:color w:val="10161D"/>
                <w:sz w:val="20"/>
                <w:szCs w:val="20"/>
              </w:rPr>
              <w:t xml:space="preserve">With a real Tampa baseline and Main’s SEO unblocked, the comparison becomes answerable. You would also finally be able to test the standalone-domain question properly, which today you cannot, because the subpath alternative carries no local signal to compare against.</w:t>
            </w:r>
          </w:p>
        </w:tc>
      </w:tr>
    </w:tbl>
    <w:p>
      <w:pPr>
        <w:pStyle w:val="Heading3"/>
        <w:spacing w:after="90" w:before="220"/>
      </w:pPr>
      <w:r>
        <w:t xml:space="preserve">What is worth preserving if you do migrate</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The one-field entry. Tampa asks for an address and nothing else to start. Main asks for six fields across three steps behind a Places gate that refuses hand-typed addresses. Tampa’s entry design is the better one and it should survive.</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The domain. Whatever its ranking value, it has age and a backlink profile that a subfolder does not inherit. Keep it and redirect carefully, or keep it serving.</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Speed as a constraint, not an accident. Tampa’s 464 ms first paint is not a property of being static — it is a property of shipping 174 KB of JavaScript instead of 1,509 KB. Carry that as a budget into any migration.</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Cheap experimentation. Editing one HTML file to test a headline is genuinely faster than a PR through CI. Whatever replaces it should keep a fast path for copy changes — which the copy-object pattern and generated_content already give you, if the copy is rendered server-side.</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The persistent call/SMS affordance. Tampa has a phone number in the header on every page and a sticky Text/Call bar on mobile. Main has neither in its header, and 42 of Tampa’s 62 conversions were click-intent — people want to call. Do not design that away.</w:t>
      </w:r>
    </w:p>
    <w:p>
      <w:pPr>
        <w:pStyle w:val="Heading1"/>
        <w:spacing w:after="140" w:before="360"/>
      </w:pPr>
      <w:r>
        <w:t xml:space="preserve">13 · Method &amp; disclosure</w:t>
      </w:r>
    </w:p>
    <w:p>
      <w:pPr>
        <w:spacing w:after="120" w:before="60" w:line="276"/>
      </w:pPr>
      <w:r>
        <w:rPr>
          <w:rFonts w:ascii="Calibri" w:cs="Calibri" w:eastAsia="Calibri" w:hAnsi="Calibri"/>
          <w:b w:val="false"/>
          <w:bCs w:val="false"/>
          <w:i w:val="false"/>
          <w:iCs w:val="false"/>
          <w:color w:val="10161D"/>
          <w:sz w:val="21"/>
          <w:szCs w:val="21"/>
        </w:rPr>
        <w:t xml:space="preserve">Read-only throughout, as instructed. I modified no file in either repository, changed no setting in Ads, GHL, Goliath or Supabase, and deployed nothing.</w:t>
      </w:r>
    </w:p>
    <w:p>
      <w:pPr>
        <w:pStyle w:val="Heading3"/>
        <w:spacing w:after="90" w:before="220"/>
      </w:pPr>
      <w:r>
        <w:t xml:space="preserve">Three things I did that left a trace</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One test lead on Main — "AUDIT TEST For Audit Purposes", (813) 555-0142, patrick.solis+audittest@tarekbuyshouses.com, submitted 24 Aug 05:24 PM. It exists in Supabase leads and in GHL. Please delete both.</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One Google Ads conversion on Tampa, fired by loading /thank-you/?submission=true&amp;source=divorce to test the wiring. It carries the divorce label and lands on 24 Aug. Exclude it.</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Several incomplete Tampa form attempts that never submitted. I checked Goliath afterwards and found nothing — no test contact was created there.</w:t>
      </w:r>
    </w:p>
    <w:p>
      <w:pPr>
        <w:pStyle w:val="Heading3"/>
        <w:spacing w:after="90" w:before="220"/>
      </w:pPr>
      <w:r>
        <w:t xml:space="preserve">How the findings were produced</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Both repositories read in full from your machine, read-only.</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Live production verified in your browser: server HTML fetched raw, DOM and computed styles inspected, network requests captured, console errors read.</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Performance measured via Navigation and Resource Timing on hard reloads, identically across four pages.</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Funnel data extracted from your own admin panel rather than by querying Supabase directly.</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Ads figures read from both accounts for 25 July – 23 August 2026.</w:t>
      </w:r>
    </w:p>
    <w:p>
      <w:pPr>
        <w:pStyle w:val="ListParagraph"/>
        <w:numPr>
          <w:ilvl w:val="0"/>
          <w:numId w:val="2"/>
        </w:numPr>
        <w:spacing w:after="60" w:before="40" w:line="264"/>
      </w:pPr>
      <w:r>
        <w:rPr>
          <w:rFonts w:ascii="Calibri" w:cs="Calibri" w:eastAsia="Calibri" w:hAnsi="Calibri"/>
          <w:b w:val="false"/>
          <w:bCs w:val="false"/>
          <w:i w:val="false"/>
          <w:iCs w:val="false"/>
          <w:color w:val="10161D"/>
          <w:sz w:val="21"/>
          <w:szCs w:val="21"/>
        </w:rPr>
        <w:t xml:space="preserve">All 23 load-bearing claims were then re-checked by an independent adversarial pass instructed to refute them. All 23 held; four came back with nuances, which are reflected in the wording above.</w:t>
      </w:r>
    </w:p>
    <w:tbl>
      <w:tblPr>
        <w:tblW w:type="dxa" w:w="9360"/>
        <w:tblBorders>
          <w:top w:val="single" w:color="DBE1E8" w:sz="2"/>
          <w:left w:val="single" w:color="0F6E7C" w:sz="18"/>
          <w:bottom w:val="single" w:color="DBE1E8" w:sz="2"/>
          <w:right w:val="single" w:color="DBE1E8" w:sz="2"/>
          <w:insideH w:val="none"/>
          <w:insideV w:val="none"/>
        </w:tblBorders>
      </w:tblPr>
      <w:tblGrid>
        <w:gridCol w:w="9360"/>
      </w:tblGrid>
      <w:tr>
        <w:tc>
          <w:tcPr>
            <w:tcW w:type="dxa" w:w="9360"/>
            <w:shd w:fill="F1F4F6" w:color="auto" w:val="clear"/>
            <w:tcMar>
              <w:top w:type="dxa" w:w="90"/>
              <w:left w:type="dxa" w:w="130"/>
              <w:bottom w:type="dxa" w:w="90"/>
              <w:right w:type="dxa" w:w="130"/>
            </w:tcMar>
          </w:tcPr>
          <w:p>
            <w:pPr>
              <w:spacing w:after="80" w:before="0" w:line="276"/>
            </w:pPr>
            <w:r>
              <w:rPr>
                <w:rFonts w:ascii="Calibri" w:cs="Calibri" w:eastAsia="Calibri" w:hAnsi="Calibri"/>
                <w:b/>
                <w:bCs/>
                <w:i w:val="false"/>
                <w:iCs w:val="false"/>
                <w:color w:val="0F6E7C"/>
                <w:sz w:val="16"/>
                <w:szCs w:val="16"/>
              </w:rPr>
              <w:t xml:space="preserve">CAVEAT  </w:t>
            </w:r>
            <w:r>
              <w:rPr>
                <w:rFonts w:ascii="Calibri" w:cs="Calibri" w:eastAsia="Calibri" w:hAnsi="Calibri"/>
                <w:b/>
                <w:bCs/>
                <w:i w:val="false"/>
                <w:iCs w:val="false"/>
                <w:color w:val="10161D"/>
                <w:sz w:val="21"/>
                <w:szCs w:val="21"/>
              </w:rPr>
              <w:t xml:space="preserve">Where I would want a second look before you act</w:t>
            </w:r>
          </w:p>
          <w:p>
            <w:pPr>
              <w:spacing w:after="70" w:before="0" w:line="276"/>
            </w:pPr>
            <w:r>
              <w:rPr>
                <w:rFonts w:ascii="Calibri" w:cs="Calibri" w:eastAsia="Calibri" w:hAnsi="Calibri"/>
                <w:b w:val="false"/>
                <w:bCs w:val="false"/>
                <w:i w:val="false"/>
                <w:iCs w:val="false"/>
                <w:color w:val="10161D"/>
                <w:sz w:val="20"/>
                <w:szCs w:val="20"/>
              </w:rPr>
              <w:t xml:space="preserve">One finding has already failed this test and been withdrawn: the Tampa autocomplete dead-end (Dimension 2). I reported it from an automated browser against a cross-origin widget, flagged that as a weak channel, and it did not survive manual testing. That is the method working, but it is also a reminder that automated observation of third-party embeds belongs at the bottom of the evidence hierarchy in this document. Everything else here is quoted from source, captured from a live response, or read off a dashboard.</w:t>
            </w:r>
          </w:p>
          <w:p>
            <w:pPr>
              <w:spacing w:after="70" w:before="0" w:line="276"/>
            </w:pPr>
            <w:r>
              <w:rPr>
                <w:rFonts w:ascii="Calibri" w:cs="Calibri" w:eastAsia="Calibri" w:hAnsi="Calibri"/>
                <w:b w:val="false"/>
                <w:bCs w:val="false"/>
                <w:i w:val="false"/>
                <w:iCs w:val="false"/>
                <w:color w:val="10161D"/>
                <w:sz w:val="20"/>
                <w:szCs w:val="20"/>
              </w:rPr>
              <w:t xml:space="preserve">One more thing worth knowing: your local origin/main ref was last fetched on 19 August, and production is ahead of it. Any comparison between branches and production made from the local clone right now will be wrong in the same way mine initially was.</w:t>
            </w:r>
          </w:p>
        </w:tc>
      </w:tr>
    </w:tbl>
    <w:p>
      <w:pPr>
        <w:spacing w:after="100" w:before="0" w:line="276"/>
      </w:pPr>
      <w:r>
        <w:rPr>
          <w:rFonts w:ascii="Calibri" w:cs="Calibri" w:eastAsia="Calibri" w:hAnsi="Calibri"/>
          <w:b w:val="false"/>
          <w:bCs w:val="false"/>
          <w:i w:val="false"/>
          <w:iCs w:val="false"/>
          <w:color w:val="10161D"/>
          <w:sz w:val="21"/>
          <w:szCs w:val="21"/>
        </w:rPr>
        <w:t xml:space="preserve"/>
      </w:r>
    </w:p>
    <w:p>
      <w:pPr>
        <w:pBdr>
          <w:bottom w:val="single" w:color="DBE1E8" w:sz="6"/>
        </w:pBdr>
        <w:spacing w:after="120" w:before="60" w:line="276"/>
      </w:pPr>
      <w:r>
        <w:rPr>
          <w:rFonts w:ascii="Calibri" w:cs="Calibri" w:eastAsia="Calibri" w:hAnsi="Calibri"/>
          <w:b w:val="false"/>
          <w:bCs w:val="false"/>
          <w:i/>
          <w:iCs/>
          <w:color w:val="55606C"/>
          <w:sz w:val="17"/>
          <w:szCs w:val="17"/>
        </w:rPr>
        <w:t xml:space="preserve">Issued 25 August 2026, revised 26 August 2026 for Tarek Buys Houses. Figures from the Google Ads window 25 July – 23 August 2026; lead counts are all-time as of 24 August. Ratios and reconciliations were checked against source. Performance scoring is the team’s own Lighthouse runs; the byte and request tables are single-machine measurements, useful for composition rather than as benchmarks. Items marked RESOLVED were re-verified in raw production HTML on 26 August; every other finding stands as issued and is open for review.</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val="false"/>
        <w:bCs w:val="false"/>
        <w:i w:val="false"/>
        <w:iCs w:val="false"/>
        <w:color w:val="55606C"/>
        <w:sz w:val="16"/>
        <w:szCs w:val="16"/>
      </w:rPr>
      <w:t xml:space="preserve">Main vs Tampa Audit · rev. 26 Aug 2026 · </w:t>
    </w:r>
    <w:r>
      <w:rPr>
        <w:rFonts w:ascii="Calibri" w:cs="Calibri" w:eastAsia="Calibri" w:hAnsi="Calibri"/>
        <w:color w:val="5560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60"/>
    </w:pPr>
    <w:rPr>
      <w:rFonts w:ascii="Calibri Light" w:cs="Calibri Light" w:eastAsia="Calibri Light" w:hAnsi="Calibri Light"/>
      <w:b/>
      <w:bCs/>
      <w:color w:val="10161D"/>
      <w:sz w:val="34"/>
      <w:szCs w:val="34"/>
    </w:rPr>
  </w:style>
  <w:style w:type="paragraph" w:styleId="Heading2">
    <w:name w:val="Heading 2"/>
    <w:basedOn w:val="Normal"/>
    <w:next w:val="Normal"/>
    <w:qFormat/>
    <w:pPr>
      <w:spacing w:after="110" w:before="280"/>
    </w:pPr>
    <w:rPr>
      <w:rFonts w:ascii="Calibri Light" w:cs="Calibri Light" w:eastAsia="Calibri Light" w:hAnsi="Calibri Light"/>
      <w:b/>
      <w:bCs/>
      <w:color w:val="10161D"/>
      <w:sz w:val="27"/>
      <w:szCs w:val="27"/>
    </w:rPr>
  </w:style>
  <w:style w:type="paragraph" w:styleId="Heading3">
    <w:name w:val="Heading 3"/>
    <w:basedOn w:val="Normal"/>
    <w:next w:val="Normal"/>
    <w:qFormat/>
    <w:pPr>
      <w:spacing w:after="90" w:before="220"/>
    </w:pPr>
    <w:rPr>
      <w:rFonts w:ascii="Calibri" w:cs="Calibri" w:eastAsia="Calibri" w:hAnsi="Calibri"/>
      <w:b/>
      <w:bCs/>
      <w:color w:val="0F6E7C"/>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 vs Tampa Audit</dc:title>
  <dc:creator>Tarek Buys Houses</dc:creator>
  <dc:description>Nine-dimension comparative audit of tarekbuyshouses.com and tbhtampa.com</dc:description>
  <cp:lastModifiedBy>Un-named</cp:lastModifiedBy>
  <cp:revision>1</cp:revision>
  <dcterms:created xsi:type="dcterms:W3CDTF">2026-08-26T21:51:38.467Z</dcterms:created>
  <dcterms:modified xsi:type="dcterms:W3CDTF">2026-08-26T21:51:38.467Z</dcterms:modified>
</cp:coreProperties>
</file>

<file path=docProps/custom.xml><?xml version="1.0" encoding="utf-8"?>
<Properties xmlns="http://schemas.openxmlformats.org/officeDocument/2006/custom-properties" xmlns:vt="http://schemas.openxmlformats.org/officeDocument/2006/docPropsVTypes"/>
</file>