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慧到账（税金贷）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慧到账是一个企业贷款平台。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color="auto" w:fill="FFFFFF"/>
        </w:rPr>
        <w:t>面向诚信纳税的中小企业或企业主，以企业纳税及纳税行为数据为授信依据的自然人互联网信用贷款。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sz w:val="24"/>
          <w:lang w:eastAsia="zh-CN"/>
        </w:rPr>
        <w:t>慧到账是慧算账专属为正在服务的代账客户提供的金融类增值服务，针对依法纳税的小微企业。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我负责的是税金贷类型中的富税贷。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特别的条件：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法人或股东申请，法人要求占股20%以上，股东需为最大自然人股东且占股20%以上，股东在位需满一年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小规模纳税人近一年0申报次数不得超过2次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近6个月报税销售收入同比下降不超过50%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color="auto" w:fill="FFFFFF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color="auto" w:fill="FFFFFF"/>
        </w:rPr>
        <w:t>额度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color="auto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color="auto" w:fill="FFFFFF"/>
        </w:rPr>
        <w:t>单户最高授信额度100万元，单笔借据最高50万元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流程：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color="auto" w:fill="FFFFFF"/>
        </w:rPr>
        <w:t>①注册开户；②录入企业信息及税务授权；③企业及个人信息补录；④征信授权，提交申请；⑤审批出额度；⑥公众号线上提款。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8194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971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8670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BEBA9"/>
    <w:multiLevelType w:val="singleLevel"/>
    <w:tmpl w:val="227BEBA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4NDhkODhhMDMyODZlYjZiMWYzNWIwYTk1NWJmODkifQ=="/>
  </w:docVars>
  <w:rsids>
    <w:rsidRoot w:val="45DE2AF0"/>
    <w:rsid w:val="00BC36D0"/>
    <w:rsid w:val="0D4168B3"/>
    <w:rsid w:val="0D447020"/>
    <w:rsid w:val="0F6D0C7C"/>
    <w:rsid w:val="274F144A"/>
    <w:rsid w:val="40A920B9"/>
    <w:rsid w:val="45DE2AF0"/>
    <w:rsid w:val="566652B2"/>
    <w:rsid w:val="76BF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2022-08-15T02:12:00Z</dcterms:created>
  <dc:creator>admin</dc:creator>
  <cp:lastModifiedBy>admin</cp:lastModifiedBy>
  <dcterms:modified xsi:type="dcterms:W3CDTF">2022-08-15T02:50:10Z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EB336F46EE3643B78DE216F0F7EC03CA</vt:lpwstr>
  </property>
</Properties>
</file>