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 w:eastAsia="Noto Sans CJK SC"/>
          <w:b/>
          <w:i w:val="0"/>
          <w:color w:val="1B365D"/>
          <w:sz w:val="44"/>
        </w:rPr>
        <w:t>NTU CCDS CA6001 小组作业全案指南与数据集深度解析</w:t>
      </w:r>
    </w:p>
    <w:p>
      <w:pPr>
        <w:spacing w:before="0" w:after="240"/>
        <w:jc w:val="left"/>
      </w:pPr>
      <w:r>
        <w:rPr>
          <w:rFonts w:ascii="Calibri" w:hAnsi="Calibri" w:eastAsia="Noto Sans CJK SC"/>
          <w:b/>
          <w:i w:val="0"/>
          <w:color w:val="8A1538"/>
          <w:sz w:val="24"/>
        </w:rPr>
        <w:t>课程评分机制拆解、10 大新加坡本地真实数据集对比选型及“方案 5：六校毕业生就业与起薪预测”执行手册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80" w:type="dxa"/>
              <w:right w:w="160" w:type="dxa"/>
            </w:tcMar>
            <w:shd w:fill="F8FAFC"/>
            <w:tcBorders>
              <w:left w:val="single" w:sz="24" w:space="0" w:color="1B365D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1"/>
              </w:rPr>
              <w:t>项目核心背景与换题决策摘要（Executive Summary）</w:t>
              <w:br/>
            </w:r>
            <w:r>
              <w:rPr>
                <w:rFonts w:ascii="Calibri" w:hAnsi="Calibri" w:eastAsia="Noto Sans CJK SC"/>
                <w:b w:val="0"/>
                <w:i w:val="0"/>
                <w:color w:val="22252A"/>
                <w:sz w:val="21"/>
              </w:rPr>
              <w:t>本指南针对南洋理工大学（NTU）CCDS 学院 CA6001（AI Algorithms Fundamentals &amp; Application）课程小组作业（占总成绩 50%，截止日期 2026年10月28日 23:59）编制。针对 4 人团队（1人回归模型 + 2人树模型 + 1人深度学习）在原合成灌溉数据集上出现的“准确率与召回率全员接近 100%、模型缺乏区分度”问题，本文档梳理了评分标准底层逻辑，汇总了 10 个包含真实噪声、缺失值与非线性交互的新加坡本地公开数据集，并对最贴合 NTU 学生视角的“方案 5：新加坡六所公立大学毕业生就业率与起薪分档预测（MOE GES 数据集）”进行了从特征防泄露、特征工程、四模型分工到 10 页报告大纲的深度拆解。</w:t>
            </w:r>
          </w:p>
        </w:tc>
      </w:tr>
    </w:tbl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 w:eastAsia="Noto Sans CJK SC"/>
          <w:b/>
          <w:i w:val="0"/>
          <w:color w:val="1B365D"/>
          <w:sz w:val="32"/>
        </w:rPr>
        <w:t>一、 CA6001 课程作业要求与高分评分机制拆解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根据课程官方任务书（CA6001 Assignment Brief），本项目要求 4–6 人小组围绕一个真实的现实问题（Real-world Problem），应用课程核心 AI 原理与算法完成解决方案的设计、代码实现与多维评估。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1.1 四项核心交付物与提交红线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最终报告（Final Report）：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正文上限 10 页（不含封面页 Title Page），需完整呈现问题分析、数据集论证、算法原理对比与实验评估结论。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演示文稿（Slides）：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幻灯片上限 12 页（不含标题页 Title Slide），强调逻辑清晰度与可视化图表展示。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汇报音频或视频（Audio on Slides OR Video Recording）：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时长上限 15 分钟，可选择在 PPT 中嵌入语音讲解或直接录制团队汇报视频。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项目源代码（Code）：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提交完整、结构清晰且可复现实验结果的算法代码库。</w:t>
      </w:r>
    </w:p>
    <w:p>
      <w:pPr>
        <w:pStyle w:val="ListBullet"/>
        <w:spacing w:before="30" w:after="14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截止时间与学术诚信：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所有文件须于 2026年10月28日 23:59（11:59 PM）前通过 NTULearn 提交，并严格遵守南洋理工大学荣誉准则（NTU's Honour Code）与学术诚信规范。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1.2 评分模块权重与课程考核目标（ILO1–ILO6）映射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作业共考核 6 项学习成果（ILOs），其中“问题分析与方案设计（35%）”和“技术实现与模型表现（35%）”合计占总分的 70%。下表展示了各评分模块的得分抓手：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评分模块 (Component)</w:t>
            </w:r>
          </w:p>
        </w:tc>
        <w:tc>
          <w:tcPr>
            <w:tcW w:type="dxa" w:w="79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权重</w:t>
            </w:r>
          </w:p>
        </w:tc>
        <w:tc>
          <w:tcPr>
            <w:tcW w:type="dxa" w:w="208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官方评分标准说明</w:t>
            </w:r>
          </w:p>
        </w:tc>
        <w:tc>
          <w:tcPr>
            <w:tcW w:type="dxa" w:w="2160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对应课程考核目标 (ILOs)</w:t>
            </w:r>
          </w:p>
        </w:tc>
        <w:tc>
          <w:tcPr>
            <w:tcW w:type="dxa" w:w="237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High Standard (75–100%) 核心拿分抓手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问题分析与方案设计</w:t>
              <w:br/>
              <w:t>(Problem Analysis &amp; Solution Design)</w:t>
            </w:r>
          </w:p>
        </w:tc>
        <w:tc>
          <w:tcPr>
            <w:tcW w:type="dxa" w:w="7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35%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对现实问题的理解深度、AI 原理的相关性及所选技术路线的合理性</w:t>
            </w:r>
          </w:p>
        </w:tc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ILO1（解释核心 AI 算法原理）</w:t>
              <w:br/>
              <w:t>ILO2（对比算法适用场景与局限）</w:t>
              <w:br/>
              <w:t>ILO4（分析数据集论证算法选择）</w:t>
            </w:r>
          </w:p>
        </w:tc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结合 EDA 数据分布特征（偏态、缺失值、高维类别），从数学机制阐述为何选择该算法组合，并预判各自优劣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技术实现与模型表现</w:t>
              <w:br/>
              <w:t>(Technical Implementation &amp; Performance)</w:t>
            </w:r>
          </w:p>
        </w:tc>
        <w:tc>
          <w:tcPr>
            <w:tcW w:type="dxa" w:w="7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35%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代码实现质量、算法正确性、运行结果演示及多维性能指标评估</w:t>
            </w:r>
          </w:p>
        </w:tc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ILO3（应用 AI 解决实际问题）</w:t>
              <w:br/>
              <w:t>ILO5（使用编程工具实现算法）</w:t>
              <w:br/>
              <w:t>ILO6（使用恰当指标评估性能）</w:t>
            </w:r>
          </w:p>
        </w:tc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建立严密的交叉验证与防泄露特征流，对比线性基线、树模型与深度学习在 Accuracy、Recall、F1、AUC 上的梯度差异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汇报展示与总结报告</w:t>
              <w:br/>
              <w:t>(Presentation &amp; Summary Report)</w:t>
            </w:r>
          </w:p>
        </w:tc>
        <w:tc>
          <w:tcPr>
            <w:tcW w:type="dxa" w:w="7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20%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表达清晰度、结构逻辑、研究结论传达及汇报中的可视化运用</w:t>
            </w:r>
          </w:p>
        </w:tc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综合呈现 ILO1–ILO6 全流程研究闭环</w:t>
            </w:r>
          </w:p>
        </w:tc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严格控制在 10 页报告与 12 页 PPT 内，使用高质量数据分布图、ROC 曲线与特征重要性图支撑结论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组内互评</w:t>
              <w:br/>
              <w:t>(Peer Review)</w:t>
            </w:r>
          </w:p>
        </w:tc>
        <w:tc>
          <w:tcPr>
            <w:tcW w:type="dxa" w:w="7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10%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由小组成员相互评价团队合作、个人贡献度与协同配合情况</w:t>
            </w:r>
          </w:p>
        </w:tc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团队协作与工程规范</w:t>
            </w:r>
          </w:p>
        </w:tc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明确 4 人在统一数据底座上的模型分工（1 回归 + 2 树模型 + 1 深度学习），确保实验口径一致</w:t>
            </w:r>
          </w:p>
        </w:tc>
      </w:tr>
    </w:tbl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33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_and_rubric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Noto Sans CJK SC"/>
          <w:b w:val="0"/>
          <w:i/>
          <w:color w:val="555E6B"/>
          <w:sz w:val="19"/>
        </w:rPr>
        <w:t>图 1：CA6001 作业评分权重分布（左）与方案 5 新加坡教育部 GES 数据集高校样本结构（右）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 w:eastAsia="Noto Sans CJK SC"/>
          <w:b/>
          <w:i w:val="0"/>
          <w:color w:val="1B365D"/>
          <w:sz w:val="32"/>
        </w:rPr>
        <w:t>二、 10 大新加坡本地真实数据集选型全景对比（方案 1–10）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合成数据集（如原灌溉预测数据集）由于生成规则固定、信噪比过高，导致线性回归、树模型与神经网络的准确率均逼近 100%，无法满足 ILO2（对比算法局限性）与 ILO4（结合数据特征论证选择）的高分要求。以下汇总了来自新加坡政府公开数据平台（Data.gov.sg）与 Kaggle 的 10 个真实本地数据集方案，均支持直接复用团队现有的准确率（Accuracy）与召回率（Recall）评估代码：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方案编号与选题名称</w:t>
            </w:r>
          </w:p>
        </w:tc>
        <w:tc>
          <w:tcPr>
            <w:tcW w:type="dxa" w:w="194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官方 / 开源数据集链接</w:t>
            </w:r>
          </w:p>
        </w:tc>
        <w:tc>
          <w:tcPr>
            <w:tcW w:type="dxa" w:w="194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数据规模与关键字段</w:t>
            </w:r>
          </w:p>
        </w:tc>
        <w:tc>
          <w:tcPr>
            <w:tcW w:type="dxa" w:w="172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分类 / 回归目标设定</w:t>
            </w:r>
          </w:p>
        </w:tc>
        <w:tc>
          <w:tcPr>
            <w:tcW w:type="dxa" w:w="194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四模型拉开性能差距的核心机理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1：新加坡组屋（HDB）高溢价房源分类与转售价预测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hyperlink r:id="rId12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HDB Resale Prices (Data.gov.sg)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13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MRT Stations (Kaggle)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14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HDB Property Info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24.27 万行 × 11 列（2017–2026年10月）：含市镇 town（26类）、房型、楼层、面积、户型（21类）、剩余屋契与转售价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分类：预测是否为“高溢价/百万组屋”（前 20% 分位）或低/中/高三档</w:t>
              <w:br/>
              <w:t>回归：预测 resale_price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高基数类别变量与“地段×楼层×屋契折旧”强非线性交互；逻辑回归欠拟合，Boosting 树与 Entity Embedding 神经网络优势显著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2：新加坡热带降雨预警与极端天气分类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hyperlink r:id="rId15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Weather Data of Singapore 2020–2023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整合新加坡 2020–2023 年多站点月度气象 CSV 观测记录（温度、湿度、风速、降雨量等）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分类：根据前序气象指标预测次日“是否降雨”或“降雨强度等级（无/小/暴雨）”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与原灌溉课题背景最接近；热带对流雨具备强随机噪声与暴雨样本稀缺性，各模型在 Precision 与 Recall 权衡曲线上差异极大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3：新加坡 Airbnb 短租房源热门度与定价档位预测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hyperlink r:id="rId16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Singapore Airbnb (Kaggle)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17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Airbnb SG 2024–2025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7,907 条房源样本，含区域、经纬度、房型、最低入住晚数、评论频率及日租金，自带真实缺失值与高价异常值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分类：预测是否为“高溢价/高需求房源”或价格三档分类</w:t>
              <w:br/>
              <w:t>回归：预测日租金 price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千级样本且含长尾异常值；逻辑回归易受极值干扰，随机森林抗噪性强，而深层神经网络在千级表格数据上易过拟合（契合 ILO2）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4：新加坡二手车定价与拥车证（COE）溢价分析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hyperlink r:id="rId18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SG Used Car (Kaggle)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19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LTA COE Bidding Results (Data.gov.sg)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二手车数据（667 KB）+ LTA 官方 COE 竞标数据（2010–2026年 2,000 行 × 7 列：配额 quota、投标数、成功数、溢价 premium）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分类：预测二手车是否高于中位折旧率，或预测下一轮 COE 溢价是否突破阈值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极具新加坡政策特色；车价受配额超额认购率（bids_received / quota）与车龄里程非线性耦合，线性模型难以捕捉政策跳变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5（重点解析）：新加坡六所公立大学毕业生就业率与起薪预测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hyperlink r:id="rId20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MOE Graduate Employment Survey (Data.gov.sg)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21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GES Mirror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1,600 行 × 12 列（2013–2025年）：含 NTU/NUS/SIT/SMU/SUSS/SUTD 六校、70+ 学院、专业名称、就业率与 6 项月薪指标（含 5.9% 缺失）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分类：预测“高起薪且高全职就业率”王牌专业（二分类）或起薪三梯队</w:t>
              <w:br/>
              <w:t>回归：预测总月薪中位数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高维专业文本/类别特征 + 12 年宏观通胀趋势；逻辑回归可解释关键词权重，CatBoost/XGBoost 与带 Embedding 的 MLP 形成精彩对决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6：新加坡半小时级电力负荷需求与电网尖峰预警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hyperlink r:id="rId22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Singapore Energy Market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EMA/EMC 2017–2020 年每半小时（Half-hourly）电力负荷数据，配套历史气温与湿度特征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分类：预测未来时段是否触发“电网尖峰负荷预警（前 15% 分位）”</w:t>
              <w:br/>
              <w:t>回归：预测半小时电力负荷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电力需求受“温湿度×工作日×日内 48 个半小时周期”耦合，深度学习（LSTM/1D-CNN/MLP）在连续周期表征上可正面抗衡树模型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7：新加坡 MRT/LRT 地铁站进出站潮汐客流与拥挤度分类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hyperlink r:id="rId23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SG Train Passenger Volume (Kaggle)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24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MRT Coordinates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各 MRT/LRT 站点在工作日与周末各时段的进站（Tap in）与出站（Tap out）客流及站点经纬度坐标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分类：预测站点在特定时段是否进入“高拥挤度状态”或识别站点功能类型（商务/住宅/枢纽）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早晚高峰呈现极端双峰非线性跳变；线性模型对时段数值（0–23时）拟合差，树模型擅长空间坐标与时段非均匀切分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8：新加坡组屋（HDB）整套出租租金档位预测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hyperlink r:id="rId25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Renting Out of Flats (Data.gov.sg)</w:t>
              </w:r>
            </w:hyperlink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br/>
            </w:r>
            <w:hyperlink r:id="rId26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Singapore POI Dataset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21.26 万行 × 6 列（2021–2026年9月）：含核准月份、市镇、楼栋、街道、房型及月租金；可关联周边商场/学校 POI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分类：预测租约是否属于“高租金溢价房源”或低/中/高租金三档</w:t>
              <w:br/>
              <w:t>回归：预测月租金 monthly_rent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官方注明租金为屋主自行申报（Owner-declared），天然带有申报噪声与议价方差，极适合检验 Bagging 抗噪性与过拟合控制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9：新加坡小贩中心（Hawker Food）营养与健康分级分类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hyperlink r:id="rId27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SG Hawker Food Nutrition (Kaggle)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新加坡常见小贩中心美食与饮品的能量、碳水、蛋白质、脂肪、维生素、矿物质及单份克重档案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分类：结合新加坡营养分级政策，预测餐品是否属于“高热量/高钠/高脂风险餐品”或膳食类别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营养成分间存在强多重共线性（总热量与碳水/脂肪高度相关）；利于展示 L1/L2 正则化逻辑回归与树模型特征重要性稀释效应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方案 10：新加坡 HDB 停车场运营规则与夜间开放原生分类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hyperlink r:id="rId28">
              <w:r>
                <w:rPr>
                  <w:rFonts w:ascii="Calibri" w:hAnsi="Calibri" w:eastAsia="Noto Sans CJK SC"/>
                  <w:color w:val="0F52BA"/>
                  <w:u w:val="single"/>
                  <w:sz w:val="20"/>
                  <w:szCs w:val="20"/>
                </w:rPr>
                <w:t>HDB Carpark Information (Data.gov.sg)</w:t>
              </w:r>
            </w:hyperlink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2,300 行 × 12 列（更新至 2026年10月）：含 SVY21 坐标、停车场类型、收费系统、楼层数、限高及夜间/免费停车规则</w:t>
            </w:r>
          </w:p>
        </w:tc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原生二分类：直接预测 night_parking（YES 占 82.8% / NO 占 17.2%）或 free_parking（74.2% vs. 25.8%）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无需人工分箱造标签！自带约 8:2 真实类别不平衡且训练极快，未调优模型在少数类 Recall 上会立刻拉开巨大差距</w:t>
            </w:r>
          </w:p>
        </w:tc>
      </w:tr>
    </w:tbl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 w:eastAsia="Noto Sans CJK SC"/>
          <w:b/>
          <w:i w:val="0"/>
          <w:color w:val="1B365D"/>
          <w:sz w:val="32"/>
        </w:rPr>
        <w:t>三、 方案 5 深度解析：新加坡六所公立大学毕业生就业率与起薪预测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方案 5 选用新加坡教育部（MOE）联合六所公立自治大学（NTU、NUS、SMU、SIT、SUTD、SUSS）每年开展的官方毕业生就业调查数据集（Graduate Employment Survey, GES）。作为 NTU CCDS 学院的课程作业，分析包含 NTU 自身各学院与专业的就业及薪资演变，不仅在汇报展示（占 20%）中极具说服力，而且其数据形态完美契合 4 人算法团队的对比需求。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3.1 数据集底层结构与真实脏数据特征（对应 ILO4）</w:t>
      </w:r>
    </w:p>
    <w:p>
      <w:pPr>
        <w:spacing w:before="0" w:after="120" w:line="276" w:lineRule="auto"/>
      </w:pPr>
      <w:r>
        <w:rPr>
          <w:rFonts w:ascii="Calibri" w:hAnsi="Calibri" w:eastAsia="Noto Sans CJK SC"/>
          <w:b/>
          <w:i w:val="0"/>
          <w:color w:val="1B365D"/>
          <w:sz w:val="22"/>
        </w:rPr>
        <w:t>官方数据源：</w:t>
      </w:r>
      <w:hyperlink r:id="rId20">
        <w:r>
          <w:rPr>
            <w:rFonts w:ascii="Calibri" w:hAnsi="Calibri" w:eastAsia="Noto Sans CJK SC"/>
            <w:color w:val="0F52BA"/>
            <w:u w:val="single"/>
            <w:sz w:val="22"/>
            <w:szCs w:val="22"/>
          </w:rPr>
          <w:t>Graduate Employment Survey - NTU, NUS, SIT, SMU, SUSS &amp; SUTD (Data.gov.sg)</w:t>
        </w:r>
      </w:hyperlink>
      <w:r>
        <w:rPr>
          <w:rFonts w:ascii="Calibri" w:hAnsi="Calibri" w:eastAsia="Noto Sans CJK SC"/>
          <w:b w:val="0"/>
          <w:i w:val="0"/>
          <w:color w:val="22252A"/>
          <w:sz w:val="22"/>
        </w:rPr>
        <w:t>（Kaggle 同步整理版：</w:t>
      </w:r>
      <w:hyperlink r:id="rId21">
        <w:r>
          <w:rPr>
            <w:rFonts w:ascii="Calibri" w:hAnsi="Calibri" w:eastAsia="Noto Sans CJK SC"/>
            <w:color w:val="0F52BA"/>
            <w:u w:val="single"/>
            <w:sz w:val="22"/>
            <w:szCs w:val="22"/>
          </w:rPr>
          <w:t>Singapore Graduate Employment Survey</w:t>
        </w:r>
      </w:hyperlink>
      <w:r>
        <w:rPr>
          <w:rFonts w:ascii="Calibri" w:hAnsi="Calibri" w:eastAsia="Noto Sans CJK SC"/>
          <w:b w:val="0"/>
          <w:i w:val="0"/>
          <w:color w:val="22252A"/>
          <w:sz w:val="22"/>
        </w:rPr>
        <w:t>）。数据集涵盖 2013–2025 年共约 1,600 行 × 12 列记录，具体字段字典与预处理要点如下：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字段名 (Column Name)</w:t>
            </w:r>
          </w:p>
        </w:tc>
        <w:tc>
          <w:tcPr>
            <w:tcW w:type="dxa" w:w="158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字段角色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原始类型与缺失率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真实数据分布与脏数据清洗要点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year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输入背景特征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Year (YYYY)</w:t>
              <w:br/>
              <w:t>缺失率：0.0%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涵盖 2013 至 2024/2025 年；反映跨度十余年的薪资通胀与宏观经济周期（如 2020 疫情期与 2022–2024 科技扩招期）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university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输入背景特征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Text (6 类)</w:t>
              <w:br/>
              <w:t>缺失率：0.0%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NTU（30.9%）、NUS（30.8%）、SIT（22.9%）、SMU（9.7%）、SUSS 与 SUTD（合占 5.7%）；可直接做 One-Hot 或 Embedding 编码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school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输入背景特征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Text (70+ 类)</w:t>
              <w:br/>
              <w:t>缺失率：2.1%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如 College of Engineering（12.2%）、CHASS（7.5%）等；存在历史院系更名及 SMU 部分课程未填学院的真实缺失，需归并清洗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degree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输入背景特征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Text (400+ 类)</w:t>
              <w:br/>
              <w:t>缺失率：0.0%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具体学位与专业名称；夹杂 *、^、#、## 等尾注符号及 Cum Laude / Honours 标记，需通过正则表达式剥离符号并提取学制特征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employment_rate_overall</w:t>
              <w:br/>
              <w:t>employment_rate_ft_perm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同期调查产出</w:t>
              <w:br/>
              <w:t>（目标 / 构造滞后）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Text (数值存为文本)</w:t>
              <w:br/>
              <w:t>缺失率：5.9%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毕业后 6 个月的整体就业率与全职永久就业率（%）；应答人数 &lt;30 人的小样本专业标记为 na 或 **，需转为浮点数并剔除/插补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basic_monthly_mean / median</w:t>
              <w:br/>
              <w:t>gross_monthly_mean / median</w:t>
              <w:br/>
              <w:t>gross_monthly_25 / 75_percentile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同期调查产出</w:t>
              <w:br/>
              <w:t>（核心预测目标）</w:t>
            </w:r>
          </w:p>
        </w:tc>
        <w:tc>
          <w:tcPr>
            <w:tcW w:type="dxa" w:w="18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Text (数值存为文本)</w:t>
              <w:br/>
              <w:t>缺失率：5.9%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共 6 列月薪指标（S$）；其中 gross_monthly_median（总月薪中位数）最能抗极值干扰，适合作为核心回归目标或分档分类依据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3.2 核心防坑指南：阻断“目标泄露（Target Leakage）”与三大特征工程方案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180" w:type="dxa"/>
              <w:right w:w="160" w:type="dxa"/>
            </w:tcMar>
            <w:shd w:fill="F8FAFC"/>
            <w:tcBorders>
              <w:left w:val="single" w:sz="24" w:space="0" w:color="8A1538"/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Noto Sans CJK SC"/>
                <w:b/>
                <w:i w:val="0"/>
                <w:color w:val="8A1538"/>
                <w:sz w:val="21"/>
              </w:rPr>
              <w:t>高危预警：为什么绝对不能将同期其他薪资列放入输入特征 X？</w:t>
              <w:br/>
            </w:r>
            <w:r>
              <w:rPr>
                <w:rFonts w:ascii="Calibri" w:hAnsi="Calibri" w:eastAsia="Noto Sans CJK SC"/>
                <w:b w:val="0"/>
                <w:i w:val="0"/>
                <w:color w:val="22252A"/>
                <w:sz w:val="21"/>
              </w:rPr>
              <w:t>原始表中的 8 个产出列（2 项就业率 + 6 项月薪指标）来自同一次毕业生追踪调查。basic_monthly_median 与 gross_monthly_median 的相关系数高达 0.98 以上。如果将同期的 basic_monthly_mean 或 25/75 分位数放入输入特征去预测 gross_monthly_median，相当于“用左手薪资预测右手薪资”，四个模型又会出现准确率 99% 的虚假完美现象！正确的建模准则：预测某专业在 第 t 年 的表现时，只能使用入学/在读已知属性（高校、学院、专业特征、年份）以及 第 t-1 年及以前 的历史滞后数据。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为充分发挥四类算法的机制差异，建议构建以下三大高区分度特征工程模块（约 20–30 维特征）：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模块一：基于 degree 与 school 的领域知识与文本特征提取（Domain &amp; Text Feature Extraction）：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（1）用正则表达式清洗尾注符号（*、#、^），并提取布尔特征 is_double_degree（是否双学位/跨学科复合专业，如 Accountancy and Business、Business and Computing）、is_honours（是否含 Honours / Cum Laude 高荣誉标记）、is_follow_up（是否为医学、法律、建筑等实习期后追踪专业）；（2）将 70+ 个学院与数百个专业归并为 7 大核心学科群（Computing &amp; AI、Engineering、Business &amp; Finance、Medicine &amp; Health、Law、Science、Humanities &amp; Arts）；（3）提取专业名称的 Top-15 TF-IDF 关键词特征。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模块二：构造跨年历史滞后特征（Historical Lag Features，消除同源泄露）：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按 (university, degree_cleaned) 排序对齐时间序列，提取该专业在 上一年（t-1 年） 的全职就业率 lag1_ft_emp_rate、上一年总月薪中位数 lag1_gross_median，以及上一年薪资四分位距 lag1_salary_iqr = gross_75th - gross_25th（反映该专业毕业生内部的薪资分化度）。对于当年新设专业，采用同校同学院上一年的均值进行分层回填（Hierarchical Imputation）。</w:t>
      </w:r>
    </w:p>
    <w:p>
      <w:pPr>
        <w:pStyle w:val="ListBullet"/>
        <w:spacing w:before="30" w:after="14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模块三：引入时间趋势与新加坡宏观经济周期特征（Macroeconomic Context）：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 xml:space="preserve">构造距基准年跨度 years_since_2013 及宏观阶段标识（如 2020–2021 疫情期、2022–2024 科技扩招与高通胀期），还可按年份关联 </w:t>
      </w:r>
      <w:hyperlink r:id="rId29">
        <w:r>
          <w:rPr>
            <w:rFonts w:ascii="Calibri" w:hAnsi="Calibri" w:eastAsia="Noto Sans CJK SC"/>
            <w:color w:val="0F52BA"/>
            <w:u w:val="single"/>
            <w:sz w:val="22"/>
            <w:szCs w:val="22"/>
          </w:rPr>
          <w:t>Singapore Statistics (SingStat)</w:t>
        </w:r>
      </w:hyperlink>
      <w:r>
        <w:rPr>
          <w:rFonts w:ascii="Calibri" w:hAnsi="Calibri" w:eastAsia="Noto Sans CJK SC"/>
          <w:b w:val="0"/>
          <w:i w:val="0"/>
          <w:color w:val="22252A"/>
          <w:sz w:val="22"/>
        </w:rPr>
        <w:t xml:space="preserve"> 的年度 GDP 增长率或核心 CPI 通胀指数，增强模型对跨年薪资普涨的解释力。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3.3 预测目标设定（无缝复用团队现有 Accuracy / Recall 评估代码）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为保持你们已编写的分类评估代码（Accuracy、Precision、Recall、F1-Score、ROC-AUC）无需重构，建议采用以下两套分类设定（亦可在报告中附带连续值回归实验作为补充亮点）：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设定 A（推荐主实验 — 二分类“高起薪且高稳就业”王牌专业识别）：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将每年总月薪中位数（gross_monthly_median）处于当年样本前 30% 分位数、且全职永久就业率（employment_rate_ft_perm）&gt;= 85% 的专业定义为正类（Label = 1，约占总样本 25%），其余为普通类（Label = 0，约占 75%）。该设定天然形成 3:1 的正负样本不平衡，能显著拉开各模型在正类 Recall（召回率）与 F1-Score 上的差距。</w:t>
      </w:r>
    </w:p>
    <w:p>
      <w:pPr>
        <w:pStyle w:val="ListBullet"/>
        <w:spacing w:before="30" w:after="14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设定 B（多分类实验 — 应届生毕业起薪三梯队预测）：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按总月薪中位数划分为三个梯队：Tier 1 基础起薪档（&lt; S$3,600）、Tier 2 中坚起薪档（S$3,600 – S$4,500）、Tier 3 高薪溢价档（&gt; S$4,500），重点评估各模型的 Macro-F1 与混淆矩阵错分分布。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3.4 四人团队算法分工与差异化对比实验设计（对应 ILO1, ILO2, ILO5, ILO6）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在完成上述特征工程后（约 1,500 条有效样本 × 25 维混合特征），4 位团队成员完全保持原有分工不变，各自模型的实现重点与报告理论分析亮点如下表所示：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组员角色分工</w:t>
            </w:r>
          </w:p>
        </w:tc>
        <w:tc>
          <w:tcPr>
            <w:tcW w:type="dxa" w:w="194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核心算法模型</w:t>
            </w:r>
          </w:p>
        </w:tc>
        <w:tc>
          <w:tcPr>
            <w:tcW w:type="dxa" w:w="266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特征处理与超参数调优重点</w:t>
            </w:r>
          </w:p>
        </w:tc>
        <w:tc>
          <w:tcPr>
            <w:tcW w:type="dxa" w:w="31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预期性能表现与报告理论对比亮点 (ILO1 &amp; ILO2)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组员 1</w:t>
              <w:br/>
              <w:t>（回归模型）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Logistic Regression</w:t>
              <w:br/>
              <w:t>（对比 L1 Lasso 与 L2 Ridge 正则化）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对类别特征做 One-Hot 编码，数值特征做 StandardScaler 标准化；网格搜索正则化系数 C 与惩罚项类型（L1 vs. L2）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【高可解释性基线】：可通过回归系数直观展示 Computing、Law、Double Degree 等特征的正向溢价权重；但受限于线性决策边界（High Bias），难以捕捉“学校×学院×年份”非线性交互，预计 Recall 约为 68%–74%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组员 2</w:t>
              <w:br/>
              <w:t>（树模型 A：Bagging）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Decision Tree &amp;</w:t>
              <w:br/>
              <w:t>Random Forest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对比单棵未剪枝决策树与随机森林；调优 n_estimators、max_depth、min_samples_leaf 及 class_weight='balanced'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【验证方差削减 Variance Reduction】：单棵决策树面对 70+ 个学院类别极易过拟合（训练集 &gt;96%，测试集约 72%）；随机森林通过 Bootstrap 与特征随机采样显著抑制方差，测试集 F1 提升至约 79%–83%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组员 3</w:t>
              <w:br/>
              <w:t>（树模型 B：Boosting）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CatBoost / XGBoost / LightGBM</w:t>
              <w:br/>
              <w:t>（梯度提升决策树）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利用 CatBoost 原生高基数类别处理（Ordered Target Statistics）或 XGBoost/LightGBM 直方图分裂；调优 learning_rate、subsample、scale_pos_weight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【全组综合性能标杆 Bias Reduction】：在千级样本的混合表格数据上，串行残差拟合能精准捕捉滞后薪资与学科类别的非线性边界，预计在 F1-Score（84%–88%）与 ROC-AUC 上拔得头筹，并可输出 SHAP 归因图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组员 4</w:t>
              <w:br/>
              <w:t>（深度学习）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MLP with Entity Embeddings</w:t>
              <w:br/>
              <w:t>（多层感知机 + 类别嵌入层）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为 university、school、degree 关键词构建低维稠密 Embedding 层，拼接标准化数值特征后输入含 BatchNorm、Dropout(0.3) 与 AdamW 的多层网络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【探讨深度学习在中小表格数据上的边界】：论证为何在 ~1,500 行表格数据上普通深层网络易过拟合且训练耗时高，而引入 Entity Embedding 与 Dropout 后可逼近树模型表现——这是拿满 ILO2 算法局限性高分的关键论据</w:t>
            </w:r>
          </w:p>
        </w:tc>
      </w:tr>
    </w:tbl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 w:eastAsia="Noto Sans CJK SC"/>
          <w:b/>
          <w:i w:val="0"/>
          <w:color w:val="1B365D"/>
          <w:sz w:val="32"/>
        </w:rPr>
        <w:t>四、 10 页最终报告（Final Report）结构规划与 12 天冲刺日程</w:t>
      </w:r>
    </w:p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4.1 10 页最终报告（不含封面）黄金篇幅分配表</w:t>
      </w:r>
    </w:p>
    <w:p>
      <w:pPr>
        <w:spacing w:before="0" w:after="120" w:line="276" w:lineRule="auto"/>
      </w:pPr>
      <w:r>
        <w:rPr>
          <w:rFonts w:ascii="Calibri" w:hAnsi="Calibri" w:eastAsia="Noto Sans CJK SC"/>
          <w:b w:val="0"/>
          <w:i w:val="0"/>
          <w:color w:val="22252A"/>
          <w:sz w:val="22"/>
        </w:rPr>
        <w:t>报告限制在 10 页以内（Excluding Title Page）。为确保覆盖全部 6 项 ILO 考核点并最大化图表视觉冲击力，建议按以下章节结构组稿：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页码规划</w:t>
            </w:r>
          </w:p>
        </w:tc>
        <w:tc>
          <w:tcPr>
            <w:tcW w:type="dxa" w:w="259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报告章节标题 (Section Title)</w:t>
            </w:r>
          </w:p>
        </w:tc>
        <w:tc>
          <w:tcPr>
            <w:tcW w:type="dxa" w:w="338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核心撰写内容与必备图表</w:t>
            </w:r>
          </w:p>
        </w:tc>
        <w:tc>
          <w:tcPr>
            <w:tcW w:type="dxa" w:w="208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1B365D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直接支撑的评分项与 ILO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第 1 页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1. Introduction &amp; Problem Definition</w:t>
              <w:br/>
              <w:t>（问题背景与现实意义）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阐述新加坡高等教育学科结构调整与就业市场痛点；明确二分类/多分类与回归预测目标定义，说明对高校课程规划及学生选专业的实际价值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Problem Analysis (35%)</w:t>
              <w:br/>
              <w:t>现实问题理解深度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第 2–3 页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2. Exploratory Data Analysis &amp; Feature Engineering</w:t>
              <w:br/>
              <w:t>（数据分析与防泄露特征工程）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展示 1,600 行数据清洗流程（5.9% 缺失值处理）、2013–2025 薪资分布演变图、六校与七大学科箱线图；重点论证“为何剔除同期薪资列”及三大衍生特征构造逻辑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Problem Analysis (35%)</w:t>
              <w:br/>
              <w:t>重点对应 ILO4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第 4–5 页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3. Algorithmic Principles &amp; Comparative Justification</w:t>
              <w:br/>
              <w:t>（核心算法原理与适用性论证）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4 位组员各用 0.5 页阐述所负责算法的数学原理（Logistic Sigmoid 与正则化、Bagging 方差抑制、Boosting 梯度残差、MLP 嵌入与反向传播），并结合 GES 数据特征对比各自适用性与局限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Solution Design (35%)</w:t>
              <w:br/>
              <w:t>重点对应 ILO1 &amp; ILO2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第 6–8 页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4. Experimental Setup, Implementation &amp; Evaluation</w:t>
              <w:br/>
              <w:t>（实验设计、调优与多维性能评估）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说明时间序列切分/分层 5 折交叉验证方案；汇总 4 类模型在 Accuracy、Precision、Recall、F1、ROC-AUC 上的对比总表；展示混淆矩阵、ROC 曲线对比图及 SHAP / Feature Importance 特征重要性图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2F5F9"/>
          </w:tcPr>
          <w:p>
            <w:pPr>
              <w:keepNext/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Technical Implementation (35%)</w:t>
              <w:br/>
              <w:t>重点对应 ILO3, ILO5, ILO6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/>
                <w:i w:val="0"/>
                <w:color w:val="1B365D"/>
                <w:sz w:val="20"/>
              </w:rPr>
              <w:t>第 9–10 页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5. Critical Discussion, Limitations &amp; Conclusion</w:t>
              <w:br/>
              <w:t>（深度讨论、局限性与总结）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深入讨论千级表格数据上树模型与深度学习的性能-效率权衡（Bias-Variance &amp; Tabular DL Limitations）、漏报与误报的业务代价，以及未来引入宏观经济与课程大纲 NLP 特征的改进方向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40" w:after="40" w:line="269" w:lineRule="auto"/>
              <w:jc w:val="left"/>
            </w:pPr>
            <w:r>
              <w:rPr>
                <w:rFonts w:ascii="Calibri" w:hAnsi="Calibri" w:eastAsia="Noto Sans CJK SC"/>
                <w:b w:val="0"/>
                <w:i w:val="0"/>
                <w:color w:val="22252A"/>
                <w:sz w:val="20"/>
              </w:rPr>
              <w:t>Presentation &amp; Report (20%)</w:t>
              <w:br/>
              <w:t>综合拔高与反思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Noto Sans CJK SC"/>
          <w:b/>
          <w:i w:val="0"/>
          <w:color w:val="8A1538"/>
          <w:sz w:val="27"/>
        </w:rPr>
        <w:t>4.2 距离截止日（10月28日）12 天团队冲刺时间表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阶段一：数据清洗与特征底座统一（10月16日 – 10月18日，第 1–3 天）：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下载官方 GES CSV 数据集，由 1 名同学编写统一的数据清洗与防泄露特征工程脚本，导出标准化训练集与测试集（固定 Random Seed 与交叉验证折数），确保 4 人模型输入特征与评估指标代码完全一致。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阶段二：四模型并行实验与图表导出（10月19日 – 10月22日，第 4–7 天）：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4 位组员分别完成各自模型（Logistic Regression、Random Forest、CatBoost/XGBoost、MLP with Embedding）的超参数网格搜索，统一输出五项评估指标（Accuracy、Precision、Recall、F1、ROC-AUC）、学习曲线及特征重要性图。</w:t>
      </w:r>
    </w:p>
    <w:p>
      <w:pPr>
        <w:pStyle w:val="ListBullet"/>
        <w:spacing w:before="30" w:after="7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阶段三：报告统稿与 12 页 Slides 制作（10月23日 – 10月26日，第 8–11 天）：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按 4.1 节篇幅规划合成 10 页 Final Report，提炼核心实验图表制作 12 页演示文稿（Slides），确保文字结论与实验数据严密咬合。</w:t>
      </w:r>
    </w:p>
    <w:p>
      <w:pPr>
        <w:pStyle w:val="ListBullet"/>
        <w:spacing w:before="30" w:after="140" w:line="276" w:lineRule="auto"/>
      </w:pPr>
      <w:r>
        <w:rPr>
          <w:rFonts w:ascii="Calibri" w:hAnsi="Calibri" w:eastAsia="Noto Sans CJK SC"/>
          <w:b/>
          <w:i w:val="0"/>
          <w:color w:val="22252A"/>
          <w:sz w:val="22"/>
        </w:rPr>
        <w:t>阶段四：音视频录制与 NTULearn 终审提交（10月27日 – 10月28日，最后 2 天）：</w:t>
      </w:r>
      <w:r>
        <w:rPr>
          <w:rFonts w:ascii="Calibri" w:hAnsi="Calibri" w:eastAsia="Noto Sans CJK SC"/>
          <w:b w:val="0"/>
          <w:i w:val="0"/>
          <w:color w:val="22252A"/>
          <w:sz w:val="22"/>
        </w:rPr>
        <w:t>每人录制约 3–3.5 分钟讲解音频/视频（总长控制在 15 分钟内），整理打包带 README 注释的源代码，于 2026年10月28日 23:59 前在 NTULearn 完成最终提交。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b w:val="0"/>
        <w:i/>
        <w:color w:val="555E6B"/>
        <w:sz w:val="19"/>
      </w:rPr>
      <w:t>CA6001 Group Project Handbook &amp; Dataset Analysis — Prepared on Oct 16,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b w:val="0"/>
        <w:i/>
        <w:color w:val="555E6B"/>
        <w:sz w:val="19"/>
      </w:rPr>
      <w:t>NTU CCDS | CA6001 AI Algorithms Fundamentals &amp; Application 小组作业指南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ata.gov.sg/datasets/d_8b84c4ee58e3cfc0ece0d773c8ca6abc/view" TargetMode="External"/><Relationship Id="rId13" Type="http://schemas.openxmlformats.org/officeDocument/2006/relationships/hyperlink" Target="https://www.kaggle.com/datasets/lzytim/full-list-of-mrt-and-lrt-stations-in-singapore" TargetMode="External"/><Relationship Id="rId14" Type="http://schemas.openxmlformats.org/officeDocument/2006/relationships/hyperlink" Target="https://www.kaggle.com/datasets/raibosome/hdb-property-information-with-town-council" TargetMode="External"/><Relationship Id="rId15" Type="http://schemas.openxmlformats.org/officeDocument/2006/relationships/hyperlink" Target="https://www.kaggle.com/datasets/whitecl0ud/weather-data-of-singapore" TargetMode="External"/><Relationship Id="rId16" Type="http://schemas.openxmlformats.org/officeDocument/2006/relationships/hyperlink" Target="https://www.kaggle.com/datasets/jojoker/singapore-airbnb" TargetMode="External"/><Relationship Id="rId17" Type="http://schemas.openxmlformats.org/officeDocument/2006/relationships/hyperlink" Target="https://www.kaggle.com/datasets/stevensoe94/airbnb-singapore-dataset-2024-2025" TargetMode="External"/><Relationship Id="rId18" Type="http://schemas.openxmlformats.org/officeDocument/2006/relationships/hyperlink" Target="https://www.kaggle.com/datasets/jiantay33/singapore-used-car" TargetMode="External"/><Relationship Id="rId19" Type="http://schemas.openxmlformats.org/officeDocument/2006/relationships/hyperlink" Target="https://data.gov.sg/datasets/d_69b3380ad7e51aff3a7dcc84eba52b8a/view" TargetMode="External"/><Relationship Id="rId20" Type="http://schemas.openxmlformats.org/officeDocument/2006/relationships/hyperlink" Target="https://data.gov.sg/dataset/graduate-employment-survey-ntu-nus-sit-smu-suss-sutd" TargetMode="External"/><Relationship Id="rId21" Type="http://schemas.openxmlformats.org/officeDocument/2006/relationships/hyperlink" Target="https://www.kaggle.com/datasets/shahnazrasheed/singapore-graduate-employment-survey" TargetMode="External"/><Relationship Id="rId22" Type="http://schemas.openxmlformats.org/officeDocument/2006/relationships/hyperlink" Target="https://www.kaggle.com/datasets/elroyme/singapore-energy-market" TargetMode="External"/><Relationship Id="rId23" Type="http://schemas.openxmlformats.org/officeDocument/2006/relationships/hyperlink" Target="https://www.kaggle.com/datasets/yorkyong/singapore-passenger-volume-by-train-stations" TargetMode="External"/><Relationship Id="rId24" Type="http://schemas.openxmlformats.org/officeDocument/2006/relationships/hyperlink" Target="https://www.kaggle.com/datasets/shengjunlim/singapore-mrt-lrt-stations-with-coordinates" TargetMode="External"/><Relationship Id="rId25" Type="http://schemas.openxmlformats.org/officeDocument/2006/relationships/hyperlink" Target="https://data.gov.sg/datasets/d_c9f57187485a850908655db0e8cfe651/view" TargetMode="External"/><Relationship Id="rId26" Type="http://schemas.openxmlformats.org/officeDocument/2006/relationships/hyperlink" Target="https://www.kaggle.com/datasets/sunnysharma432/comprehensive-singapore-poi-dataset" TargetMode="External"/><Relationship Id="rId27" Type="http://schemas.openxmlformats.org/officeDocument/2006/relationships/hyperlink" Target="https://www.kaggle.com/datasets/adisongoh/singapore-hawker-food-nutritional-information" TargetMode="External"/><Relationship Id="rId28" Type="http://schemas.openxmlformats.org/officeDocument/2006/relationships/hyperlink" Target="https://data.gov.sg/datasets/d_23f946fa557947f93a8043bbef41dd09/view" TargetMode="External"/><Relationship Id="rId29" Type="http://schemas.openxmlformats.org/officeDocument/2006/relationships/hyperlink" Target="https://www.singstat.gov.s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