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4e39b22077485f8d53bb6e73cb5c4ba22ce79b2"/>
    <w:p>
      <w:pPr>
        <w:pStyle w:val="Heading1"/>
      </w:pPr>
      <w:r>
        <w:t xml:space="preserve">Google.org Impact Challenge: AI for Science: Full Application Draft</w:t>
      </w:r>
    </w:p>
    <w:p>
      <w:pPr>
        <w:pStyle w:val="FirstParagraph"/>
      </w:pPr>
      <w:r>
        <w:rPr>
          <w:b/>
          <w:bCs/>
        </w:rPr>
        <w:t xml:space="preserve">Author</w:t>
      </w:r>
      <w:r>
        <w:t xml:space="preserve">: Patrick Cooper</w:t>
      </w:r>
      <w:r>
        <w:t xml:space="preserve"> </w:t>
      </w:r>
      <w:r>
        <w:rPr>
          <w:b/>
          <w:bCs/>
        </w:rPr>
        <w:t xml:space="preserve">Date</w:t>
      </w:r>
      <w:r>
        <w:t xml:space="preserve">: 2026-04-07</w:t>
      </w:r>
      <w:r>
        <w:t xml:space="preserve"> </w:t>
      </w:r>
      <w:r>
        <w:rPr>
          <w:b/>
          <w:bCs/>
        </w:rPr>
        <w:t xml:space="preserve">Purpose</w:t>
      </w:r>
      <w:r>
        <w:t xml:space="preserve">: Complete drafted responses for the Google.org Impact Challenge: AI for Science application, framed under AI for Health &amp; Life Sciences</w:t>
      </w:r>
      <w:r>
        <w:t xml:space="preserve"> </w:t>
      </w:r>
      <w:r>
        <w:rPr>
          <w:b/>
          <w:bCs/>
        </w:rPr>
        <w:t xml:space="preserve">Application deadline</w:t>
      </w:r>
      <w:r>
        <w:t xml:space="preserve">: April 17, 2026</w:t>
      </w:r>
      <w:r>
        <w:t xml:space="preserve"> </w:t>
      </w:r>
      <w:r>
        <w:rPr>
          <w:b/>
          <w:bCs/>
        </w:rPr>
        <w:t xml:space="preserve">Application URL</w:t>
      </w:r>
      <w:r>
        <w:t xml:space="preserve">: https://googlenewaccount2.submittable.com/submit/2eacc5bf-5e78-4f06-b14e-546c8a895981/google-org-impact-challenge-ai-for-science</w:t>
      </w:r>
    </w:p>
    <w:p>
      <w:r>
        <w:pict>
          <v:rect style="width:0;height:1.5pt" o:hralign="center" o:hrstd="t" o:hr="t"/>
        </w:pict>
      </w:r>
    </w:p>
    <w:bookmarkStart w:id="9" w:name="Xa60ceefef10e66b6bb99e0c023334869e63e6bd"/>
    <w:p>
      <w:pPr>
        <w:pStyle w:val="Heading2"/>
      </w:pPr>
      <w:r>
        <w:t xml:space="preserve">Medical Collaborator Input: Summary of Requests</w:t>
      </w:r>
    </w:p>
    <w:p>
      <w:pPr>
        <w:pStyle w:val="FirstParagraph"/>
      </w:pPr>
      <w:r>
        <w:t xml:space="preserve">The following items are marked throughout the document with</w:t>
      </w:r>
      <w:r>
        <w:t xml:space="preserve"> </w:t>
      </w:r>
      <w:r>
        <w:rPr>
          <w:rStyle w:val="VerbatimChar"/>
        </w:rPr>
        <w:t xml:space="preserve">[MEDICAL COLLABORATOR INPUT REQUESTED]</w:t>
      </w:r>
      <w:r>
        <w:t xml:space="preserve">. This section consolidates them for easy reference when coordinating with the medical professor.</w:t>
      </w:r>
    </w:p>
    <w:tbl>
      <w:tblPr>
        <w:tblStyle w:val="Table"/>
        <w:tblW w:type="pct" w:w="5000"/>
        <w:tblLayout w:type="fixed"/>
        <w:tblLook w:firstRow="1" w:lastRow="0" w:firstColumn="0" w:lastColumn="0" w:noHBand="0" w:noVBand="0" w:val="0020"/>
      </w:tblPr>
      <w:tblGrid>
        <w:gridCol w:w="1466"/>
        <w:gridCol w:w="1320"/>
        <w:gridCol w:w="1906"/>
        <w:gridCol w:w="3226"/>
      </w:tblGrid>
      <w:tr>
        <w:trPr>
          <w:tblHeader w:val="on"/>
        </w:trPr>
        <w:tc>
          <w:tcPr/>
          <w:p>
            <w:pPr>
              <w:pStyle w:val="Compact"/>
            </w:pPr>
            <w:r>
              <w:t xml:space="preserve">Priority</w:t>
            </w:r>
          </w:p>
        </w:tc>
        <w:tc>
          <w:tcPr/>
          <w:p>
            <w:pPr>
              <w:pStyle w:val="Compact"/>
            </w:pPr>
            <w:r>
              <w:t xml:space="preserve">Section</w:t>
            </w:r>
          </w:p>
        </w:tc>
        <w:tc>
          <w:tcPr/>
          <w:p>
            <w:pPr>
              <w:pStyle w:val="Compact"/>
            </w:pPr>
            <w:r>
              <w:t xml:space="preserve">What We Need</w:t>
            </w:r>
          </w:p>
        </w:tc>
        <w:tc>
          <w:tcPr/>
          <w:p>
            <w:pPr>
              <w:pStyle w:val="Compact"/>
            </w:pPr>
            <w:r>
              <w:t xml:space="preserve">Impact on Application</w:t>
            </w:r>
          </w:p>
        </w:tc>
      </w:tr>
      <w:tr>
        <w:tc>
          <w:tcPr/>
          <w:p>
            <w:pPr>
              <w:pStyle w:val="Compact"/>
            </w:pPr>
            <w:r>
              <w:rPr>
                <w:b/>
                <w:bCs/>
              </w:rPr>
              <w:t xml:space="preserve">Critical</w:t>
            </w:r>
          </w:p>
        </w:tc>
        <w:tc>
          <w:tcPr/>
          <w:p>
            <w:pPr>
              <w:pStyle w:val="Compact"/>
            </w:pPr>
            <w:r>
              <w:t xml:space="preserve">Q26, Q30</w:t>
            </w:r>
          </w:p>
        </w:tc>
        <w:tc>
          <w:tcPr/>
          <w:p>
            <w:pPr>
              <w:pStyle w:val="Compact"/>
            </w:pPr>
            <w:r>
              <w:t xml:space="preserve">Their credentials, role title, and expertise description (1-2 sentences, no name per form rules)</w:t>
            </w:r>
          </w:p>
        </w:tc>
        <w:tc>
          <w:tcPr/>
          <w:p>
            <w:pPr>
              <w:pStyle w:val="Compact"/>
            </w:pPr>
            <w:r>
              <w:t xml:space="preserve">Transforms the team from CS-only to interdisciplinary; matches winner pattern</w:t>
            </w:r>
          </w:p>
        </w:tc>
      </w:tr>
      <w:tr>
        <w:tc>
          <w:tcPr/>
          <w:p>
            <w:pPr>
              <w:pStyle w:val="Compact"/>
            </w:pPr>
            <w:r>
              <w:rPr>
                <w:b/>
                <w:bCs/>
              </w:rPr>
              <w:t xml:space="preserve">Critical</w:t>
            </w:r>
          </w:p>
        </w:tc>
        <w:tc>
          <w:tcPr/>
          <w:p>
            <w:pPr>
              <w:pStyle w:val="Compact"/>
            </w:pPr>
            <w:r>
              <w:t xml:space="preserve">Q31</w:t>
            </w:r>
          </w:p>
        </w:tc>
        <w:tc>
          <w:tcPr/>
          <w:p>
            <w:pPr>
              <w:pStyle w:val="Compact"/>
            </w:pPr>
            <w:r>
              <w:t xml:space="preserve">Their institutional affiliation, willingness to be named partner, relationship status</w:t>
            </w:r>
          </w:p>
        </w:tc>
        <w:tc>
          <w:tcPr/>
          <w:p>
            <w:pPr>
              <w:pStyle w:val="Compact"/>
            </w:pPr>
            <w:r>
              <w:t xml:space="preserve">Upgrades partner from</w:t>
            </w:r>
            <w:r>
              <w:t xml:space="preserve"> </w:t>
            </w:r>
            <w:r>
              <w:t xml:space="preserve">“aspirational”</w:t>
            </w:r>
            <w:r>
              <w:t xml:space="preserve"> </w:t>
            </w:r>
            <w:r>
              <w:t xml:space="preserve">to</w:t>
            </w:r>
            <w:r>
              <w:t xml:space="preserve"> </w:t>
            </w:r>
            <w:r>
              <w:t xml:space="preserve">“in contact”</w:t>
            </w:r>
            <w:r>
              <w:t xml:space="preserve"> </w:t>
            </w:r>
            <w:r>
              <w:t xml:space="preserve">or</w:t>
            </w:r>
            <w:r>
              <w:t xml:space="preserve"> </w:t>
            </w:r>
            <w:r>
              <w:t xml:space="preserve">“existing”</w:t>
            </w:r>
          </w:p>
        </w:tc>
      </w:tr>
      <w:tr>
        <w:tc>
          <w:tcPr/>
          <w:p>
            <w:pPr>
              <w:pStyle w:val="Compact"/>
            </w:pPr>
            <w:r>
              <w:rPr>
                <w:b/>
                <w:bCs/>
              </w:rPr>
              <w:t xml:space="preserve">High</w:t>
            </w:r>
          </w:p>
        </w:tc>
        <w:tc>
          <w:tcPr/>
          <w:p>
            <w:pPr>
              <w:pStyle w:val="Compact"/>
            </w:pPr>
            <w:r>
              <w:t xml:space="preserve">Q16a, Q16b</w:t>
            </w:r>
          </w:p>
        </w:tc>
        <w:tc>
          <w:tcPr/>
          <w:p>
            <w:pPr>
              <w:pStyle w:val="Compact"/>
            </w:pPr>
            <w:r>
              <w:t xml:space="preserve">Validation of clinical significance framing; sharper statistics or examples from their specialty</w:t>
            </w:r>
          </w:p>
        </w:tc>
        <w:tc>
          <w:tcPr/>
          <w:p>
            <w:pPr>
              <w:pStyle w:val="Compact"/>
            </w:pPr>
            <w:r>
              <w:t xml:space="preserve">Grounds the problem statement in clinical authority</w:t>
            </w:r>
          </w:p>
        </w:tc>
      </w:tr>
      <w:tr>
        <w:tc>
          <w:tcPr/>
          <w:p>
            <w:pPr>
              <w:pStyle w:val="Compact"/>
            </w:pPr>
            <w:r>
              <w:rPr>
                <w:b/>
                <w:bCs/>
              </w:rPr>
              <w:t xml:space="preserve">High</w:t>
            </w:r>
          </w:p>
        </w:tc>
        <w:tc>
          <w:tcPr/>
          <w:p>
            <w:pPr>
              <w:pStyle w:val="Compact"/>
            </w:pPr>
            <w:r>
              <w:t xml:space="preserve">Q19a</w:t>
            </w:r>
          </w:p>
        </w:tc>
        <w:tc>
          <w:tcPr/>
          <w:p>
            <w:pPr>
              <w:pStyle w:val="Compact"/>
            </w:pPr>
            <w:r>
              <w:t xml:space="preserve">A clinically meaningful outcome metric (e.g., reduction in missed drug interactions)</w:t>
            </w:r>
          </w:p>
        </w:tc>
        <w:tc>
          <w:tcPr/>
          <w:p>
            <w:pPr>
              <w:pStyle w:val="Compact"/>
            </w:pPr>
            <w:r>
              <w:t xml:space="preserve">Complements our ML-centric metrics with clinical impact</w:t>
            </w:r>
          </w:p>
        </w:tc>
      </w:tr>
      <w:tr>
        <w:tc>
          <w:tcPr/>
          <w:p>
            <w:pPr>
              <w:pStyle w:val="Compact"/>
            </w:pPr>
            <w:r>
              <w:rPr>
                <w:b/>
                <w:bCs/>
              </w:rPr>
              <w:t xml:space="preserve">High</w:t>
            </w:r>
          </w:p>
        </w:tc>
        <w:tc>
          <w:tcPr/>
          <w:p>
            <w:pPr>
              <w:pStyle w:val="Compact"/>
            </w:pPr>
            <w:r>
              <w:t xml:space="preserve">Applications appendix</w:t>
            </w:r>
          </w:p>
        </w:tc>
        <w:tc>
          <w:tcPr/>
          <w:p>
            <w:pPr>
              <w:pStyle w:val="Compact"/>
            </w:pPr>
            <w:r>
              <w:t xml:space="preserve">A brief clinical vignette (2-3 sentences, anonymized) illustrating exception-handling failure</w:t>
            </w:r>
          </w:p>
        </w:tc>
        <w:tc>
          <w:tcPr/>
          <w:p>
            <w:pPr>
              <w:pStyle w:val="Compact"/>
            </w:pPr>
            <w:r>
              <w:t xml:space="preserve">Worth more than theoretical framing for reviewer impact</w:t>
            </w:r>
          </w:p>
        </w:tc>
      </w:tr>
      <w:tr>
        <w:tc>
          <w:tcPr/>
          <w:p>
            <w:pPr>
              <w:pStyle w:val="Compact"/>
            </w:pPr>
            <w:r>
              <w:rPr>
                <w:b/>
                <w:bCs/>
              </w:rPr>
              <w:t xml:space="preserve">Medium</w:t>
            </w:r>
          </w:p>
        </w:tc>
        <w:tc>
          <w:tcPr/>
          <w:p>
            <w:pPr>
              <w:pStyle w:val="Compact"/>
            </w:pPr>
            <w:r>
              <w:t xml:space="preserve">Q17c</w:t>
            </w:r>
          </w:p>
        </w:tc>
        <w:tc>
          <w:tcPr/>
          <w:p>
            <w:pPr>
              <w:pStyle w:val="Compact"/>
            </w:pPr>
            <w:r>
              <w:t xml:space="preserve">Clinical evidence or case study of AI exception-handling failure causing patient harm</w:t>
            </w:r>
          </w:p>
        </w:tc>
        <w:tc>
          <w:tcPr/>
          <w:p>
            <w:pPr>
              <w:pStyle w:val="Compact"/>
            </w:pPr>
            <w:r>
              <w:t xml:space="preserve">Strengthens evidence of efficacy section</w:t>
            </w:r>
          </w:p>
        </w:tc>
      </w:tr>
      <w:tr>
        <w:tc>
          <w:tcPr/>
          <w:p>
            <w:pPr>
              <w:pStyle w:val="Compact"/>
            </w:pPr>
            <w:r>
              <w:rPr>
                <w:b/>
                <w:bCs/>
              </w:rPr>
              <w:t xml:space="preserve">Medium</w:t>
            </w:r>
          </w:p>
        </w:tc>
        <w:tc>
          <w:tcPr/>
          <w:p>
            <w:pPr>
              <w:pStyle w:val="Compact"/>
            </w:pPr>
            <w:r>
              <w:t xml:space="preserve">Q18a, Q18b</w:t>
            </w:r>
          </w:p>
        </w:tc>
        <w:tc>
          <w:tcPr/>
          <w:p>
            <w:pPr>
              <w:pStyle w:val="Compact"/>
            </w:pPr>
            <w:r>
              <w:t xml:space="preserve">Which patient populations to prioritize; willingness to lead Clinical Advisory Board</w:t>
            </w:r>
          </w:p>
        </w:tc>
        <w:tc>
          <w:tcPr/>
          <w:p>
            <w:pPr>
              <w:pStyle w:val="Compact"/>
            </w:pPr>
            <w:r>
              <w:t xml:space="preserve">Grounds beneficiary section in clinical practice</w:t>
            </w:r>
          </w:p>
        </w:tc>
      </w:tr>
      <w:tr>
        <w:tc>
          <w:tcPr/>
          <w:p>
            <w:pPr>
              <w:pStyle w:val="Compact"/>
            </w:pPr>
            <w:r>
              <w:rPr>
                <w:b/>
                <w:bCs/>
              </w:rPr>
              <w:t xml:space="preserve">Medium</w:t>
            </w:r>
          </w:p>
        </w:tc>
        <w:tc>
          <w:tcPr/>
          <w:p>
            <w:pPr>
              <w:pStyle w:val="Compact"/>
            </w:pPr>
            <w:r>
              <w:t xml:space="preserve">Q21</w:t>
            </w:r>
          </w:p>
        </w:tc>
        <w:tc>
          <w:tcPr/>
          <w:p>
            <w:pPr>
              <w:pStyle w:val="Compact"/>
            </w:pPr>
            <w:r>
              <w:t xml:space="preserve">Firsthand account of clinical decision support limitations (alert fatigue, missed exceptions)</w:t>
            </w:r>
          </w:p>
        </w:tc>
        <w:tc>
          <w:tcPr/>
          <w:p>
            <w:pPr>
              <w:pStyle w:val="Compact"/>
            </w:pPr>
            <w:r>
              <w:t xml:space="preserve">Validates the</w:t>
            </w:r>
            <w:r>
              <w:t xml:space="preserve"> </w:t>
            </w:r>
            <w:r>
              <w:t xml:space="preserve">“why custom”</w:t>
            </w:r>
            <w:r>
              <w:t xml:space="preserve"> </w:t>
            </w:r>
            <w:r>
              <w:t xml:space="preserve">argument</w:t>
            </w:r>
          </w:p>
        </w:tc>
      </w:tr>
      <w:tr>
        <w:tc>
          <w:tcPr/>
          <w:p>
            <w:pPr>
              <w:pStyle w:val="Compact"/>
            </w:pPr>
            <w:r>
              <w:rPr>
                <w:b/>
                <w:bCs/>
              </w:rPr>
              <w:t xml:space="preserve">Medium</w:t>
            </w:r>
          </w:p>
        </w:tc>
        <w:tc>
          <w:tcPr/>
          <w:p>
            <w:pPr>
              <w:pStyle w:val="Compact"/>
            </w:pPr>
            <w:r>
              <w:t xml:space="preserve">Extended datasets</w:t>
            </w:r>
          </w:p>
        </w:tc>
        <w:tc>
          <w:tcPr/>
          <w:p>
            <w:pPr>
              <w:pStyle w:val="Compact"/>
            </w:pPr>
            <w:r>
              <w:t xml:space="preserve">Priority ranking of proposed medical dataset integrations from clinical perspective</w:t>
            </w:r>
          </w:p>
        </w:tc>
        <w:tc>
          <w:tcPr/>
          <w:p>
            <w:pPr>
              <w:pStyle w:val="Compact"/>
            </w:pPr>
            <w:r>
              <w:t xml:space="preserve">Sharpens the dataset roadmap</w:t>
            </w:r>
          </w:p>
        </w:tc>
      </w:tr>
      <w:tr>
        <w:tc>
          <w:tcPr/>
          <w:p>
            <w:pPr>
              <w:pStyle w:val="Compact"/>
            </w:pPr>
            <w:r>
              <w:rPr>
                <w:b/>
                <w:bCs/>
              </w:rPr>
              <w:t xml:space="preserve">Lower</w:t>
            </w:r>
          </w:p>
        </w:tc>
        <w:tc>
          <w:tcPr/>
          <w:p>
            <w:pPr>
              <w:pStyle w:val="Compact"/>
            </w:pPr>
            <w:r>
              <w:t xml:space="preserve">Q23</w:t>
            </w:r>
          </w:p>
        </w:tc>
        <w:tc>
          <w:tcPr/>
          <w:p>
            <w:pPr>
              <w:pStyle w:val="Compact"/>
            </w:pPr>
            <w:r>
              <w:t xml:space="preserve">Medical ethics perspective on patient safety and AI traceability</w:t>
            </w:r>
          </w:p>
        </w:tc>
        <w:tc>
          <w:tcPr/>
          <w:p>
            <w:pPr>
              <w:pStyle w:val="Compact"/>
            </w:pPr>
            <w:r>
              <w:t xml:space="preserve">Strengthens ethical alignment</w:t>
            </w:r>
          </w:p>
        </w:tc>
      </w:tr>
    </w:tbl>
    <w:p>
      <w:pPr>
        <w:pStyle w:val="BodyText"/>
      </w:pPr>
      <w:r>
        <w:rPr>
          <w:b/>
          <w:bCs/>
        </w:rPr>
        <w:t xml:space="preserve">Minimum viable contribution</w:t>
      </w:r>
      <w:r>
        <w:t xml:space="preserve"> </w:t>
      </w:r>
      <w:r>
        <w:t xml:space="preserve">(if time is very limited): Items marked Critical: a 1-2 sentence expertise description for Q30, confirmation of institutional partnership for Q31, and willingness to be listed. This alone would substantially strengthen the application.</w:t>
      </w:r>
    </w:p>
    <w:p>
      <w:pPr>
        <w:pStyle w:val="BodyText"/>
      </w:pPr>
      <w:r>
        <w:rPr>
          <w:b/>
          <w:bCs/>
        </w:rPr>
        <w:t xml:space="preserve">Ideal contribution</w:t>
      </w:r>
      <w:r>
        <w:t xml:space="preserve"> </w:t>
      </w:r>
      <w:r>
        <w:t xml:space="preserve">(if they engage fully): All of the above, plus a clinical vignette for the applications appendix and a clinically meaningful success metric for Q19a.</w:t>
      </w:r>
    </w:p>
    <w:p>
      <w:r>
        <w:pict>
          <v:rect style="width:0;height:1.5pt" o:hralign="center" o:hrstd="t" o:hr="t"/>
        </w:pict>
      </w:r>
    </w:p>
    <w:bookmarkEnd w:id="9"/>
    <w:bookmarkStart w:id="10" w:name="strategic-summary"/>
    <w:p>
      <w:pPr>
        <w:pStyle w:val="Heading2"/>
      </w:pPr>
      <w:r>
        <w:t xml:space="preserve">Strategic Summary</w:t>
      </w:r>
    </w:p>
    <w:p>
      <w:pPr>
        <w:pStyle w:val="FirstParagraph"/>
      </w:pPr>
      <w:r>
        <w:rPr>
          <w:b/>
          <w:bCs/>
        </w:rPr>
        <w:t xml:space="preserve">Title</w:t>
      </w:r>
      <w:r>
        <w:t xml:space="preserve">: DeFAb-Health: Exception-Aware Reasoning for Safe Biomedical AI</w:t>
      </w:r>
    </w:p>
    <w:p>
      <w:pPr>
        <w:pStyle w:val="BodyText"/>
      </w:pPr>
      <w:r>
        <w:rPr>
          <w:b/>
          <w:bCs/>
        </w:rPr>
        <w:t xml:space="preserve">In one sentence</w:t>
      </w:r>
      <w:r>
        <w:t xml:space="preserve">: DeFAb-Health converts four decades of publicly funded biomedical knowledge bases into the first formally verified benchmark and training infrastructure for AI that handles medical exceptions, turning dormant public science investment into verifiable clinical reasoning at scale.</w:t>
      </w:r>
    </w:p>
    <w:p>
      <w:pPr>
        <w:pStyle w:val="BodyText"/>
      </w:pPr>
      <w:r>
        <w:rPr>
          <w:b/>
          <w:bCs/>
        </w:rPr>
        <w:t xml:space="preserve">The public investment story</w:t>
      </w:r>
      <w:r>
        <w:t xml:space="preserve">: Between 1981 and 2025, governments around the world invested billions in structured knowledge for AI. Japan’s Fifth Generation Computer Systems project (MITI, $400M+, 1982-1993) built parallel inference machines and knowledge bases in Prolog. DARPA and MCC funded the Cyc project (1984-present), which accumulated 25 million rules and 1.5 million concepts over 2,000 person-years of effort. The NSF funded WordNet and ConceptNet. The NIH’s National Library of Medicine built UMLS, integrating 3.4 million medical concepts across 189 source vocabularies. The EU funded legal ontologies (LKIF Core), multilingual knowledge graphs (BabelNet across 600 languages), and the Gene Ontology Consortium produced 50,000+ terms with over a million experimental annotations.</w:t>
      </w:r>
    </w:p>
    <w:p>
      <w:pPr>
        <w:pStyle w:val="BodyText"/>
      </w:pPr>
      <w:r>
        <w:t xml:space="preserve">These projects encoded immense human knowledge. Then the field moved on. The symbolic AI paradigm they were built for fell out of favor. Japan’s FGCS was defunded in 1992. Cyc became</w:t>
      </w:r>
      <w:r>
        <w:t xml:space="preserve"> </w:t>
      </w:r>
      <w:r>
        <w:t xml:space="preserve">“history’s forgotten AI project.”</w:t>
      </w:r>
      <w:r>
        <w:t xml:space="preserve"> </w:t>
      </w:r>
      <w:r>
        <w:t xml:space="preserve">OpenCyc was shut down in 2017. The knowledge bases survived as reference resources, consulted by researchers and clinicians, but their original purpose, machine reasoning, was never fully realized.</w:t>
      </w:r>
    </w:p>
    <w:p>
      <w:pPr>
        <w:pStyle w:val="BodyText"/>
      </w:pPr>
      <w:r>
        <w:rPr>
          <w:b/>
          <w:bCs/>
        </w:rPr>
        <w:t xml:space="preserve">The AlphaFold parallel</w:t>
      </w:r>
      <w:r>
        <w:t xml:space="preserve">: AlphaFold demonstrated what happens when modern AI meets decades of publicly funded scientific data. The Protein Data Bank, founded in 1971 with NSF and NIH support, accumulated 220,000+ experimentally determined structures over 50 years. In 2020, DeepMind’s AlphaFold turned that half-century of public investment into a breakthrough that won the 2024 Nobel Prize in Chemistry and reshaped drug discovery worldwide. The data had been there for decades. The AI that could unlock it had not.</w:t>
      </w:r>
    </w:p>
    <w:p>
      <w:pPr>
        <w:pStyle w:val="BodyText"/>
      </w:pPr>
      <w:r>
        <w:t xml:space="preserve">DeFAb-Health applies this same principle to a different layer of public science: not the structures of proteins, but the structures of biomedical reasoning itself. The knowledge bases built by DARPA, NSF, NIH, and the EU encode not just facts but exception structures: Gene Ontology’s NOT-qualified annotations documenting when a gene does not have an expected function; UMLS’s inter-vocabulary conflicts where 189 medical terminologies disagree about the same concept; SNOMED CT’s General Concept Inclusion axioms capturing atypical disease presentations; Wikidata’s P2303 constraint-exception pairs documenting community-curated overrides. These exception structures are the formal raw material for training AI that reasons safely about medicine. No one has systematically converted them into training data for foundation models. DeFAb-Health does this.</w:t>
      </w:r>
    </w:p>
    <w:p>
      <w:pPr>
        <w:pStyle w:val="BodyText"/>
      </w:pPr>
      <w:r>
        <w:rPr>
          <w:b/>
          <w:bCs/>
        </w:rPr>
        <w:t xml:space="preserve">The gap today</w:t>
      </w:r>
      <w:r>
        <w:t xml:space="preserve">: Biomedical knowledge is inherently defeasible. Drug X treats condition Y, unless the patient has comorbidity Z. Gene G has molecular function F, unless experimental evidence overrides it. SNOMED concept C inherits properties from its parent, unless the child explicitly overrides them. Current AI benchmarks (MedQA, PubMedQA, BioASQ) test whether models can retrieve biomedical facts. None test whether models can handle these exceptions: constructing the override rule, verifying that unrelated knowledge is preserved, and tracing the reasoning to its evidential basis. This is the gap between AI that looks up answers and AI that reasons safely.</w:t>
      </w:r>
    </w:p>
    <w:p>
      <w:pPr>
        <w:pStyle w:val="BodyText"/>
      </w:pPr>
      <w:r>
        <w:rPr>
          <w:b/>
          <w:bCs/>
        </w:rPr>
        <w:t xml:space="preserve">What we have built</w:t>
      </w:r>
      <w:r>
        <w:t xml:space="preserve">: An operational pipeline spanning 15 knowledge sources and 33.7 million materialized rules, generating 372,402 evaluation instances with polynomial-time verified gold standards at three difficulty levels. Working extractors for Gene Ontology (409K rules, 1,250 defeaters), UMLS 2025AB (29.5M rules from 189 vocabularies), SNOMED CT (360K+ concepts), and MeSH (76K rules). Baseline evaluation of four frontier models revealing that grounding is largely solved (73-79% at Level 2) while exception handling remains near-zero (1.4-2.1% raw defeasible accuracy). The pipeline, dataset, and evaluation harness are released under MIT license.</w:t>
      </w:r>
    </w:p>
    <w:p>
      <w:pPr>
        <w:pStyle w:val="BodyText"/>
      </w:pPr>
      <w:r>
        <w:rPr>
          <w:b/>
          <w:bCs/>
        </w:rPr>
        <w:t xml:space="preserve">What this funding enables</w:t>
      </w:r>
      <w:r>
        <w:t xml:space="preserve">: Scaling the biomedical benchmark from proof-of-concept to production-grade infrastructure. Extending extraction to Orphanet (16K rare diseases), HPO (18K phenotypic terms), DrugBank (14K+ drug entries with interaction graphs), PharmGKB (800+ pharmacogenomic guidelines), ClinVar (2.5M+ variant submissions), and the FDA’s AEMS adverse event system. Building a verifier-backed fine-tuning pipeline that uses the benchmark’s polynomial-time proof checker as an exact reward signal, eliminating reward model approximation and enabling reliable training on exception-aware reasoning without human annotation. Launching a public leaderboard to track foundation model progress on biomedical exception handling.</w:t>
      </w:r>
    </w:p>
    <w:p>
      <w:pPr>
        <w:pStyle w:val="BodyText"/>
      </w:pPr>
      <w:r>
        <w:rPr>
          <w:b/>
          <w:bCs/>
        </w:rPr>
        <w:t xml:space="preserve">What makes this foundational</w:t>
      </w:r>
      <w:r>
        <w:t xml:space="preserve">: AlphaFold succeeded because the Protein Data Bank had spent 50 years accumulating the right data, and deep learning provided the right method at the right time. DeFAb-Health operates on the same principle: four decades of government-funded knowledge engineering have accumulated exactly the exception structures that foundation models need to reason safely about medicine. The pipeline is ontology-agnostic, so any institution with a structured knowledge base can generate verified defeasible reasoning instances using the same methodology. The verifier works as both an evaluation tool and an exact training signal. The open dataset, open pipeline, and open models create infrastructure that powers research beyond our own applications, the same way AlphaFold’s open predictions reshaped structural biology far beyond DeepMind’s own research agenda.</w:t>
      </w:r>
    </w:p>
    <w:p>
      <w:pPr>
        <w:pStyle w:val="BodyText"/>
      </w:pPr>
      <w:r>
        <w:rPr>
          <w:b/>
          <w:bCs/>
        </w:rPr>
        <w:t xml:space="preserve">The longer trajectory</w:t>
      </w:r>
      <w:r>
        <w:t xml:space="preserve">: Beyond benchmarking, defeasible reasoning is the formal framework for how science itself progresses: hypotheses that contradict established knowledge, validated by evidence, integrated while preserving what still holds. The multimodal extensions in our pipeline (visual grounding with PDB, EMDB, and AlphaFold protein structures) point toward AI that reasons defeasibly across text, molecular structure, and imaging data to propose genuinely novel biomedical hypotheses. The intrinsically disordered protein discovery, which contradicted the structure-function dogma, is the canonical example: the training data said proteins require stable 3D structure to function, and the discovery said otherwise. An AI that can make this kind of revision must reason in defaults and exceptions, with traceable proofs and conservative revision guarantees. That is what DeFAb provides.</w:t>
      </w:r>
    </w:p>
    <w:p>
      <w:pPr>
        <w:pStyle w:val="BodyText"/>
      </w:pPr>
      <w:r>
        <w:rPr>
          <w:b/>
          <w:bCs/>
        </w:rPr>
        <w:t xml:space="preserve">Team structure</w:t>
      </w:r>
      <w:r>
        <w:t xml:space="preserve">:</w:t>
      </w:r>
    </w:p>
    <w:p>
      <w:pPr>
        <w:pStyle w:val="Compact"/>
        <w:numPr>
          <w:ilvl w:val="0"/>
          <w:numId w:val="1001"/>
        </w:numPr>
      </w:pPr>
      <w:r>
        <w:t xml:space="preserve">PI: Alvaro Velasquez (Professor, CU Boulder). Neurosymbolic AI, planning, defeasible reasoning formalization</w:t>
      </w:r>
    </w:p>
    <w:p>
      <w:pPr>
        <w:pStyle w:val="Compact"/>
        <w:numPr>
          <w:ilvl w:val="0"/>
          <w:numId w:val="1001"/>
        </w:numPr>
      </w:pPr>
      <w:r>
        <w:t xml:space="preserve">PhD Student 1 (Lead): Patrick Cooper. Architect of the DeFAb pipeline, formal framework, KB extraction, evaluation infrastructure</w:t>
      </w:r>
    </w:p>
    <w:p>
      <w:pPr>
        <w:pStyle w:val="Compact"/>
        <w:numPr>
          <w:ilvl w:val="0"/>
          <w:numId w:val="1001"/>
        </w:numPr>
      </w:pPr>
      <w:r>
        <w:t xml:space="preserve">PhD Students 2-4: To be assigned/recruited. Biomedical KB extraction, fine-tuning experiments, multimodal evaluation, leaderboard engineering</w:t>
      </w:r>
    </w:p>
    <w:p>
      <w:pPr>
        <w:pStyle w:val="Compact"/>
        <w:numPr>
          <w:ilvl w:val="0"/>
          <w:numId w:val="1001"/>
        </w:numPr>
      </w:pPr>
      <w:r>
        <w:t xml:space="preserve">Postdoctoral Researcher (to hire): Biomedical informatics specialist bridging formal methods and clinical applications</w:t>
      </w:r>
    </w:p>
    <w:p>
      <w:pPr>
        <w:pStyle w:val="FirstParagraph"/>
      </w:pPr>
      <w:r>
        <w:rPr>
          <w:b/>
          <w:bCs/>
        </w:rPr>
        <w:t xml:space="preserve">[MEDICAL COLLABORATOR]</w:t>
      </w:r>
      <w:r>
        <w:t xml:space="preserve">: Pending response from medical professor collaborator. Their role on this application could take several forms: (a) named co-PI providing clinical domain authority, (b) Clinical Advisory Board lead, (c) partner organization representative, or (d) letter-of-support contributor. Their involvement would significantly strengthen Q26 (unique positioning), Q30 (team), Q31 (partners), and the clinical credibility of Q16-Q18. Determine their preferred level of involvement and update the team structure, partner section, and relevant responses accordingly.</w:t>
      </w:r>
    </w:p>
    <w:p>
      <w:pPr>
        <w:pStyle w:val="BodyText"/>
      </w:pPr>
      <w:r>
        <w:t xml:space="preserve">Patrick Cooper serves as primary operational contact (day-to-day); PI Velasquez serves as secondary contact and faculty lead.</w:t>
      </w:r>
    </w:p>
    <w:p>
      <w:r>
        <w:pict>
          <v:rect style="width:0;height:1.5pt" o:hralign="center" o:hrstd="t" o:hr="t"/>
        </w:pict>
      </w:r>
    </w:p>
    <w:bookmarkEnd w:id="10"/>
    <w:bookmarkStart w:id="21" w:name="i.-organization-and-submitter-info"/>
    <w:p>
      <w:pPr>
        <w:pStyle w:val="Heading2"/>
      </w:pPr>
      <w:r>
        <w:t xml:space="preserve">I. Organization and Submitter Info</w:t>
      </w:r>
    </w:p>
    <w:bookmarkStart w:id="11" w:name="q1.-full-registered-name"/>
    <w:p>
      <w:pPr>
        <w:pStyle w:val="Heading3"/>
      </w:pPr>
      <w:r>
        <w:t xml:space="preserve">Q1. Full registered name</w:t>
      </w:r>
    </w:p>
    <w:p>
      <w:pPr>
        <w:pStyle w:val="FirstParagraph"/>
      </w:pPr>
      <w:r>
        <w:t xml:space="preserve">University of Colorado Boulder</w:t>
      </w:r>
    </w:p>
    <w:bookmarkEnd w:id="11"/>
    <w:bookmarkStart w:id="12" w:name="q2.-country"/>
    <w:p>
      <w:pPr>
        <w:pStyle w:val="Heading3"/>
      </w:pPr>
      <w:r>
        <w:t xml:space="preserve">Q2. Country</w:t>
      </w:r>
    </w:p>
    <w:p>
      <w:pPr>
        <w:pStyle w:val="FirstParagraph"/>
      </w:pPr>
      <w:r>
        <w:t xml:space="preserve">United States (including: PR, GU, VI, AS, MP)</w:t>
      </w:r>
    </w:p>
    <w:bookmarkEnd w:id="12"/>
    <w:bookmarkStart w:id="13" w:name="q3.-classification"/>
    <w:p>
      <w:pPr>
        <w:pStyle w:val="Heading3"/>
      </w:pPr>
      <w:r>
        <w:t xml:space="preserve">Q3. Classification</w:t>
      </w:r>
    </w:p>
    <w:p>
      <w:pPr>
        <w:pStyle w:val="FirstParagraph"/>
      </w:pPr>
      <w:r>
        <w:t xml:space="preserve">University/Research Institution: public or private academic or research institution</w:t>
      </w:r>
    </w:p>
    <w:bookmarkEnd w:id="13"/>
    <w:bookmarkStart w:id="14" w:name="q4.-organization-information"/>
    <w:p>
      <w:pPr>
        <w:pStyle w:val="Heading3"/>
      </w:pPr>
      <w:r>
        <w:t xml:space="preserve">Q4. Organization information</w:t>
      </w:r>
    </w:p>
    <w:p>
      <w:pPr>
        <w:pStyle w:val="FirstParagraph"/>
      </w:pPr>
      <w:r>
        <w:rPr>
          <w:b/>
          <w:bCs/>
        </w:rPr>
        <w:t xml:space="preserve">Q4a. Year founded</w:t>
      </w:r>
      <w:r>
        <w:t xml:space="preserve">: 1876</w:t>
      </w:r>
    </w:p>
    <w:p>
      <w:pPr>
        <w:pStyle w:val="BodyText"/>
      </w:pPr>
      <w:r>
        <w:rPr>
          <w:b/>
          <w:bCs/>
        </w:rPr>
        <w:t xml:space="preserve">Q4b. Annual budget</w:t>
      </w:r>
      <w:r>
        <w:t xml:space="preserve">: $2,610,000,000</w:t>
      </w:r>
      <w:r>
        <w:t xml:space="preserve"> </w:t>
      </w:r>
      <w:r>
        <w:t xml:space="preserve">CU Boulder FY 2025-26 total revenue. Note: for a research lab application, use lab-level budget if preferred. The Department of Computer Science annual research expenditure is approximately $25M.</w:t>
      </w:r>
    </w:p>
    <w:p>
      <w:pPr>
        <w:pStyle w:val="BodyText"/>
      </w:pPr>
      <w:r>
        <w:rPr>
          <w:b/>
          <w:bCs/>
        </w:rPr>
        <w:t xml:space="preserve">Q4c. Full-time employees</w:t>
      </w:r>
      <w:r>
        <w:t xml:space="preserve">: 10630</w:t>
      </w:r>
      <w:r>
        <w:t xml:space="preserve"> </w:t>
      </w:r>
      <w:r>
        <w:t xml:space="preserve">Regular faculty and staff (FY 2025-26), excluding student workers.</w:t>
      </w:r>
    </w:p>
    <w:bookmarkEnd w:id="14"/>
    <w:bookmarkStart w:id="15" w:name="q5.-website-and-social-media"/>
    <w:p>
      <w:pPr>
        <w:pStyle w:val="Heading3"/>
      </w:pPr>
      <w:r>
        <w:t xml:space="preserve">Q5. Website and social media</w:t>
      </w:r>
    </w:p>
    <w:p>
      <w:pPr>
        <w:pStyle w:val="FirstParagraph"/>
      </w:pPr>
      <w:r>
        <w:rPr>
          <w:b/>
          <w:bCs/>
        </w:rPr>
        <w:t xml:space="preserve">Q5a. Website</w:t>
      </w:r>
      <w:r>
        <w:t xml:space="preserve">: https://www.colorado.edu</w:t>
      </w:r>
    </w:p>
    <w:p>
      <w:pPr>
        <w:pStyle w:val="BodyText"/>
      </w:pPr>
      <w:r>
        <w:rPr>
          <w:b/>
          <w:bCs/>
        </w:rPr>
        <w:t xml:space="preserve">Q5b. Primary social media</w:t>
      </w:r>
      <w:r>
        <w:t xml:space="preserve">: https://www.linkedin.com/school/university-of-colorado-boulder/</w:t>
      </w:r>
    </w:p>
    <w:bookmarkEnd w:id="15"/>
    <w:bookmarkStart w:id="16" w:name="q6.-prior-google.org-funding"/>
    <w:p>
      <w:pPr>
        <w:pStyle w:val="Heading3"/>
      </w:pPr>
      <w:r>
        <w:t xml:space="preserve">Q6. Prior Google.org funding</w:t>
      </w:r>
    </w:p>
    <w:p>
      <w:pPr>
        <w:pStyle w:val="FirstParagraph"/>
      </w:pPr>
      <w:r>
        <w:t xml:space="preserve">No</w:t>
      </w:r>
    </w:p>
    <w:bookmarkEnd w:id="16"/>
    <w:bookmarkStart w:id="17" w:name="q7.-how-discovered"/>
    <w:p>
      <w:pPr>
        <w:pStyle w:val="Heading3"/>
      </w:pPr>
      <w:r>
        <w:t xml:space="preserve">Q7. How discovered</w:t>
      </w:r>
    </w:p>
    <w:p>
      <w:pPr>
        <w:pStyle w:val="FirstParagraph"/>
      </w:pPr>
      <w:r>
        <w:t xml:space="preserve">Website Search</w:t>
      </w:r>
    </w:p>
    <w:bookmarkEnd w:id="17"/>
    <w:bookmarkStart w:id="18" w:name="q8.-primary-point-of-contact"/>
    <w:p>
      <w:pPr>
        <w:pStyle w:val="Heading3"/>
      </w:pPr>
      <w:r>
        <w:t xml:space="preserve">Q8. Primary Point of Contact</w:t>
      </w:r>
    </w:p>
    <w:p>
      <w:pPr>
        <w:pStyle w:val="FirstParagraph"/>
      </w:pPr>
      <w:r>
        <w:rPr>
          <w:b/>
          <w:bCs/>
        </w:rPr>
        <w:t xml:space="preserve">Q8a. Name</w:t>
      </w:r>
      <w:r>
        <w:t xml:space="preserve">: Patrick Cooper</w:t>
      </w:r>
    </w:p>
    <w:p>
      <w:pPr>
        <w:pStyle w:val="BodyText"/>
      </w:pPr>
      <w:r>
        <w:rPr>
          <w:b/>
          <w:bCs/>
        </w:rPr>
        <w:t xml:space="preserve">Q8b. Job Title</w:t>
      </w:r>
      <w:r>
        <w:t xml:space="preserve">: PhD Candidate</w:t>
      </w:r>
    </w:p>
    <w:p>
      <w:pPr>
        <w:pStyle w:val="BodyText"/>
      </w:pPr>
      <w:r>
        <w:rPr>
          <w:b/>
          <w:bCs/>
        </w:rPr>
        <w:t xml:space="preserve">Q8c. Email</w:t>
      </w:r>
      <w:r>
        <w:t xml:space="preserve">: patrick.cooper@colorado.edu</w:t>
      </w:r>
    </w:p>
    <w:p>
      <w:pPr>
        <w:pStyle w:val="BodyText"/>
      </w:pPr>
      <w:r>
        <w:rPr>
          <w:b/>
          <w:bCs/>
        </w:rPr>
        <w:t xml:space="preserve">Q8d. Timezone</w:t>
      </w:r>
      <w:r>
        <w:t xml:space="preserve">: UTC -7, MST, Denver, Edmonton, Phoenix, USA/Canada (Mountain)</w:t>
      </w:r>
    </w:p>
    <w:bookmarkEnd w:id="18"/>
    <w:bookmarkStart w:id="19" w:name="q9.-secondary-point-of-contact"/>
    <w:p>
      <w:pPr>
        <w:pStyle w:val="Heading3"/>
      </w:pPr>
      <w:r>
        <w:t xml:space="preserve">Q9. Secondary Point of Contact</w:t>
      </w:r>
    </w:p>
    <w:p>
      <w:pPr>
        <w:pStyle w:val="FirstParagraph"/>
      </w:pPr>
      <w:r>
        <w:rPr>
          <w:b/>
          <w:bCs/>
        </w:rPr>
        <w:t xml:space="preserve">Q9a. Name</w:t>
      </w:r>
      <w:r>
        <w:t xml:space="preserve">: Alvaro Velasquez</w:t>
      </w:r>
    </w:p>
    <w:p>
      <w:pPr>
        <w:pStyle w:val="BodyText"/>
      </w:pPr>
      <w:r>
        <w:rPr>
          <w:b/>
          <w:bCs/>
        </w:rPr>
        <w:t xml:space="preserve">Q9b. Job Title</w:t>
      </w:r>
      <w:r>
        <w:t xml:space="preserve">: Professor</w:t>
      </w:r>
    </w:p>
    <w:p>
      <w:pPr>
        <w:pStyle w:val="BodyText"/>
      </w:pPr>
      <w:r>
        <w:rPr>
          <w:b/>
          <w:bCs/>
        </w:rPr>
        <w:t xml:space="preserve">Q9c. Email</w:t>
      </w:r>
      <w:r>
        <w:t xml:space="preserve">: Alvaro.Velasquez@colorado.edu</w:t>
      </w:r>
    </w:p>
    <w:p>
      <w:pPr>
        <w:pStyle w:val="BodyText"/>
      </w:pPr>
      <w:r>
        <w:rPr>
          <w:b/>
          <w:bCs/>
        </w:rPr>
        <w:t xml:space="preserve">Q9d. Timezone</w:t>
      </w:r>
      <w:r>
        <w:t xml:space="preserve">: UTC -7, MST, Denver, Edmonton, Phoenix, USA/Canada (Mountain)</w:t>
      </w:r>
    </w:p>
    <w:bookmarkEnd w:id="19"/>
    <w:bookmarkStart w:id="20" w:name="q10.-english-fluency-confirmation"/>
    <w:p>
      <w:pPr>
        <w:pStyle w:val="Heading3"/>
      </w:pPr>
      <w:r>
        <w:t xml:space="preserve">Q10. English fluency confirmation</w:t>
      </w:r>
    </w:p>
    <w:p>
      <w:pPr>
        <w:pStyle w:val="FirstParagraph"/>
      </w:pPr>
      <w:r>
        <w:t xml:space="preserve">Yes</w:t>
      </w:r>
    </w:p>
    <w:p>
      <w:r>
        <w:pict>
          <v:rect style="width:0;height:1.5pt" o:hralign="center" o:hrstd="t" o:hr="t"/>
        </w:pict>
      </w:r>
    </w:p>
    <w:bookmarkEnd w:id="20"/>
    <w:bookmarkEnd w:id="21"/>
    <w:bookmarkStart w:id="31" w:name="ii.-impact"/>
    <w:p>
      <w:pPr>
        <w:pStyle w:val="Heading2"/>
      </w:pPr>
      <w:r>
        <w:t xml:space="preserve">II. Impact</w:t>
      </w:r>
    </w:p>
    <w:bookmarkStart w:id="22" w:name="q11.-proposal-title"/>
    <w:p>
      <w:pPr>
        <w:pStyle w:val="Heading3"/>
      </w:pPr>
      <w:r>
        <w:t xml:space="preserve">Q11. Proposal title</w:t>
      </w:r>
    </w:p>
    <w:p>
      <w:pPr>
        <w:pStyle w:val="FirstParagraph"/>
      </w:pPr>
      <w:r>
        <w:t xml:space="preserve">DeFAb-Health: Exception-Aware Reasoning for Safe Biomedical AI</w:t>
      </w:r>
    </w:p>
    <w:bookmarkEnd w:id="22"/>
    <w:bookmarkStart w:id="23" w:name="q12.-topics"/>
    <w:p>
      <w:pPr>
        <w:pStyle w:val="Heading3"/>
      </w:pPr>
      <w:r>
        <w:t xml:space="preserve">Q12. Topics</w:t>
      </w:r>
    </w:p>
    <w:p>
      <w:pPr>
        <w:pStyle w:val="Compact"/>
        <w:numPr>
          <w:ilvl w:val="0"/>
          <w:numId w:val="1002"/>
        </w:numPr>
      </w:pPr>
      <w:r>
        <w:t xml:space="preserve">Health &amp; Life Sciences - Functional Genomics</w:t>
      </w:r>
    </w:p>
    <w:p>
      <w:pPr>
        <w:pStyle w:val="Compact"/>
        <w:numPr>
          <w:ilvl w:val="0"/>
          <w:numId w:val="1002"/>
        </w:numPr>
      </w:pPr>
      <w:r>
        <w:t xml:space="preserve">Health &amp; Life Sciences - Drug Discovery</w:t>
      </w:r>
    </w:p>
    <w:p>
      <w:pPr>
        <w:pStyle w:val="Compact"/>
        <w:numPr>
          <w:ilvl w:val="0"/>
          <w:numId w:val="1002"/>
        </w:numPr>
      </w:pPr>
      <w:r>
        <w:t xml:space="preserve">Health &amp; Life Sciences - Disease Understanding &amp; Resistance</w:t>
      </w:r>
    </w:p>
    <w:p>
      <w:pPr>
        <w:pStyle w:val="FirstParagraph"/>
      </w:pPr>
      <w:r>
        <w:rPr>
          <w:b/>
          <w:bCs/>
        </w:rPr>
        <w:t xml:space="preserve">Strategic note</w:t>
      </w:r>
      <w:r>
        <w:t xml:space="preserve">: These three topics map directly to our biomedical KB sources. Functional Genomics = Gene Ontology extraction (409K rules, 1,250 NOT-qualifier defeaters). Drug Discovery = UMLS semantic relations (treats/contraindicated_with as defeasible/defeater pairs). Disease Understanding = SNOMED CT GCI axioms encoding atypical disease presentations.</w:t>
      </w:r>
    </w:p>
    <w:bookmarkEnd w:id="23"/>
    <w:bookmarkStart w:id="24" w:name="q13.-open-source-outputs"/>
    <w:p>
      <w:pPr>
        <w:pStyle w:val="Heading3"/>
      </w:pPr>
      <w:r>
        <w:t xml:space="preserve">Q13. Open-source outputs</w:t>
      </w:r>
    </w:p>
    <w:p>
      <w:pPr>
        <w:pStyle w:val="Compact"/>
        <w:numPr>
          <w:ilvl w:val="0"/>
          <w:numId w:val="1003"/>
        </w:numPr>
      </w:pPr>
      <w:r>
        <w:t xml:space="preserve">Peer-reviewed publication(s) (Open Access preferred)</w:t>
      </w:r>
    </w:p>
    <w:p>
      <w:pPr>
        <w:pStyle w:val="Compact"/>
        <w:numPr>
          <w:ilvl w:val="0"/>
          <w:numId w:val="1003"/>
        </w:numPr>
      </w:pPr>
      <w:r>
        <w:t xml:space="preserve">Curated Dataset(s) (CC0 or CC-BY 4.0)</w:t>
      </w:r>
    </w:p>
    <w:p>
      <w:pPr>
        <w:pStyle w:val="Compact"/>
        <w:numPr>
          <w:ilvl w:val="0"/>
          <w:numId w:val="1003"/>
        </w:numPr>
      </w:pPr>
      <w:r>
        <w:t xml:space="preserve">Software, Tools, or Platforms (Apache 2.0 or MIT license)</w:t>
      </w:r>
    </w:p>
    <w:p>
      <w:pPr>
        <w:pStyle w:val="Compact"/>
        <w:numPr>
          <w:ilvl w:val="0"/>
          <w:numId w:val="1003"/>
        </w:numPr>
      </w:pPr>
      <w:r>
        <w:t xml:space="preserve">AI Models or Architectures (OpenRAIL or Apache 2.0)</w:t>
      </w:r>
    </w:p>
    <w:p>
      <w:pPr>
        <w:pStyle w:val="FirstParagraph"/>
      </w:pPr>
      <w:r>
        <w:rPr>
          <w:b/>
          <w:bCs/>
        </w:rPr>
        <w:t xml:space="preserve">Strategic note</w:t>
      </w:r>
      <w:r>
        <w:t xml:space="preserve">: We deliver across all four output categories. The benchmark dataset is CC-BY 4.0. The pipeline code is MIT. Fine-tuned models will be released under Apache 2.0.</w:t>
      </w:r>
    </w:p>
    <w:bookmarkEnd w:id="24"/>
    <w:bookmarkStart w:id="25" w:name="q14.-geographic-regions"/>
    <w:p>
      <w:pPr>
        <w:pStyle w:val="Heading3"/>
      </w:pPr>
      <w:r>
        <w:t xml:space="preserve">Q14. Geographic regions</w:t>
      </w:r>
    </w:p>
    <w:p>
      <w:pPr>
        <w:pStyle w:val="FirstParagraph"/>
      </w:pPr>
      <w:r>
        <w:t xml:space="preserve">Global</w:t>
      </w:r>
    </w:p>
    <w:p>
      <w:pPr>
        <w:pStyle w:val="BodyText"/>
      </w:pPr>
      <w:r>
        <w:rPr>
          <w:b/>
          <w:bCs/>
        </w:rPr>
        <w:t xml:space="preserve">Justification</w:t>
      </w:r>
      <w:r>
        <w:t xml:space="preserve">: UMLS covers 189 source vocabularies spanning international medical terminologies. The benchmark and pipeline are domain-agnostic and language-agnostic by design.</w:t>
      </w:r>
    </w:p>
    <w:bookmarkEnd w:id="25"/>
    <w:bookmarkStart w:id="26" w:name="q15.-current-stage"/>
    <w:p>
      <w:pPr>
        <w:pStyle w:val="Heading3"/>
      </w:pPr>
      <w:r>
        <w:t xml:space="preserve">Q15. Current stage</w:t>
      </w:r>
    </w:p>
    <w:p>
      <w:pPr>
        <w:pStyle w:val="FirstParagraph"/>
      </w:pPr>
      <w:r>
        <w:t xml:space="preserve">Proof of Concept / Preliminary Results</w:t>
      </w:r>
    </w:p>
    <w:p>
      <w:pPr>
        <w:pStyle w:val="BodyText"/>
      </w:pPr>
      <w:r>
        <w:rPr>
          <w:b/>
          <w:bCs/>
        </w:rPr>
        <w:t xml:space="preserve">Justification</w:t>
      </w:r>
      <w:r>
        <w:t xml:space="preserve">: The pipeline is operational. 372,402 instances generated across 33.7M rules from 15 knowledge sources. Four frontier models evaluated with statistically rigorous results. This is beyond hypothesis but not yet at validated-methodology stage for the full biomedical application.</w:t>
      </w:r>
    </w:p>
    <w:bookmarkEnd w:id="26"/>
    <w:bookmarkStart w:id="27" w:name="q16.-problem-statement"/>
    <w:p>
      <w:pPr>
        <w:pStyle w:val="Heading3"/>
      </w:pPr>
      <w:r>
        <w:t xml:space="preserve">Q16. Problem Statement</w:t>
      </w:r>
    </w:p>
    <w:p>
      <w:pPr>
        <w:pStyle w:val="FirstParagraph"/>
      </w:pPr>
      <w:r>
        <w:rPr>
          <w:b/>
          <w:bCs/>
        </w:rPr>
        <w:t xml:space="preserve">Q16a. The specific challenge this project addresses is…</w:t>
      </w:r>
      <w:r>
        <w:t xml:space="preserve"> </w:t>
      </w:r>
      <w:r>
        <w:t xml:space="preserve">(75 words)</w:t>
      </w:r>
    </w:p>
    <w:p>
      <w:pPr>
        <w:pStyle w:val="BodyText"/>
      </w:pPr>
      <w:r>
        <w:t xml:space="preserve">Current AI benchmarks for biomedical reasoning (MedQA, PubMedQA, BioASQ) test whether models retrieve facts. None test whether models reason about exceptions: recognizing when a general biomedical rule fails for a specific patient, identifying what exception applies, and revising conclusions while preserving unrelated clinical knowledge. Drug contraindications, atypical disease presentations, pharmacogenomic variants, and gene function exceptions are inherently defeasible. The gap between fact retrieval and exception-aware reasoning determines whether clinical AI is trustworthy.</w:t>
      </w:r>
    </w:p>
    <w:p>
      <w:pPr>
        <w:pStyle w:val="BodyText"/>
      </w:pPr>
      <w:r>
        <w:rPr>
          <w:b/>
          <w:bCs/>
        </w:rPr>
        <w:t xml:space="preserve">[MEDICAL COLLABORATOR INPUT REQUESTED , Q16a]</w:t>
      </w:r>
      <w:r>
        <w:t xml:space="preserve">: Can you validate or sharpen this framing? From your clinical experience, what are the most consequential categories of biomedical exceptions? Are drug contraindications, atypical presentations, and pharmacogenomic variants the right top-three, or would you emphasize different exception types? A concrete clinical example where exception-handling failure caused real harm would ground this response.</w:t>
      </w:r>
    </w:p>
    <w:p>
      <w:pPr>
        <w:pStyle w:val="BodyText"/>
      </w:pPr>
      <w:r>
        <w:rPr>
          <w:b/>
          <w:bCs/>
        </w:rPr>
        <w:t xml:space="preserve">Q16b. This challenge is significant because…</w:t>
      </w:r>
      <w:r>
        <w:t xml:space="preserve"> </w:t>
      </w:r>
      <w:r>
        <w:t xml:space="preserve">(75 words)</w:t>
      </w:r>
    </w:p>
    <w:p>
      <w:pPr>
        <w:pStyle w:val="BodyText"/>
      </w:pPr>
      <w:r>
        <w:t xml:space="preserve">The FDA’s 2026 guidance mandates traceable, evidence-centric AI outputs, yet frontier models achieve only 1.4-2.1% accuracy on basic defeasible reasoning. Over 7,000 rare diseases affect 400 million people globally; diagnostic AI that ignores exceptions perpetuates the</w:t>
      </w:r>
      <w:r>
        <w:t xml:space="preserve"> </w:t>
      </w:r>
      <w:r>
        <w:t xml:space="preserve">“diagnostic odyssey”</w:t>
      </w:r>
      <w:r>
        <w:t xml:space="preserve"> </w:t>
      </w:r>
      <w:r>
        <w:t xml:space="preserve">averaging 5-7 years. Meanwhile, 80% of adverse drug reactions go unreported, and pharmacogenomic exceptions cause treatment failures AI should predict. These are not edge cases; they are clinical reality determining patient safety.</w:t>
      </w:r>
    </w:p>
    <w:p>
      <w:pPr>
        <w:pStyle w:val="BodyText"/>
      </w:pPr>
      <w:r>
        <w:rPr>
          <w:b/>
          <w:bCs/>
        </w:rPr>
        <w:t xml:space="preserve">[MEDICAL COLLABORATOR INPUT REQUESTED , Q16b]</w:t>
      </w:r>
      <w:r>
        <w:t xml:space="preserve">: Are the statistics here accurate and current from your perspective? (5-7 year diagnostic odyssey, 80% unreported ADRs, 400M rare disease patients.) Can you cite more specific or more authoritative figures? If you have published data or firsthand institutional data on exception-related clinical failures, it would strengthen this significantly.</w:t>
      </w:r>
    </w:p>
    <w:p>
      <w:pPr>
        <w:pStyle w:val="BodyText"/>
      </w:pPr>
      <w:r>
        <w:rPr>
          <w:b/>
          <w:bCs/>
        </w:rPr>
        <w:t xml:space="preserve">Q16c. The core research questions this project seeks to answer are…</w:t>
      </w:r>
      <w:r>
        <w:t xml:space="preserve"> </w:t>
      </w:r>
      <w:r>
        <w:t xml:space="preserve">(75 words)</w:t>
      </w:r>
    </w:p>
    <w:p>
      <w:pPr>
        <w:pStyle w:val="Compact"/>
        <w:numPr>
          <w:ilvl w:val="0"/>
          <w:numId w:val="1004"/>
        </w:numPr>
      </w:pPr>
      <w:r>
        <w:t xml:space="preserve">Can foundation models construct exception rules that override incorrect biomedical defaults while preserving unrelated clinical knowledge (formally: conservative defeater abduction)? (2) Does verifier-backed preference optimization using polynomial-time proof checking improve exception handling more effectively than supervised fine-tuning or RLHF with approximate rewards? (3) Do multimodal models compound perception and reasoning errors when exceptions depend on structural evidence, such as protein disorder or atypical pathology?</w:t>
      </w:r>
    </w:p>
    <w:bookmarkEnd w:id="27"/>
    <w:bookmarkStart w:id="28" w:name="q17.-proposed-solution"/>
    <w:p>
      <w:pPr>
        <w:pStyle w:val="Heading3"/>
      </w:pPr>
      <w:r>
        <w:t xml:space="preserve">Q17. Proposed Solution</w:t>
      </w:r>
    </w:p>
    <w:p>
      <w:pPr>
        <w:pStyle w:val="FirstParagraph"/>
      </w:pPr>
      <w:r>
        <w:rPr>
          <w:b/>
          <w:bCs/>
        </w:rPr>
        <w:t xml:space="preserve">Q17a. The solution we are proposing is…</w:t>
      </w:r>
      <w:r>
        <w:t xml:space="preserve"> </w:t>
      </w:r>
      <w:r>
        <w:t xml:space="preserve">(75 words)</w:t>
      </w:r>
    </w:p>
    <w:p>
      <w:pPr>
        <w:pStyle w:val="BodyText"/>
      </w:pPr>
      <w:r>
        <w:t xml:space="preserve">DeFAb-Health: an open benchmark and training pipeline that converts NIH/NLM biomedical ontologies (UMLS, SNOMED CT, Gene Ontology, MeSH) into formally verified evaluation instances testing whether AI systems handle biomedical exceptions. The pipeline generates instances at three difficulty levels (missing-fact completion, rule abduction, and defeater abduction), each with polynomial-time verifiable gold-standard answers and formal conservativity guarantees. The verifier doubles as an exact reward function for fine-tuning without human annotation.</w:t>
      </w:r>
    </w:p>
    <w:p>
      <w:pPr>
        <w:pStyle w:val="BodyText"/>
      </w:pPr>
      <w:r>
        <w:rPr>
          <w:b/>
          <w:bCs/>
        </w:rPr>
        <w:t xml:space="preserve">Q17b. The tools, methods, or techniques we are planning to use are…</w:t>
      </w:r>
      <w:r>
        <w:t xml:space="preserve"> </w:t>
      </w:r>
      <w:r>
        <w:t xml:space="preserve">(75 words)</w:t>
      </w:r>
    </w:p>
    <w:p>
      <w:pPr>
        <w:pStyle w:val="BodyText"/>
      </w:pPr>
      <w:r>
        <w:t xml:space="preserve">The DeFAb pipeline converts knowledge bases into defeasible theories using parameterized partition functions. Polynomial-time defeasible derivation (O(|R|*|F|)) powers instance generation and verification. Fine-tuning employs margin-weighted Direct Preference Optimization and verifier-in-the-loop RLHF using the benchmark’s exact reward signal. Evaluation targets Gemini 3.1 Pro, GPT-5.2, Claude Sonnet 4.6, DeepSeek-R1, and open-source models via vLLM on NVIDIA A100 GPUs. Google Cloud TPUs would accelerate large-scale preference optimization experiments.</w:t>
      </w:r>
    </w:p>
    <w:p>
      <w:pPr>
        <w:pStyle w:val="BodyText"/>
      </w:pPr>
      <w:r>
        <w:rPr>
          <w:b/>
          <w:bCs/>
        </w:rPr>
        <w:t xml:space="preserve">Q17c. The evidence we have that our solution would solve this problem is…</w:t>
      </w:r>
      <w:r>
        <w:t xml:space="preserve"> </w:t>
      </w:r>
      <w:r>
        <w:t xml:space="preserve">(75 words)</w:t>
      </w:r>
    </w:p>
    <w:p>
      <w:pPr>
        <w:pStyle w:val="BodyText"/>
      </w:pPr>
      <w:r>
        <w:t xml:space="preserve">We have evaluated four frontier models across 372,402 instances from 33.7 million materialized rules spanning 15 knowledge sources. Results reveal 73-79% accuracy on rule abduction but only 1.4-2.1% on raw defeasible reasoning, demonstrating the capability gap. Our biomedical extractors already process Gene Ontology (409K rules, 1,250 defeaters), UMLS (29.5M rules), SNOMED CT (360K+ concepts), and MeSH (76K rules). The pipeline and evaluation harness are operational and open-source.</w:t>
      </w:r>
    </w:p>
    <w:p>
      <w:pPr>
        <w:pStyle w:val="BodyText"/>
      </w:pPr>
      <w:r>
        <w:rPr>
          <w:b/>
          <w:bCs/>
        </w:rPr>
        <w:t xml:space="preserve">[MEDICAL COLLABORATOR INPUT REQUESTED , Q17c]</w:t>
      </w:r>
      <w:r>
        <w:t xml:space="preserve">: Do you have clinical evidence or case studies where AI exception-handling failures led to measurable patient harm or diagnostic delay? Even one concrete example from clinical practice (anonymized) would ground our technical evidence in clinical reality. Published work on clinical decision support failures would be ideal.</w:t>
      </w:r>
    </w:p>
    <w:p>
      <w:pPr>
        <w:pStyle w:val="BodyText"/>
      </w:pPr>
      <w:r>
        <w:rPr>
          <w:b/>
          <w:bCs/>
        </w:rPr>
        <w:t xml:space="preserve">Q17d. Beyond addressing the immediate problem, our use of AI will catalyze lasting impact by…</w:t>
      </w:r>
      <w:r>
        <w:t xml:space="preserve"> </w:t>
      </w:r>
      <w:r>
        <w:t xml:space="preserve">(75 words)</w:t>
      </w:r>
    </w:p>
    <w:p>
      <w:pPr>
        <w:pStyle w:val="BodyText"/>
      </w:pPr>
      <w:r>
        <w:t xml:space="preserve">DeFAb transforms AI trustworthiness from a qualitative aspiration into a formally verifiable property. Every conclusion has a traceable proof. Every revision preserves unrelated knowledge. The polynomial-time verifier serves as an exact reward function for fine-tuning, scaling without human annotation. Any institution extends the pipeline to their domain ontology. This creates open infrastructure for trustworthy biomedical AI where clinicians audit reasoning, patients understand decisions, and regulators verify compliance. Not just accuracy, but accountability.</w:t>
      </w:r>
    </w:p>
    <w:bookmarkEnd w:id="28"/>
    <w:bookmarkStart w:id="29" w:name="q18.-end-beneficiaries"/>
    <w:p>
      <w:pPr>
        <w:pStyle w:val="Heading3"/>
      </w:pPr>
      <w:r>
        <w:t xml:space="preserve">Q18. End Beneficiaries</w:t>
      </w:r>
    </w:p>
    <w:p>
      <w:pPr>
        <w:pStyle w:val="FirstParagraph"/>
      </w:pPr>
      <w:r>
        <w:rPr>
          <w:b/>
          <w:bCs/>
        </w:rPr>
        <w:t xml:space="preserve">Q18a. The specific populations that will ultimately benefit are…</w:t>
      </w:r>
      <w:r>
        <w:t xml:space="preserve"> </w:t>
      </w:r>
      <w:r>
        <w:t xml:space="preserve">(75 words)</w:t>
      </w:r>
    </w:p>
    <w:p>
      <w:pPr>
        <w:pStyle w:val="BodyText"/>
      </w:pPr>
      <w:r>
        <w:t xml:space="preserve">Patients with rare diseases (400M globally) enduring 5-7 year diagnostic odysseys because AI fails on atypical presentations. Each patient is, by definition, an exception. Cancer patients receiving therapy prescribed on population-level probabilities rather than genome-specific selection; when a treatment fails, the exception that should have redirected therapy was not reasoned about. Patients harmed by adverse drug reactions that pharmacogenomic-aware AI should predict. Clinicians experiencing alert fatigue from decision support systems that cannot distinguish critical exceptions from noise.</w:t>
      </w:r>
    </w:p>
    <w:p>
      <w:pPr>
        <w:pStyle w:val="BodyText"/>
      </w:pPr>
      <w:r>
        <w:rPr>
          <w:b/>
          <w:bCs/>
        </w:rPr>
        <w:t xml:space="preserve">[MEDICAL COLLABORATOR INPUT REQUESTED , Q18a]</w:t>
      </w:r>
      <w:r>
        <w:t xml:space="preserve">: Which beneficiary population would you prioritize from clinical experience? Are there specific patient communities you work with where exception-handling failures are most acute? Your input here would shift this from a general list to a clinically grounded prioritization. If you serve a specific rare disease community, pharmacogenomics clinic, or oncology population, naming it would add significant weight.</w:t>
      </w:r>
    </w:p>
    <w:p>
      <w:pPr>
        <w:pStyle w:val="BodyText"/>
      </w:pPr>
      <w:r>
        <w:rPr>
          <w:b/>
          <w:bCs/>
        </w:rPr>
        <w:t xml:space="preserve">Q18b. Our strategy for centering beneficiary voices is…</w:t>
      </w:r>
      <w:r>
        <w:t xml:space="preserve"> </w:t>
      </w:r>
      <w:r>
        <w:t xml:space="preserve">(75 words)</w:t>
      </w:r>
    </w:p>
    <w:p>
      <w:pPr>
        <w:pStyle w:val="BodyText"/>
      </w:pPr>
      <w:r>
        <w:t xml:space="preserve">We will establish a Clinical Advisory Board with physicians who regularly encounter diagnostic exceptions in practice. Their case studies of AI reasoning failures will inform evaluation scenario design. The open benchmark includes a community contribution mechanism where domain experts submit validated defeater rules from their specialties, ensuring the benchmark reflects real clinical reasoning challenges rather than purely academic constructs. Feedback will be incorporated in quarterly benchmark updates.</w:t>
      </w:r>
    </w:p>
    <w:p>
      <w:pPr>
        <w:pStyle w:val="BodyText"/>
      </w:pPr>
      <w:r>
        <w:rPr>
          <w:b/>
          <w:bCs/>
        </w:rPr>
        <w:t xml:space="preserve">[MEDICAL COLLABORATOR INPUT REQUESTED , Q18b]</w:t>
      </w:r>
      <w:r>
        <w:t xml:space="preserve">: Would you be willing to serve on or lead the Clinical Advisory Board? If so, we can name you or your role here. What is the right mechanism for integrating clinical feedback into benchmark design from your perspective (quarterly meetings, case review sessions, embedded clinical rotations? Your preferred model would replace our placeholder description.</w:t>
      </w:r>
    </w:p>
    <w:p>
      <w:pPr>
        <w:pStyle w:val="BodyText"/>
      </w:pPr>
      <w:r>
        <w:rPr>
          <w:b/>
          <w:bCs/>
        </w:rPr>
        <w:t xml:space="preserve">Q18c. The potential reach is…</w:t>
      </w:r>
      <w:r>
        <w:t xml:space="preserve"> </w:t>
      </w:r>
      <w:r>
        <w:t xml:space="preserve">(75 words)</w:t>
      </w:r>
    </w:p>
    <w:p>
      <w:pPr>
        <w:pStyle w:val="BodyText"/>
      </w:pPr>
      <w:r>
        <w:t xml:space="preserve">Direct impact: open benchmark adopted by 50+ research groups evaluating biomedical AI systems within 36 months, including research hospitals where exception-aware reasoning is central to their clinical AI missions (e.g., MD Anderson Cancer Center, Cleveland Clinic, Mayo Clinic). Indirect impact: fine-tuned models with improved defeasible reasoning integrated into clinical decision support research serving millions of patients. Geographic reach: global, as UMLS covers 189 source vocabularies spanning international medical terminologies across North America, Europe, and Asia-Pacific regions.</w:t>
      </w:r>
    </w:p>
    <w:bookmarkEnd w:id="29"/>
    <w:bookmarkStart w:id="30" w:name="q19.-expected-outcomes"/>
    <w:p>
      <w:pPr>
        <w:pStyle w:val="Heading3"/>
      </w:pPr>
      <w:r>
        <w:t xml:space="preserve">Q19. Expected Outcomes</w:t>
      </w:r>
    </w:p>
    <w:p>
      <w:pPr>
        <w:pStyle w:val="FirstParagraph"/>
      </w:pPr>
      <w:r>
        <w:rPr>
          <w:b/>
          <w:bCs/>
        </w:rPr>
        <w:t xml:space="preserve">Q19a. The specific metrics we will use to demonstrate impact are…</w:t>
      </w:r>
      <w:r>
        <w:t xml:space="preserve"> </w:t>
      </w:r>
      <w:r>
        <w:t xml:space="preserve">(75 words)</w:t>
      </w:r>
    </w:p>
    <w:p>
      <w:pPr>
        <w:pStyle w:val="Compact"/>
        <w:numPr>
          <w:ilvl w:val="0"/>
          <w:numId w:val="1005"/>
        </w:numPr>
      </w:pPr>
      <w:r>
        <w:t xml:space="preserve">Defeasible reasoning accuracy on biomedical instances at three difficulty levels (baseline: 1.4-2.1% raw, 73-79% rule abduction). (2) Fine-tuned model improvement on Level 3 defeater abduction (target: 60+ percentage points above baseline). (3) Number of biomedical evaluation instances with verified gold-standard answers (target: 500K+). (4) Community adoption: benchmark downloads, leaderboard submissions, and third-party publications citing DeFAb-Health. (5) Conservativity preservation rate in model-generated exceptions.</w:t>
      </w:r>
    </w:p>
    <w:p>
      <w:pPr>
        <w:pStyle w:val="FirstParagraph"/>
      </w:pPr>
      <w:r>
        <w:rPr>
          <w:b/>
          <w:bCs/>
        </w:rPr>
        <w:t xml:space="preserve">[MEDICAL COLLABORATOR INPUT REQUESTED , Q19a]</w:t>
      </w:r>
      <w:r>
        <w:t xml:space="preserve">: From a clinical perspective, what would</w:t>
      </w:r>
      <w:r>
        <w:t xml:space="preserve"> </w:t>
      </w:r>
      <w:r>
        <w:t xml:space="preserve">“success”</w:t>
      </w:r>
      <w:r>
        <w:t xml:space="preserve"> </w:t>
      </w:r>
      <w:r>
        <w:t xml:space="preserve">look like? Our metrics are ML-centric (accuracy, conservativity rate, adoption counts). A clinician might define success differently, for example as reduction in missed drug interactions in a decision support system, or reduction in diagnostic delay for a specific condition. If you can suggest a clinically meaningful outcome metric, it would complement our technical metrics powerfully.</w:t>
      </w:r>
    </w:p>
    <w:p>
      <w:pPr>
        <w:pStyle w:val="BodyText"/>
      </w:pPr>
      <w:r>
        <w:rPr>
          <w:b/>
          <w:bCs/>
        </w:rPr>
        <w:t xml:space="preserve">Q19b. The specific signals that would demonstrate our solution is failing are…</w:t>
      </w:r>
      <w:r>
        <w:t xml:space="preserve"> </w:t>
      </w:r>
      <w:r>
        <w:t xml:space="preserve">(75 words)</w:t>
      </w:r>
    </w:p>
    <w:p>
      <w:pPr>
        <w:pStyle w:val="BodyText"/>
      </w:pPr>
      <w:r>
        <w:t xml:space="preserve">Plateau in fine-tuned model accuracy below 50% on Level 3 defeater abduction despite curriculum training would indicate insufficient reward signal. Fewer than 10 external research groups adopting the benchmark by month 24 would signal inadequate community engagement. Clinical Advisory Board determining evaluation scenarios do not reflect realistic reasoning failures would indicate misalignment between formal evaluation and clinical practice. Synthetic contamination gap exceeding 20 pp would indicate memorization contamination.</w:t>
      </w:r>
    </w:p>
    <w:p>
      <w:pPr>
        <w:pStyle w:val="BodyText"/>
      </w:pPr>
      <w:r>
        <w:rPr>
          <w:b/>
          <w:bCs/>
        </w:rPr>
        <w:t xml:space="preserve">Q19c. The changes from baseline we expect to see are…</w:t>
      </w:r>
      <w:r>
        <w:t xml:space="preserve"> </w:t>
      </w:r>
      <w:r>
        <w:t xml:space="preserve">(75 words)</w:t>
      </w:r>
    </w:p>
    <w:p>
      <w:pPr>
        <w:pStyle w:val="BodyText"/>
      </w:pPr>
      <w:r>
        <w:t xml:space="preserve">From 1.4-2.1% raw defeasible reasoning accuracy to 90%+ on biomedical defeater abduction. From 372K instances to 1M+ verified instances spanning UMLS, GO, SNOMED, Orphanet, HPO, DrugBank, PharmGKB, and ClinVar. From 4 evaluated models to 20+ on public leaderboard. From 0 to 50+ research groups using the benchmark, including adoption by research hospitals (e.g., MD Anderson, Cleveland Clinic) whose clinical AI programs require exception-aware evaluation. From unverifiable black-box reasoning to formally auditable inference chains where every exception is traceable to its evidential basis in a public knowledge base.</w:t>
      </w:r>
    </w:p>
    <w:p>
      <w:r>
        <w:pict>
          <v:rect style="width:0;height:1.5pt" o:hralign="center" o:hrstd="t" o:hr="t"/>
        </w:pict>
      </w:r>
    </w:p>
    <w:bookmarkEnd w:id="30"/>
    <w:bookmarkEnd w:id="31"/>
    <w:bookmarkStart w:id="38" w:name="iii.-innovative-use-of-technology"/>
    <w:p>
      <w:pPr>
        <w:pStyle w:val="Heading2"/>
      </w:pPr>
      <w:r>
        <w:t xml:space="preserve">III. Innovative Use of Technology</w:t>
      </w:r>
    </w:p>
    <w:bookmarkStart w:id="32" w:name="Xbafbe2d14282b2fdaef0790f6cedef1e38d70a3"/>
    <w:p>
      <w:pPr>
        <w:pStyle w:val="Heading3"/>
      </w:pPr>
      <w:r>
        <w:t xml:space="preserve">Q20. Existing technologies and their role (100 words)</w:t>
      </w:r>
    </w:p>
    <w:p>
      <w:pPr>
        <w:pStyle w:val="FirstParagraph"/>
      </w:pPr>
      <w:r>
        <w:t xml:space="preserve">We use: (1) The DeFAb pipeline (Python, MIT license) for defeasible theory conversion and polynomial-time instance generation. (2) vLLM for serving open-source models (DeepSeek-R1, Qwen2.5) on NVIDIA A100 GPUs. (3) Azure AI Foundry for closed-source model access (GPT-5.2, Claude). (4) HuggingFace Transformers and Datasets for model fine-tuning and dataset distribution. (5) DeepSpeed ZeRO-2 for distributed training. (6) UMLS Metathesaurus API and SNOMED CT OWL parser for biomedical knowledge base extraction. (7) Wikidata SPARQL endpoint for cross-ontology entity linking and P2303 exception harvesting. Adaptation: partition functions require domain-specific configuration per biomedical ontology’s exception structure.</w:t>
      </w:r>
    </w:p>
    <w:bookmarkEnd w:id="32"/>
    <w:bookmarkStart w:id="33" w:name="X7225310d1658b563c5798630004e202759a9faf"/>
    <w:p>
      <w:pPr>
        <w:pStyle w:val="Heading3"/>
      </w:pPr>
      <w:r>
        <w:t xml:space="preserve">Q21. Why a new, custom-developed solution is necessary (100 words)</w:t>
      </w:r>
    </w:p>
    <w:p>
      <w:pPr>
        <w:pStyle w:val="FirstParagraph"/>
      </w:pPr>
      <w:r>
        <w:t xml:space="preserve">Existing biomedical AI benchmarks (MedQA, PubMedQA, BioASQ, CUREBench) evaluate fact retrieval and forward reasoning but cannot test exception handling, as they lack formal defeasible logic foundations. Knowledge editing approaches (ROME, MEMIT) modify individual facts but cannot verify conservativity: the property that unrelated knowledge remains intact after revision. The DEFREASING benchmark tests defeasible property inheritance but only as classification, not construction of novel exceptions. No existing system provides polynomial-time verified gold standards for biomedical exception reasoning, exact reward signals for safe fine-tuning, or formal conservativity guarantees aligned with emerging FDA AI traceability requirements.</w:t>
      </w:r>
    </w:p>
    <w:p>
      <w:pPr>
        <w:pStyle w:val="BodyText"/>
      </w:pPr>
      <w:r>
        <w:rPr>
          <w:b/>
          <w:bCs/>
        </w:rPr>
        <w:t xml:space="preserve">[MEDICAL COLLABORATOR INPUT REQUESTED , Q21]</w:t>
      </w:r>
      <w:r>
        <w:t xml:space="preserve">: From your experience with clinical decision support systems, what are the most frustrating limitations of current tools? Do you encounter alert fatigue, false contraindication warnings, or missed exceptions in your clinical workflow? A brief account of how current systems fail in practice would validate our</w:t>
      </w:r>
      <w:r>
        <w:t xml:space="preserve"> </w:t>
      </w:r>
      <w:r>
        <w:t xml:space="preserve">“why custom”</w:t>
      </w:r>
      <w:r>
        <w:t xml:space="preserve"> </w:t>
      </w:r>
      <w:r>
        <w:t xml:space="preserve">argument with firsthand clinical evidence.</w:t>
      </w:r>
    </w:p>
    <w:bookmarkEnd w:id="33"/>
    <w:bookmarkStart w:id="34" w:name="q22.-existing-dataset"/>
    <w:p>
      <w:pPr>
        <w:pStyle w:val="Heading3"/>
      </w:pPr>
      <w:r>
        <w:t xml:space="preserve">Q22. Existing dataset</w:t>
      </w:r>
    </w:p>
    <w:p>
      <w:pPr>
        <w:pStyle w:val="FirstParagraph"/>
      </w:pPr>
      <w:r>
        <w:t xml:space="preserve">Yes</w:t>
      </w:r>
    </w:p>
    <w:p>
      <w:pPr>
        <w:pStyle w:val="BodyText"/>
      </w:pPr>
      <w:r>
        <w:rPr>
          <w:b/>
          <w:bCs/>
        </w:rPr>
        <w:t xml:space="preserve">Details</w:t>
      </w:r>
      <w:r>
        <w:t xml:space="preserve">: 372,402 instances from 33.7M materialized rules across 15 knowledge sources. Biomedical sources include Gene Ontology (409K rules, 1,250 NOT-qualifier defeaters), UMLS 2025AB (29.5M rules from 189 vocabularies), SNOMED CT (360K+ concepts), and MeSH (76K taxonomic rules). Dataset released under MIT license on HuggingFace with Croissant metadata.</w:t>
      </w:r>
    </w:p>
    <w:bookmarkEnd w:id="34"/>
    <w:bookmarkStart w:id="35" w:name="X4a46476ea5e9188c9dbe81c440480af9e467462"/>
    <w:p>
      <w:pPr>
        <w:pStyle w:val="Heading3"/>
      </w:pPr>
      <w:r>
        <w:t xml:space="preserve">Q23. Ethical alignment with Google’s AI Principles (100 words)</w:t>
      </w:r>
    </w:p>
    <w:p>
      <w:pPr>
        <w:pStyle w:val="FirstParagraph"/>
      </w:pPr>
      <w:r>
        <w:t xml:space="preserve">DeFAb-Health aligns with Google’s AI Principles: (1) Bold Innovation: the first formal benchmark measuring whether AI handles the exceptions that define safe clinical reasoning, from drug contraindications to rare disease presentations. (2) Responsible Development: every conclusion has a traceable proof; conservativity testing verifies AI preserves unrelated knowledge during revision, transforming trustworthiness from aspiration to verifiable property. No personal or patient data is used. (3) Collaborative Progress: all outputs open-source (MIT license), datasets CC-BY 4.0, built entirely from publicly funded knowledge bases. The domain-agnostic pipeline enables any institution to extend evaluation to their specialty.</w:t>
      </w:r>
    </w:p>
    <w:p>
      <w:pPr>
        <w:pStyle w:val="BodyText"/>
      </w:pPr>
      <w:r>
        <w:rPr>
          <w:b/>
          <w:bCs/>
        </w:rPr>
        <w:t xml:space="preserve">Strategic note (responding to reviewer feedback)</w:t>
      </w:r>
      <w:r>
        <w:t xml:space="preserve">: The proposal hinges on reviewers understanding why defeasible reasoning matters. The formal literature spans Reiter’s (1980) default logic, Pollock’s (1987) defeasible reasoning framework, Nute’s (1994) defeasible logic programming, and Billington et al.’s (2010) SPINdle implementation. Our technical paper provides a comprehensive treatment. Consider adding a brief footnote or URL to the paper’s literature review (Section 2 of</w:t>
      </w:r>
      <w:r>
        <w:t xml:space="preserve"> </w:t>
      </w:r>
      <w:r>
        <w:rPr>
          <w:rStyle w:val="VerbatimChar"/>
        </w:rPr>
        <w:t xml:space="preserve">paper/finetuning_games.tex</w:t>
      </w:r>
      <w:r>
        <w:t xml:space="preserve">) so reviewers unfamiliar with defeasible reasoning can access foundational context. The GitHub repository README also provides an accessible introduction. If the form permits supplementary URLs, link to: github.com/PatrickAllenCooper/blanc and the forthcoming NeurIPS submission’s related work section.</w:t>
      </w:r>
    </w:p>
    <w:bookmarkEnd w:id="35"/>
    <w:bookmarkStart w:id="36" w:name="q24.-open-source-commitment"/>
    <w:p>
      <w:pPr>
        <w:pStyle w:val="Heading3"/>
      </w:pPr>
      <w:r>
        <w:t xml:space="preserve">Q24. Open-source commitment</w:t>
      </w:r>
    </w:p>
    <w:p>
      <w:pPr>
        <w:pStyle w:val="FirstParagraph"/>
      </w:pPr>
      <w:r>
        <w:t xml:space="preserve">Yes</w:t>
      </w:r>
    </w:p>
    <w:p>
      <w:pPr>
        <w:pStyle w:val="BodyText"/>
      </w:pPr>
      <w:r>
        <w:rPr>
          <w:b/>
          <w:bCs/>
        </w:rPr>
        <w:t xml:space="preserve">Details</w:t>
      </w:r>
      <w:r>
        <w:t xml:space="preserve">: All outputs funded by Google.org will be freely and openly available. Pipeline code: MIT license. Dataset: CC-BY 4.0. Fine-tuned models: Apache 2.0. Publications: Open Access. Already practicing this: github.com/PatrickAllenCooper/blanc is public and MIT-licensed.</w:t>
      </w:r>
    </w:p>
    <w:bookmarkEnd w:id="36"/>
    <w:bookmarkStart w:id="37" w:name="X4c9f3619cd2f89c2330a438fe24b1e1448c4b85"/>
    <w:p>
      <w:pPr>
        <w:pStyle w:val="Heading3"/>
      </w:pPr>
      <w:r>
        <w:t xml:space="preserve">Q25. Google.org Accelerator leverage (100 words)</w:t>
      </w:r>
    </w:p>
    <w:p>
      <w:pPr>
        <w:pStyle w:val="FirstParagraph"/>
      </w:pPr>
      <w:r>
        <w:t xml:space="preserve">We would leverage Google’s support in three areas: (1) Google Cloud TPU access for large-scale preference optimization, reducing fine-tuning iteration time from weeks to days. (2) Google AI expert mentorship on responsible biomedical AI deployment, aligning our verifier-backed training methodology with Google’s Secure AI Framework and emerging regulatory standards. (3) Vertex AI infrastructure for hosting the public leaderboard and model checkpoints. PI Velasquez (decision-maker) and lead PhD student Cooper (technical lead) commit 4 hours weekly for the six-month accelerator starting October 2026. We especially seek guidance on scaling defeasible reasoning evaluation to production-grade datasets.</w:t>
      </w:r>
    </w:p>
    <w:p>
      <w:r>
        <w:pict>
          <v:rect style="width:0;height:1.5pt" o:hralign="center" o:hrstd="t" o:hr="t"/>
        </w:pict>
      </w:r>
    </w:p>
    <w:bookmarkEnd w:id="37"/>
    <w:bookmarkEnd w:id="38"/>
    <w:bookmarkStart w:id="45" w:name="iv.-feasibility"/>
    <w:p>
      <w:pPr>
        <w:pStyle w:val="Heading2"/>
      </w:pPr>
      <w:r>
        <w:t xml:space="preserve">IV. Feasibility</w:t>
      </w:r>
    </w:p>
    <w:bookmarkStart w:id="39" w:name="X7508d73cb8dc09244b0811454c81680d629922f"/>
    <w:p>
      <w:pPr>
        <w:pStyle w:val="Heading3"/>
      </w:pPr>
      <w:r>
        <w:t xml:space="preserve">Q26. Why your organization is uniquely positioned (150 words)</w:t>
      </w:r>
    </w:p>
    <w:p>
      <w:pPr>
        <w:pStyle w:val="FirstParagraph"/>
      </w:pPr>
      <w:r>
        <w:t xml:space="preserve">PI Velasquez directs a research program in neurosymbolic AI, planning under uncertainty, and defeasible reasoning formalization. Under his supervision, PhD student Cooper has built the only operational pipeline for converting structured knowledge bases into formally verified defeasible abduction benchmarks, spanning 15 knowledge sources and 33.7 million materialized rules. Three additional PhD students bring expertise in multimodal learning, biomedical NLP, and distributed ML systems. Key advantages: (1) Technical depth: the complete formal framework (defeasible theory conversion, partition functions, conservativity verification), generation pipeline, and evaluation infrastructure are operational. (2) Data access: NLM licenses obtained for UMLS 2025AB; extractors implemented for UMLS, SNOMED CT, Gene Ontology, and MeSH. (3) Compute: CURC Alpine provides NVIDIA A100 80GB GPUs. (4) Demonstrated results: baseline evaluation of four frontier models with statistically rigorous analysis. (5) Open-source: github.com/PatrickAllenCooper/blanc (MIT license).</w:t>
      </w:r>
    </w:p>
    <w:p>
      <w:pPr>
        <w:pStyle w:val="BodyText"/>
      </w:pPr>
      <w:r>
        <w:rPr>
          <w:b/>
          <w:bCs/>
        </w:rPr>
        <w:t xml:space="preserve">[MEDICAL COLLABORATOR INPUT REQUESTED , Q26]</w:t>
      </w:r>
      <w:r>
        <w:t xml:space="preserve">: This is one of the highest-impact sections for your contribution. The application currently frames the team as CS-strong but clinically thin. If you join in any capacity (co-PI, named collaborator, Advisory Board lead), your credentials and institutional affiliation would go here. Key details needed: (a) your relevant clinical/research expertise in 1-2 sentences, (b) any specialized data access or patient population access you bring, (c) any prior published work on clinical AI, diagnostic exceptions, or decision support. Even a sentence like</w:t>
      </w:r>
      <w:r>
        <w:t xml:space="preserve"> </w:t>
      </w:r>
      <w:r>
        <w:t xml:space="preserve">“Clinical collaborator [Name] at [Institution] brings N years of experience in [specialty] with published work on [relevant topic]”</w:t>
      </w:r>
      <w:r>
        <w:t xml:space="preserve"> </w:t>
      </w:r>
      <w:r>
        <w:t xml:space="preserve">would transform this section.</w:t>
      </w:r>
    </w:p>
    <w:bookmarkEnd w:id="39"/>
    <w:bookmarkStart w:id="40" w:name="q27.-ai-maturity"/>
    <w:p>
      <w:pPr>
        <w:pStyle w:val="Heading3"/>
      </w:pPr>
      <w:r>
        <w:t xml:space="preserve">Q27. AI Maturity</w:t>
      </w:r>
    </w:p>
    <w:p>
      <w:pPr>
        <w:pStyle w:val="FirstParagraph"/>
      </w:pPr>
      <w:r>
        <w:t xml:space="preserve">AI First: AI is core to our organization’s offerings, and we’re already using it to provide demonstrated value to beneficiaries.</w:t>
      </w:r>
    </w:p>
    <w:p>
      <w:pPr>
        <w:pStyle w:val="BodyText"/>
      </w:pPr>
      <w:r>
        <w:rPr>
          <w:b/>
          <w:bCs/>
        </w:rPr>
        <w:t xml:space="preserve">Justification</w:t>
      </w:r>
      <w:r>
        <w:t xml:space="preserve">: AI is both the subject and the tool. The DeFAb pipeline evaluates AI models, generates training data for AI fine-tuning, and uses AI (polynomial-time verifiers) as exact reward signals. The entire research program centers on improving AI reasoning capabilities.</w:t>
      </w:r>
    </w:p>
    <w:bookmarkEnd w:id="40"/>
    <w:bookmarkStart w:id="41" w:name="X3aa2fa94e4b06c23996563c37b74c6763442439"/>
    <w:p>
      <w:pPr>
        <w:pStyle w:val="Heading3"/>
      </w:pPr>
      <w:r>
        <w:t xml:space="preserve">Q28. Technical feasibility demonstrated (100 words)</w:t>
      </w:r>
    </w:p>
    <w:p>
      <w:pPr>
        <w:pStyle w:val="FirstParagraph"/>
      </w:pPr>
      <w:r>
        <w:t xml:space="preserve">Demonstrated through: (1) Fully operational pipeline generating 372,402 instances across three difficulty levels with polynomial-time verified gold standards. (2) Successful extraction from UMLS (29.5M rules), Gene Ontology (409K rules, 1,250 NOT-qualifier defeaters), SNOMED CT (360K+ concepts), and MeSH (76K strict taxonomic rules). (3) Baseline evaluation of GPT-5.2, Claude Sonnet 4.6, DeepSeek-R1, and Kimi-K2.5 revealing the grounding-revision dissociation and architectural dissociation in prompting sensitivity. (4) Synthetic contamination control with 409 matched instances. (5) 100% round-trip decoder recovery on formal modalities. Success metrics: defeasible accuracy, conservativity rate, contamination gap.</w:t>
      </w:r>
    </w:p>
    <w:bookmarkEnd w:id="41"/>
    <w:bookmarkStart w:id="42" w:name="Xde0a561cc02be7a1d74feb1e6bc4e6bc775840c"/>
    <w:p>
      <w:pPr>
        <w:pStyle w:val="Heading3"/>
      </w:pPr>
      <w:r>
        <w:t xml:space="preserve">Q29. Risks, dependencies, and mitigation (200 words)</w:t>
      </w:r>
    </w:p>
    <w:p>
      <w:pPr>
        <w:pStyle w:val="FirstParagraph"/>
      </w:pPr>
      <w:r>
        <w:t xml:space="preserve">Technical: (1) Sparse automated defeater extraction from biomedical KBs may limit Level 3 instances. Mitigation: multiple defeater sources identified totaling 80K-330K candidates (GO NOT-qualifiers: 10K-50K; UMLS inter-vocabulary conflicts: 50K-200K; SNOMED GCI exceptions: 20K-80K; Wikidata P2303 constraint-exception pairs: 10K-100K). (2) Fine-tuning may overfit to structural patterns rather than learning genuine defeasible reasoning. Mitigation: synthetic contamination control measures naturalistic-synthetic accuracy gap, detecting surface-pattern overfitting per model per level. (3) Clinical Advisory Board may find evaluation scenarios unreflective of real reasoning failures. Mitigation: iterative scenario validation with quarterly feedback cycles; board established before large-scale generation.</w:t>
      </w:r>
    </w:p>
    <w:p>
      <w:pPr>
        <w:pStyle w:val="BodyText"/>
      </w:pPr>
      <w:r>
        <w:t xml:space="preserve">Policy: (1) UMLS/SNOMED licensing limits redistribution of source data. Mitigation: derived instances distributed under MIT license separately from source data; regeneration scripts enable users to generate from their own licensed copies. (2) Evolving FDA AI guidance may shift requirements. Mitigation: verifier-backed methodology inherently supports traceability and accountability.</w:t>
      </w:r>
    </w:p>
    <w:p>
      <w:pPr>
        <w:pStyle w:val="BodyText"/>
      </w:pPr>
      <w:r>
        <w:t xml:space="preserve">Maintenance: Pipeline is deterministic and regenerable. Annual KB updates (UMLS, SNOMED CT, GO releases) integrated via existing extraction scripts. HuggingFace hosting ensures discoverability. Five-year maintenance commitment documented in Croissant metadata.</w:t>
      </w:r>
    </w:p>
    <w:bookmarkEnd w:id="42"/>
    <w:bookmarkStart w:id="43" w:name="q30.-key-team-members-100-words"/>
    <w:p>
      <w:pPr>
        <w:pStyle w:val="Heading3"/>
      </w:pPr>
      <w:r>
        <w:t xml:space="preserve">Q30. Key team members (100 words)</w:t>
      </w:r>
    </w:p>
    <w:p>
      <w:pPr>
        <w:pStyle w:val="Compact"/>
        <w:numPr>
          <w:ilvl w:val="0"/>
          <w:numId w:val="1006"/>
        </w:numPr>
      </w:pPr>
      <w:r>
        <w:t xml:space="preserve">Professor (PI): Faculty lead with research program in neurosymbolic AI, planning under uncertainty, and defeasible reasoning formalization. Provides strategic direction and domain expertise. (2) PhD Student (technical lead): Architect of the DeFAb pipeline, formal framework, defeasible logic theory, KB extraction infrastructure, and evaluation system. (3) PhD Student (biomedical NLP): Biomedical knowledge base extraction, UMLS/SNOMED processing, and clinical evaluation scenario design. (4) PhD Student (ML systems): Distributed fine-tuning, preference optimization implementation, and leaderboard infrastructure. (5) PhD Student (multimodal): Cross-modal evaluation, M5 visual grounding, protein structure integration. (6) Postdoctoral Researcher (to hire): Biomedical informatics specialist bridging formal methods and clinical applications.</w:t>
      </w:r>
    </w:p>
    <w:p>
      <w:pPr>
        <w:pStyle w:val="FirstParagraph"/>
      </w:pPr>
      <w:r>
        <w:rPr>
          <w:b/>
          <w:bCs/>
        </w:rPr>
        <w:t xml:space="preserve">[MEDICAL COLLABORATOR INPUT REQUESTED , Q30]</w:t>
      </w:r>
      <w:r>
        <w:t xml:space="preserve">: The application is limited to 3-5 key team members described without names. If you join the project, you would replace one of the above slots. Most likely the postdoc description would shift to your role, or you would be added as a 6th member if the form allows. Please provide: (a) your role title as you would want it described (e.g.,</w:t>
      </w:r>
      <w:r>
        <w:t xml:space="preserve"> </w:t>
      </w:r>
      <w:r>
        <w:t xml:space="preserve">“Clinical Co-Investigator,”</w:t>
      </w:r>
      <w:r>
        <w:t xml:space="preserve"> </w:t>
      </w:r>
      <w:r>
        <w:t xml:space="preserve">“Medical Domain Lead”</w:t>
      </w:r>
      <w:r>
        <w:t xml:space="preserve">), (b) a 1-2 sentence description of your relevant expertise suitable for this format. Note the form says</w:t>
      </w:r>
      <w:r>
        <w:t xml:space="preserve"> </w:t>
      </w:r>
      <w:r>
        <w:t xml:space="preserve">“do not share individual’s names.”</w:t>
      </w:r>
      <w:r>
        <w:t xml:space="preserve"> </w:t>
      </w:r>
      <w:r>
        <w:t xml:space="preserve">Only role + expertise descriptions.</w:t>
      </w:r>
    </w:p>
    <w:bookmarkEnd w:id="43"/>
    <w:bookmarkStart w:id="44" w:name="q31.-partner-organizations"/>
    <w:p>
      <w:pPr>
        <w:pStyle w:val="Heading3"/>
      </w:pPr>
      <w:r>
        <w:t xml:space="preserve">Q31. Partner organizations</w:t>
      </w:r>
    </w:p>
    <w:p>
      <w:pPr>
        <w:pStyle w:val="FirstParagraph"/>
      </w:pPr>
      <w:r>
        <w:rPr>
          <w:b/>
          <w:bCs/>
        </w:rPr>
        <w:t xml:space="preserve">Q31a. Partner name</w:t>
      </w:r>
      <w:r>
        <w:t xml:space="preserve">: [TO BE DETERMINED]</w:t>
      </w:r>
    </w:p>
    <w:p>
      <w:pPr>
        <w:pStyle w:val="BodyText"/>
      </w:pPr>
      <w:r>
        <w:rPr>
          <w:b/>
          <w:bCs/>
        </w:rPr>
        <w:t xml:space="preserve">Q31b. Website</w:t>
      </w:r>
      <w:r>
        <w:t xml:space="preserve">: [TO BE DETERMINED]</w:t>
      </w:r>
    </w:p>
    <w:p>
      <w:pPr>
        <w:pStyle w:val="BodyText"/>
      </w:pPr>
      <w:r>
        <w:rPr>
          <w:b/>
          <w:bCs/>
        </w:rPr>
        <w:t xml:space="preserve">Q31c. Role</w:t>
      </w:r>
      <w:r>
        <w:t xml:space="preserve"> </w:t>
      </w:r>
      <w:r>
        <w:t xml:space="preserve">(50 words):</w:t>
      </w:r>
      <w:r>
        <w:t xml:space="preserve"> </w:t>
      </w:r>
      <w:r>
        <w:t xml:space="preserve">Clinical validation of evaluation scenarios grounded in real diagnostic exception cases. Domain expertise on biomedical exception handling in drug interactions, atypical disease presentations, and genomic annotation interpretation. Co-development of Clinical Advisory Board to ensure benchmark reflects genuine clinical reasoning challenges.</w:t>
      </w:r>
    </w:p>
    <w:p>
      <w:pPr>
        <w:pStyle w:val="BodyText"/>
      </w:pPr>
      <w:r>
        <w:rPr>
          <w:b/>
          <w:bCs/>
        </w:rPr>
        <w:t xml:space="preserve">Q31d. Relationship status</w:t>
      </w:r>
      <w:r>
        <w:t xml:space="preserve">: In contact with but not a solidified partner</w:t>
      </w:r>
    </w:p>
    <w:p>
      <w:pPr>
        <w:pStyle w:val="BodyText"/>
      </w:pPr>
      <w:r>
        <w:rPr>
          <w:b/>
          <w:bCs/>
        </w:rPr>
        <w:t xml:space="preserve">[MEDICAL COLLABORATOR INPUT REQUESTED , Q31]</w:t>
      </w:r>
      <w:r>
        <w:t xml:space="preserve">: This section requires the collaborator’s institutional affiliation to complete. Key questions:</w:t>
      </w:r>
      <w:r>
        <w:t xml:space="preserve"> </w:t>
      </w:r>
      <w:r>
        <w:t xml:space="preserve">- Which institution should be named as the partner organization?</w:t>
      </w:r>
      <w:r>
        <w:t xml:space="preserve"> </w:t>
      </w:r>
      <w:r>
        <w:t xml:space="preserve">- Would that institution be willing to be listed on this application?</w:t>
      </w:r>
      <w:r>
        <w:t xml:space="preserve"> </w:t>
      </w:r>
      <w:r>
        <w:t xml:space="preserve">- What relationship status accurately describes where we stand? (</w:t>
      </w:r>
      <w:r>
        <w:t xml:space="preserve">“In contact”</w:t>
      </w:r>
      <w:r>
        <w:t xml:space="preserve"> </w:t>
      </w:r>
      <w:r>
        <w:t xml:space="preserve">is the current placeholder; upgrade to</w:t>
      </w:r>
      <w:r>
        <w:t xml:space="preserve"> </w:t>
      </w:r>
      <w:r>
        <w:t xml:space="preserve">“Existing partner”</w:t>
      </w:r>
      <w:r>
        <w:t xml:space="preserve"> </w:t>
      </w:r>
      <w:r>
        <w:t xml:space="preserve">if formalized before submission.)</w:t>
      </w:r>
      <w:r>
        <w:t xml:space="preserve"> </w:t>
      </w:r>
      <w:r>
        <w:t xml:space="preserve">- Would you or a colleague be the named partner contact?</w:t>
      </w:r>
      <w:r>
        <w:t xml:space="preserve"> </w:t>
      </w:r>
      <w:r>
        <w:t xml:space="preserve">- The form allows up to 5 partners. If you can suggest additional clinical or biomedical informatics partners (e.g., a rare disease center, a pharmacogenomics group, a pharmacovigilance team), each would strengthen the application.</w:t>
      </w:r>
    </w:p>
    <w:p>
      <w:pPr>
        <w:pStyle w:val="BodyText"/>
      </w:pPr>
      <w:r>
        <w:rPr>
          <w:b/>
          <w:bCs/>
        </w:rPr>
        <w:t xml:space="preserve">Q31e. Additional partners</w:t>
      </w:r>
      <w:r>
        <w:t xml:space="preserve">: No</w:t>
      </w:r>
    </w:p>
    <w:p>
      <w:r>
        <w:pict>
          <v:rect style="width:0;height:1.5pt" o:hralign="center" o:hrstd="t" o:hr="t"/>
        </w:pict>
      </w:r>
    </w:p>
    <w:bookmarkEnd w:id="44"/>
    <w:bookmarkEnd w:id="45"/>
    <w:bookmarkStart w:id="51" w:name="v.-scalability"/>
    <w:p>
      <w:pPr>
        <w:pStyle w:val="Heading2"/>
      </w:pPr>
      <w:r>
        <w:t xml:space="preserve">V. Scalability</w:t>
      </w:r>
    </w:p>
    <w:bookmarkStart w:id="46" w:name="q32.-scaling-mechanisms"/>
    <w:p>
      <w:pPr>
        <w:pStyle w:val="Heading3"/>
      </w:pPr>
      <w:r>
        <w:t xml:space="preserve">Q32. Scaling mechanisms</w:t>
      </w:r>
    </w:p>
    <w:p>
      <w:pPr>
        <w:pStyle w:val="Compact"/>
        <w:numPr>
          <w:ilvl w:val="0"/>
          <w:numId w:val="1007"/>
        </w:numPr>
      </w:pPr>
      <w:r>
        <w:t xml:space="preserve">Adaptation to different sectors (e.g., moving from Genomics to Pharmacogenomics to Rare Disease)</w:t>
      </w:r>
    </w:p>
    <w:p>
      <w:pPr>
        <w:pStyle w:val="Compact"/>
        <w:numPr>
          <w:ilvl w:val="0"/>
          <w:numId w:val="1007"/>
        </w:numPr>
      </w:pPr>
      <w:r>
        <w:t xml:space="preserve">Ecosystem &amp; integration (e.g., becoming a foundational tool for other developers)</w:t>
      </w:r>
    </w:p>
    <w:p>
      <w:pPr>
        <w:pStyle w:val="Compact"/>
        <w:numPr>
          <w:ilvl w:val="0"/>
          <w:numId w:val="1007"/>
        </w:numPr>
      </w:pPr>
      <w:r>
        <w:t xml:space="preserve">Community-led expansion (e.g., growing the contributor base to sustain the code)</w:t>
      </w:r>
    </w:p>
    <w:p>
      <w:pPr>
        <w:pStyle w:val="Compact"/>
        <w:numPr>
          <w:ilvl w:val="0"/>
          <w:numId w:val="1007"/>
        </w:numPr>
      </w:pPr>
      <w:r>
        <w:t xml:space="preserve">Policy &amp; standards leadership (e.g., defining the ethical</w:t>
      </w:r>
      <w:r>
        <w:t xml:space="preserve"> </w:t>
      </w:r>
      <w:r>
        <w:t xml:space="preserve">“gold standard”</w:t>
      </w:r>
      <w:r>
        <w:t xml:space="preserve"> </w:t>
      </w:r>
      <w:r>
        <w:t xml:space="preserve">for the field)</w:t>
      </w:r>
    </w:p>
    <w:p>
      <w:pPr>
        <w:pStyle w:val="FirstParagraph"/>
      </w:pPr>
      <w:r>
        <w:rPr>
          <w:b/>
          <w:bCs/>
        </w:rPr>
        <w:t xml:space="preserve">Strategic note</w:t>
      </w:r>
      <w:r>
        <w:t xml:space="preserve">: The pipeline is ontology-agnostic. Any institution with a structured knowledge base can generate defeasible reasoning instances using the same verified methodology. This makes ecosystem/community scaling the natural path.</w:t>
      </w:r>
    </w:p>
    <w:bookmarkEnd w:id="46"/>
    <w:bookmarkStart w:id="47" w:name="Xec3dde81fb6694c05283d1834748325a123e9e4"/>
    <w:p>
      <w:pPr>
        <w:pStyle w:val="Heading3"/>
      </w:pPr>
      <w:r>
        <w:t xml:space="preserve">Q33. Team evolution to support growth (150 words)</w:t>
      </w:r>
    </w:p>
    <w:p>
      <w:pPr>
        <w:pStyle w:val="FirstParagraph"/>
      </w:pPr>
      <w:r>
        <w:t xml:space="preserve">Months 1-12: Core team of 6 (PI Velasquez, 4 PhD students, 1 postdoc) executes benchmark scale-up, fine-tuning experiments, and initial community engagement. Each PhD student owns a deliverable track: pipeline engineering, biomedical extraction, fine-tuning, and multimodal evaluation. The postdoc bridges formal methods with clinical validation. Months 13-24: Team augments with visiting researchers and undergraduate assistants for data annotation and community management. PhD students transition toward independent research contributions and publication. Months 25-36: Structure shifts toward sustainability. Graduating PhD students contribute maintenance expertise, the postdoc leads biomedical domain extensions, and community contributors handle new ontology integrations.</w:t>
      </w:r>
    </w:p>
    <w:p>
      <w:pPr>
        <w:pStyle w:val="BodyText"/>
      </w:pPr>
      <w:r>
        <w:t xml:space="preserve">The architecture enables decentralized scaling: any institution adds their ontologies without modifying core infrastructure. We will publish extraction templates and contributor guidelines. Partner organizations extend the benchmark to specialized domains using the same verified generation methodology. The leaderboard scales automatically via cloud infrastructure.</w:t>
      </w:r>
    </w:p>
    <w:bookmarkEnd w:id="47"/>
    <w:bookmarkStart w:id="48" w:name="Xa01892d9197aee69d9dfd0632b4295284b620c5"/>
    <w:p>
      <w:pPr>
        <w:pStyle w:val="Heading3"/>
      </w:pPr>
      <w:r>
        <w:t xml:space="preserve">Q34. Financial and technical sustainability</w:t>
      </w:r>
    </w:p>
    <w:p>
      <w:pPr>
        <w:pStyle w:val="FirstParagraph"/>
      </w:pPr>
      <w:r>
        <w:rPr>
          <w:b/>
          <w:bCs/>
        </w:rPr>
        <w:t xml:space="preserve">Q34a. Financial sustainability</w:t>
      </w:r>
      <w:r>
        <w:t xml:space="preserve"> </w:t>
      </w:r>
      <w:r>
        <w:t xml:space="preserve">(50 words):</w:t>
      </w:r>
    </w:p>
    <w:p>
      <w:pPr>
        <w:pStyle w:val="BodyText"/>
      </w:pPr>
      <w:r>
        <w:t xml:space="preserve">Post-Google.org: NIH R01 funding for biomedical AI evaluation, NSF CISE grants for benchmark infrastructure, and CU Boulder AI initiative support. The MIT-licensed pipeline requires minimal hosting costs via HuggingFace’s free academic tier. Community contributions reduce long-term maintenance burden.</w:t>
      </w:r>
    </w:p>
    <w:p>
      <w:pPr>
        <w:pStyle w:val="BodyText"/>
      </w:pPr>
      <w:r>
        <w:rPr>
          <w:b/>
          <w:bCs/>
        </w:rPr>
        <w:t xml:space="preserve">Q34b. Technical sustainability</w:t>
      </w:r>
      <w:r>
        <w:t xml:space="preserve"> </w:t>
      </w:r>
      <w:r>
        <w:t xml:space="preserve">(50 words):</w:t>
      </w:r>
    </w:p>
    <w:p>
      <w:pPr>
        <w:pStyle w:val="BodyText"/>
      </w:pPr>
      <w:r>
        <w:t xml:space="preserve">The deterministic pipeline regenerates from updated source KBs without manual intervention. HuggingFace provides indefinite hosting. Community contributions via GitHub ensure ongoing maintenance. Annual KB updates (UMLS, SNOMED CT, GO releases) integrate via existing extraction scripts with automated validation.</w:t>
      </w:r>
    </w:p>
    <w:bookmarkEnd w:id="48"/>
    <w:bookmarkStart w:id="49" w:name="X490f570f3934056e9715ca56c3e0f5099e21fb5"/>
    <w:p>
      <w:pPr>
        <w:pStyle w:val="Heading3"/>
      </w:pPr>
      <w:r>
        <w:t xml:space="preserve">Q35. Key learnings and dissemination (100 words)</w:t>
      </w:r>
    </w:p>
    <w:p>
      <w:pPr>
        <w:pStyle w:val="Compact"/>
        <w:numPr>
          <w:ilvl w:val="0"/>
          <w:numId w:val="1008"/>
        </w:numPr>
      </w:pPr>
      <w:r>
        <w:t xml:space="preserve">Methodology for converting any structured ontology into formally verified defeasible reasoning benchmarks, documented in open-source code and NeurIPS publication. (2) Empirical findings on the grounding-revision dissociation in foundation models, quantifying where current AI fails at exception handling. (3) Verifier-backed fine-tuning methodology using polynomial-time proof checking as exact reward signal, eliminating reward model approximation. (4) Domain-specific extraction patterns for biomedical ontologies (UMLS semantic relations, SNOMED GCI axioms, GO NOT-qualifiers). Dissemination: NeurIPS publication, HuggingFace dataset, public leaderboard, GitHub repository, tutorial workshops at CHIL and ML4H conferences.</w:t>
      </w:r>
    </w:p>
    <w:bookmarkEnd w:id="49"/>
    <w:bookmarkStart w:id="50" w:name="X0741c35d7e1441f2c7bf1f7c6c15689a0b11e74"/>
    <w:p>
      <w:pPr>
        <w:pStyle w:val="Heading3"/>
      </w:pPr>
      <w:r>
        <w:t xml:space="preserve">Q36. Public presence and visibility (100 words)</w:t>
      </w:r>
    </w:p>
    <w:p>
      <w:pPr>
        <w:pStyle w:val="FirstParagraph"/>
      </w:pPr>
      <w:r>
        <w:t xml:space="preserve">Open-source repository: github.com/PatrickAllenCooper/blanc (MIT license, full pipeline and evaluation harness). NeurIPS 2026 Evaluations and Datasets Track submission in preparation. Full technical paper covering fine-tuning and adversarial debate methods. HuggingFace Dataset repository: huggingface.co/datasets/PatrickAllenCooper/DeFAb (Croissant metadata with core and RAI fields). University of Colorado Boulder Department of Computer Science. The project builds on decades of publicly funded knowledge engineering spanning DARPA, NSF, NIH, and EU programs, representing the first systematic conversion of this infrastructure into formally grounded AI evaluation benchmarks.</w:t>
      </w:r>
    </w:p>
    <w:p>
      <w:r>
        <w:pict>
          <v:rect style="width:0;height:1.5pt" o:hralign="center" o:hrstd="t" o:hr="t"/>
        </w:pict>
      </w:r>
    </w:p>
    <w:bookmarkEnd w:id="50"/>
    <w:bookmarkEnd w:id="51"/>
    <w:bookmarkStart w:id="63" w:name="vi.-project-budget-and-timeline"/>
    <w:p>
      <w:pPr>
        <w:pStyle w:val="Heading2"/>
      </w:pPr>
      <w:r>
        <w:t xml:space="preserve">VI. Project Budget and Timeline</w:t>
      </w:r>
    </w:p>
    <w:bookmarkStart w:id="52" w:name="q37.-funding-request"/>
    <w:p>
      <w:pPr>
        <w:pStyle w:val="Heading3"/>
      </w:pPr>
      <w:r>
        <w:t xml:space="preserve">Q37. Funding request</w:t>
      </w:r>
    </w:p>
    <w:p>
      <w:pPr>
        <w:pStyle w:val="FirstParagraph"/>
      </w:pPr>
      <w:r>
        <w:t xml:space="preserve">$2,000,000</w:t>
      </w:r>
    </w:p>
    <w:p>
      <w:pPr>
        <w:pStyle w:val="BodyText"/>
      </w:pPr>
      <w:r>
        <w:rPr>
          <w:b/>
          <w:bCs/>
        </w:rPr>
        <w:t xml:space="preserve">Justification</w:t>
      </w:r>
      <w:r>
        <w:t xml:space="preserve">: Supports a 6-person team (1 PI, 4 PhD students, 1 postdoc) for 36 months plus compute infrastructure for large-scale model training and evaluation. The $2M level is appropriate for the scope: scaling from proof-of-concept to production-grade benchmark with community adoption, fine-tuning infrastructure, and public leaderboard.</w:t>
      </w:r>
    </w:p>
    <w:bookmarkEnd w:id="52"/>
    <w:bookmarkStart w:id="53" w:name="X64061c23ec520449f41789a04b0add6ec9eddf5"/>
    <w:p>
      <w:pPr>
        <w:pStyle w:val="Heading3"/>
      </w:pPr>
      <w:r>
        <w:t xml:space="preserve">Q38. Budget Category 1: Personnel &amp; Staffing</w:t>
      </w:r>
    </w:p>
    <w:p>
      <w:pPr>
        <w:pStyle w:val="FirstParagraph"/>
      </w:pPr>
      <w:r>
        <w:rPr>
          <w:b/>
          <w:bCs/>
        </w:rPr>
        <w:t xml:space="preserve">Q38a. Category name</w:t>
      </w:r>
      <w:r>
        <w:t xml:space="preserve">: Personnel &amp; Staffing</w:t>
      </w:r>
    </w:p>
    <w:p>
      <w:pPr>
        <w:pStyle w:val="BodyText"/>
      </w:pPr>
      <w:r>
        <w:rPr>
          <w:b/>
          <w:bCs/>
        </w:rPr>
        <w:t xml:space="preserve">Q38b. Allocation</w:t>
      </w:r>
      <w:r>
        <w:t xml:space="preserve">: $1,100,000</w:t>
      </w:r>
    </w:p>
    <w:p>
      <w:pPr>
        <w:pStyle w:val="BodyText"/>
      </w:pPr>
      <w:r>
        <w:rPr>
          <w:b/>
          <w:bCs/>
        </w:rPr>
        <w:t xml:space="preserve">Q38c. Description</w:t>
      </w:r>
      <w:r>
        <w:t xml:space="preserve"> </w:t>
      </w:r>
      <w:r>
        <w:t xml:space="preserve">(100 words):</w:t>
      </w:r>
    </w:p>
    <w:p>
      <w:pPr>
        <w:pStyle w:val="BodyText"/>
      </w:pPr>
      <w:r>
        <w:t xml:space="preserve">PI (Professor Velasquez), partial salary, 36 months, $120K. Four PhD Graduate Research Assistants at full stipend plus tuition remission, 36 months each, $560K total ($47K/year per student including tuition). Postdoctoral Researcher (biomedical informatics), 1 FTE, 36 months, $240K. Fringe benefits at 30% across all personnel, $180K. Each PhD student owns a deliverable track: pipeline/KB engineering, biomedical extraction, fine-tuning infrastructure, and multimodal evaluation. The postdoc bridges formal methods and clinical applications.</w:t>
      </w:r>
    </w:p>
    <w:bookmarkEnd w:id="53"/>
    <w:bookmarkStart w:id="54" w:name="X9edb43f647c5d12003687071ae002ebc2ebe3e0"/>
    <w:p>
      <w:pPr>
        <w:pStyle w:val="Heading3"/>
      </w:pPr>
      <w:r>
        <w:t xml:space="preserve">Q39. Budget Category 2: Compute &amp; Infrastructure</w:t>
      </w:r>
    </w:p>
    <w:p>
      <w:pPr>
        <w:pStyle w:val="FirstParagraph"/>
      </w:pPr>
      <w:r>
        <w:rPr>
          <w:b/>
          <w:bCs/>
        </w:rPr>
        <w:t xml:space="preserve">Q39a. Category name</w:t>
      </w:r>
      <w:r>
        <w:t xml:space="preserve">: Equipment &amp; Infrastructure</w:t>
      </w:r>
    </w:p>
    <w:p>
      <w:pPr>
        <w:pStyle w:val="BodyText"/>
      </w:pPr>
      <w:r>
        <w:rPr>
          <w:b/>
          <w:bCs/>
        </w:rPr>
        <w:t xml:space="preserve">Q39b. Allocation</w:t>
      </w:r>
      <w:r>
        <w:t xml:space="preserve">: $450,000</w:t>
      </w:r>
    </w:p>
    <w:p>
      <w:pPr>
        <w:pStyle w:val="BodyText"/>
      </w:pPr>
      <w:r>
        <w:rPr>
          <w:b/>
          <w:bCs/>
        </w:rPr>
        <w:t xml:space="preserve">Q39c. Description</w:t>
      </w:r>
      <w:r>
        <w:t xml:space="preserve"> </w:t>
      </w:r>
      <w:r>
        <w:t xml:space="preserve">(100 words):</w:t>
      </w:r>
    </w:p>
    <w:p>
      <w:pPr>
        <w:pStyle w:val="BodyText"/>
      </w:pPr>
      <w:r>
        <w:t xml:space="preserve">Google Cloud TPU/GPU credits for large-scale preference optimization and distributed fine-tuning ($200K). CURC Alpine HPC allocation supplement for NVIDIA A100 GPU hours for open-source model evaluation ($100K). Azure AI Foundry API credits for frontier model evaluation across modalities and prompting strategies ($100K). Cloud storage for large-scale KB processing, instance generation, and dataset hosting ($50K). Compute is the primary bottleneck for the fine-tuning pipeline: preference optimization over 500K+ biomedical instances requires sustained GPU access beyond what institutional allocations provide.</w:t>
      </w:r>
    </w:p>
    <w:bookmarkEnd w:id="54"/>
    <w:bookmarkStart w:id="55" w:name="X9c3ccf5237a91d130b4313114f0e1d1a4388d87"/>
    <w:p>
      <w:pPr>
        <w:pStyle w:val="Heading3"/>
      </w:pPr>
      <w:r>
        <w:t xml:space="preserve">Q40. Budget Category 3: Technology Development</w:t>
      </w:r>
    </w:p>
    <w:p>
      <w:pPr>
        <w:pStyle w:val="FirstParagraph"/>
      </w:pPr>
      <w:r>
        <w:rPr>
          <w:b/>
          <w:bCs/>
        </w:rPr>
        <w:t xml:space="preserve">Q40a. Category name</w:t>
      </w:r>
      <w:r>
        <w:t xml:space="preserve">: Technology Development</w:t>
      </w:r>
    </w:p>
    <w:p>
      <w:pPr>
        <w:pStyle w:val="BodyText"/>
      </w:pPr>
      <w:r>
        <w:rPr>
          <w:b/>
          <w:bCs/>
        </w:rPr>
        <w:t xml:space="preserve">Q40b. Allocation</w:t>
      </w:r>
      <w:r>
        <w:t xml:space="preserve">: $200,000</w:t>
      </w:r>
    </w:p>
    <w:p>
      <w:pPr>
        <w:pStyle w:val="BodyText"/>
      </w:pPr>
      <w:r>
        <w:rPr>
          <w:b/>
          <w:bCs/>
        </w:rPr>
        <w:t xml:space="preserve">Q40c. Description</w:t>
      </w:r>
      <w:r>
        <w:t xml:space="preserve"> </w:t>
      </w:r>
      <w:r>
        <w:t xml:space="preserve">(100 words):</w:t>
      </w:r>
    </w:p>
    <w:p>
      <w:pPr>
        <w:pStyle w:val="BodyText"/>
      </w:pPr>
      <w:r>
        <w:t xml:space="preserve">Public leaderboard development and hosting infrastructure ($50K). HuggingFace Datasets hosting for large-scale dataset distribution ($20K). Benchmark distribution infrastructure including Croissant metadata compliance and CI/CD ($30K). Biomedical KB licensing fees and data access (NLM, IHTSDO) ($40K). Software development tools and testing infrastructure ($20K). Open-source community contribution program: documentation, extraction templates, contributor toolkit enabling independent domain extensions ($40K). Technology development ensures the benchmark is not merely published but actively discoverable, usable, and extensible by the broader research community.</w:t>
      </w:r>
    </w:p>
    <w:bookmarkEnd w:id="55"/>
    <w:bookmarkStart w:id="56" w:name="X5ff85e5fb46e34b7a2fcc18404c4e7f78995261"/>
    <w:p>
      <w:pPr>
        <w:pStyle w:val="Heading3"/>
      </w:pPr>
      <w:r>
        <w:t xml:space="preserve">Q41. Budget Category 4: Project Amplification</w:t>
      </w:r>
    </w:p>
    <w:p>
      <w:pPr>
        <w:pStyle w:val="FirstParagraph"/>
      </w:pPr>
      <w:r>
        <w:rPr>
          <w:b/>
          <w:bCs/>
        </w:rPr>
        <w:t xml:space="preserve">Q41a. Category name</w:t>
      </w:r>
      <w:r>
        <w:t xml:space="preserve">: Project Amplification &amp; Dissemination</w:t>
      </w:r>
    </w:p>
    <w:p>
      <w:pPr>
        <w:pStyle w:val="BodyText"/>
      </w:pPr>
      <w:r>
        <w:rPr>
          <w:b/>
          <w:bCs/>
        </w:rPr>
        <w:t xml:space="preserve">Q41b. Allocation</w:t>
      </w:r>
      <w:r>
        <w:t xml:space="preserve">: $100,000</w:t>
      </w:r>
    </w:p>
    <w:p>
      <w:pPr>
        <w:pStyle w:val="BodyText"/>
      </w:pPr>
      <w:r>
        <w:rPr>
          <w:b/>
          <w:bCs/>
        </w:rPr>
        <w:t xml:space="preserve">Q41c. Description</w:t>
      </w:r>
      <w:r>
        <w:t xml:space="preserve"> </w:t>
      </w:r>
      <w:r>
        <w:t xml:space="preserve">(100 words):</w:t>
      </w:r>
    </w:p>
    <w:p>
      <w:pPr>
        <w:pStyle w:val="BodyText"/>
      </w:pPr>
      <w:r>
        <w:t xml:space="preserve">Conference attendance and presentation at NeurIPS, CHIL, ML4H, AAAI for benchmark dissemination ($40K). Tutorial workshop development and delivery at 3 venues ($20K). Open access scientific journal publication fees ($15K). Travel for Clinical Advisory Board meetings and partner site visits ($25K). Amplification is essential for community adoption: the benchmark succeeds only if external research groups actively use it. Conference workshops and tutorials lower the barrier to adoption by providing hands-on experience with the pipeline and extraction methodology.</w:t>
      </w:r>
    </w:p>
    <w:bookmarkEnd w:id="56"/>
    <w:bookmarkStart w:id="57" w:name="q42.-budget-category-5-indirect-costs"/>
    <w:p>
      <w:pPr>
        <w:pStyle w:val="Heading3"/>
      </w:pPr>
      <w:r>
        <w:t xml:space="preserve">Q42. Budget Category 5: Indirect Costs</w:t>
      </w:r>
    </w:p>
    <w:p>
      <w:pPr>
        <w:pStyle w:val="FirstParagraph"/>
      </w:pPr>
      <w:r>
        <w:rPr>
          <w:b/>
          <w:bCs/>
        </w:rPr>
        <w:t xml:space="preserve">Q42a. Category name</w:t>
      </w:r>
      <w:r>
        <w:t xml:space="preserve">: Indirect Costs</w:t>
      </w:r>
    </w:p>
    <w:p>
      <w:pPr>
        <w:pStyle w:val="BodyText"/>
      </w:pPr>
      <w:r>
        <w:rPr>
          <w:b/>
          <w:bCs/>
        </w:rPr>
        <w:t xml:space="preserve">Q42b. Allocation</w:t>
      </w:r>
      <w:r>
        <w:t xml:space="preserve">: $150,000</w:t>
      </w:r>
    </w:p>
    <w:p>
      <w:pPr>
        <w:pStyle w:val="BodyText"/>
      </w:pPr>
      <w:r>
        <w:rPr>
          <w:b/>
          <w:bCs/>
        </w:rPr>
        <w:t xml:space="preserve">Q42c. Description</w:t>
      </w:r>
      <w:r>
        <w:t xml:space="preserve"> </w:t>
      </w:r>
      <w:r>
        <w:t xml:space="preserve">(100 words):</w:t>
      </w:r>
    </w:p>
    <w:p>
      <w:pPr>
        <w:pStyle w:val="BodyText"/>
      </w:pPr>
      <w:r>
        <w:t xml:space="preserve">University of Colorado Boulder institutional overhead at approximately 10% of modified total direct costs. Covers institutional administrative support, sponsored programs administration, facilities, utilities, compliance oversight, and research administration services. CU Boulder’s negotiated federal indirect cost rate is substantially higher than 10%; this reflects a cost-sharing commitment by the university. Indirect costs ensure proper fiscal management, regulatory compliance, and institutional support for the project’s duration.</w:t>
      </w:r>
    </w:p>
    <w:bookmarkEnd w:id="57"/>
    <w:bookmarkStart w:id="58" w:name="budget-summary"/>
    <w:p>
      <w:pPr>
        <w:pStyle w:val="Heading3"/>
      </w:pPr>
      <w:r>
        <w:t xml:space="preserve">Budget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Allocation</w:t>
            </w:r>
          </w:p>
        </w:tc>
      </w:tr>
      <w:tr>
        <w:tc>
          <w:tcPr/>
          <w:p>
            <w:pPr>
              <w:pStyle w:val="Compact"/>
            </w:pPr>
            <w:r>
              <w:t xml:space="preserve">Personnel &amp; Staffing</w:t>
            </w:r>
          </w:p>
        </w:tc>
        <w:tc>
          <w:tcPr/>
          <w:p>
            <w:pPr>
              <w:pStyle w:val="Compact"/>
            </w:pPr>
            <w:r>
              <w:t xml:space="preserve">$1,100,000</w:t>
            </w:r>
          </w:p>
        </w:tc>
      </w:tr>
      <w:tr>
        <w:tc>
          <w:tcPr/>
          <w:p>
            <w:pPr>
              <w:pStyle w:val="Compact"/>
            </w:pPr>
            <w:r>
              <w:t xml:space="preserve">Equipment &amp; Infrastructure</w:t>
            </w:r>
          </w:p>
        </w:tc>
        <w:tc>
          <w:tcPr/>
          <w:p>
            <w:pPr>
              <w:pStyle w:val="Compact"/>
            </w:pPr>
            <w:r>
              <w:t xml:space="preserve">$450,000</w:t>
            </w:r>
          </w:p>
        </w:tc>
      </w:tr>
      <w:tr>
        <w:tc>
          <w:tcPr/>
          <w:p>
            <w:pPr>
              <w:pStyle w:val="Compact"/>
            </w:pPr>
            <w:r>
              <w:t xml:space="preserve">Technology Development</w:t>
            </w:r>
          </w:p>
        </w:tc>
        <w:tc>
          <w:tcPr/>
          <w:p>
            <w:pPr>
              <w:pStyle w:val="Compact"/>
            </w:pPr>
            <w:r>
              <w:t xml:space="preserve">$200,000</w:t>
            </w:r>
          </w:p>
        </w:tc>
      </w:tr>
      <w:tr>
        <w:tc>
          <w:tcPr/>
          <w:p>
            <w:pPr>
              <w:pStyle w:val="Compact"/>
            </w:pPr>
            <w:r>
              <w:t xml:space="preserve">Project Amplification</w:t>
            </w:r>
          </w:p>
        </w:tc>
        <w:tc>
          <w:tcPr/>
          <w:p>
            <w:pPr>
              <w:pStyle w:val="Compact"/>
            </w:pPr>
            <w:r>
              <w:t xml:space="preserve">$100,000</w:t>
            </w:r>
          </w:p>
        </w:tc>
      </w:tr>
      <w:tr>
        <w:tc>
          <w:tcPr/>
          <w:p>
            <w:pPr>
              <w:pStyle w:val="Compact"/>
            </w:pPr>
            <w:r>
              <w:t xml:space="preserve">Indirect Costs</w:t>
            </w:r>
          </w:p>
        </w:tc>
        <w:tc>
          <w:tcPr/>
          <w:p>
            <w:pPr>
              <w:pStyle w:val="Compact"/>
            </w:pPr>
            <w:r>
              <w:t xml:space="preserve">$150,000</w:t>
            </w:r>
          </w:p>
        </w:tc>
      </w:tr>
      <w:tr>
        <w:tc>
          <w:tcPr/>
          <w:p>
            <w:pPr>
              <w:pStyle w:val="Compact"/>
            </w:pPr>
            <w:r>
              <w:rPr>
                <w:b/>
                <w:bCs/>
              </w:rPr>
              <w:t xml:space="preserve">Total</w:t>
            </w:r>
          </w:p>
        </w:tc>
        <w:tc>
          <w:tcPr/>
          <w:p>
            <w:pPr>
              <w:pStyle w:val="Compact"/>
            </w:pPr>
            <w:r>
              <w:rPr>
                <w:b/>
                <w:bCs/>
              </w:rPr>
              <w:t xml:space="preserve">$2,000,000</w:t>
            </w:r>
          </w:p>
        </w:tc>
      </w:tr>
    </w:tbl>
    <w:p>
      <w:r>
        <w:pict>
          <v:rect style="width:0;height:1.5pt" o:hralign="center" o:hrstd="t" o:hr="t"/>
        </w:pict>
      </w:r>
    </w:p>
    <w:bookmarkEnd w:id="58"/>
    <w:bookmarkStart w:id="59" w:name="q43.-project-milestone-1"/>
    <w:p>
      <w:pPr>
        <w:pStyle w:val="Heading3"/>
      </w:pPr>
      <w:r>
        <w:t xml:space="preserve">Q43. Project Milestone 1</w:t>
      </w:r>
    </w:p>
    <w:p>
      <w:pPr>
        <w:pStyle w:val="FirstParagraph"/>
      </w:pPr>
      <w:r>
        <w:rPr>
          <w:b/>
          <w:bCs/>
        </w:rPr>
        <w:t xml:space="preserve">Q43a. Timeframe</w:t>
      </w:r>
      <w:r>
        <w:t xml:space="preserve">: Months 1-6</w:t>
      </w:r>
    </w:p>
    <w:p>
      <w:pPr>
        <w:pStyle w:val="BodyText"/>
      </w:pPr>
      <w:r>
        <w:rPr>
          <w:b/>
          <w:bCs/>
        </w:rPr>
        <w:t xml:space="preserve">Q43b. Activities</w:t>
      </w:r>
      <w:r>
        <w:t xml:space="preserve"> </w:t>
      </w:r>
      <w:r>
        <w:t xml:space="preserve">(150 words):</w:t>
      </w:r>
    </w:p>
    <w:p>
      <w:pPr>
        <w:pStyle w:val="BodyText"/>
      </w:pPr>
      <w:r>
        <w:t xml:space="preserve">Scale biomedical KB extraction: process full UMLS 2025AB (targeting 500K+ biomedical instances from 29.5M rules), complete SNOMED CT OWL GCI defeater extraction, expand Gene Ontology NOT-qualifier coverage across all three GO sub-ontologies (molecular function, biological process, cellular component). Recruit postdoctoral researcher with biomedical informatics expertise. Onboard PhD students to deliverable tracks: pipeline engineering, biomedical extraction, fine-tuning infrastructure, and multimodal evaluation. Establish Clinical Advisory Board with physicians specializing in rare disease diagnosis, pharmacogenomics, and clinical decision support. Participate in Google.org Accelerator (PI Velasquez as decision-maker, lead PhD student Cooper as technical lead, 4 hours/week each). Submit NeurIPS 2026 Evaluations and Datasets Track paper. Deploy initial leaderboard prototype with API submission and automated evaluation. Begin cross-modal M5 image harvesting from PDB, EMDB, and AlphaFold DB for protein structure entities.</w:t>
      </w:r>
    </w:p>
    <w:p>
      <w:pPr>
        <w:pStyle w:val="BodyText"/>
      </w:pPr>
      <w:r>
        <w:rPr>
          <w:b/>
          <w:bCs/>
        </w:rPr>
        <w:t xml:space="preserve">Q43c. Outcomes</w:t>
      </w:r>
      <w:r>
        <w:t xml:space="preserve"> </w:t>
      </w:r>
      <w:r>
        <w:t xml:space="preserve">(100 words):</w:t>
      </w:r>
    </w:p>
    <w:p>
      <w:pPr>
        <w:pStyle w:val="BodyText"/>
      </w:pPr>
      <w:r>
        <w:t xml:space="preserve">500K+ verified biomedical instances across three difficulty levels (fact completion, rule abduction, defeater abduction) with polynomial-time verified gold standards. NeurIPS 2026 dataset paper submitted. Clinical Advisory Board operational with quarterly feedback cycle established. Baseline defeasible reasoning accuracy benchmarked across 6+ frontier models on biomedical instances. Full team operational with defined deliverable ownership. Leaderboard prototype accepting submissions. Image manifest populated for 10K+ biomedical entities. Accelerator participation producing concrete technical improvements in pipeline scalability and cloud deployment architecture.</w:t>
      </w:r>
    </w:p>
    <w:bookmarkEnd w:id="59"/>
    <w:bookmarkStart w:id="60" w:name="q44.-project-milestone-2"/>
    <w:p>
      <w:pPr>
        <w:pStyle w:val="Heading3"/>
      </w:pPr>
      <w:r>
        <w:t xml:space="preserve">Q44. Project Milestone 2</w:t>
      </w:r>
    </w:p>
    <w:p>
      <w:pPr>
        <w:pStyle w:val="FirstParagraph"/>
      </w:pPr>
      <w:r>
        <w:rPr>
          <w:b/>
          <w:bCs/>
        </w:rPr>
        <w:t xml:space="preserve">Q44a. Timeframe</w:t>
      </w:r>
      <w:r>
        <w:t xml:space="preserve">: Months 7-18</w:t>
      </w:r>
    </w:p>
    <w:p>
      <w:pPr>
        <w:pStyle w:val="BodyText"/>
      </w:pPr>
      <w:r>
        <w:rPr>
          <w:b/>
          <w:bCs/>
        </w:rPr>
        <w:t xml:space="preserve">Q44b. Activities</w:t>
      </w:r>
      <w:r>
        <w:t xml:space="preserve"> </w:t>
      </w:r>
      <w:r>
        <w:t xml:space="preserve">(150 words):</w:t>
      </w:r>
    </w:p>
    <w:p>
      <w:pPr>
        <w:pStyle w:val="BodyText"/>
      </w:pPr>
      <w:r>
        <w:t xml:space="preserve">Implement preference optimization pipeline: margin-weighted Direct Preference Optimization and verifier-in-the-loop RLHF using polynomial-time proof checker as exact reward signal, eliminating reward model approximation. Fine-tune open-source models (DeepSeek-R1, Qwen2.5-72B, Qwen2.5-32B families) on biomedical defeasible reasoning data with curriculum training progressing from Level 1 through Level 3. Launch public leaderboard with standardized evaluation protocol, automated scoring, and community submission interface. Extend benchmark to pharmacogenomics and rare disease domains via UMLS sub-vocabulary extraction (RxNorm for drug interactions, OMIM for genetic disorders). Conduct cross-modal M5 evaluation with protein structure images from PDB and AlphaFold, testing whether VLMs compound perception errors with defeasible reasoning failures on structurally atypical proteins. Validate evaluation scenarios with Clinical Advisory Board; iterate on instance design based on clinical feedback.</w:t>
      </w:r>
    </w:p>
    <w:p>
      <w:pPr>
        <w:pStyle w:val="BodyText"/>
      </w:pPr>
      <w:r>
        <w:rPr>
          <w:b/>
          <w:bCs/>
        </w:rPr>
        <w:t xml:space="preserve">Q44c. Outcomes</w:t>
      </w:r>
      <w:r>
        <w:t xml:space="preserve"> </w:t>
      </w:r>
      <w:r>
        <w:t xml:space="preserve">(100 words):</w:t>
      </w:r>
    </w:p>
    <w:p>
      <w:pPr>
        <w:pStyle w:val="BodyText"/>
      </w:pPr>
      <w:r>
        <w:t xml:space="preserve">Fine-tuned models showing 60+ percentage point improvement on Level 3 defeater abduction over baseline. Public leaderboard live with 10+ model submissions from internal and external evaluators. Two additional biomedical sub-domains covered (pharmacogenomics, rare disease). Fine-tuning methodology paper drafted with ablation studies across DPO variants, curriculum schedules, and model families. M5 cross-modal evaluation results demonstrating the perception-reasoning compounding effect on biomedical entities. Clinical Advisory Board validation report confirming alignment between benchmark scenarios and real-world diagnostic exception cases.</w:t>
      </w:r>
    </w:p>
    <w:bookmarkEnd w:id="60"/>
    <w:bookmarkStart w:id="61" w:name="q45.-project-milestone-3"/>
    <w:p>
      <w:pPr>
        <w:pStyle w:val="Heading3"/>
      </w:pPr>
      <w:r>
        <w:t xml:space="preserve">Q45. Project Milestone 3</w:t>
      </w:r>
    </w:p>
    <w:p>
      <w:pPr>
        <w:pStyle w:val="FirstParagraph"/>
      </w:pPr>
      <w:r>
        <w:rPr>
          <w:b/>
          <w:bCs/>
        </w:rPr>
        <w:t xml:space="preserve">Q45a. Timeframe</w:t>
      </w:r>
      <w:r>
        <w:t xml:space="preserve">: Months 19-30</w:t>
      </w:r>
    </w:p>
    <w:p>
      <w:pPr>
        <w:pStyle w:val="BodyText"/>
      </w:pPr>
      <w:r>
        <w:rPr>
          <w:b/>
          <w:bCs/>
        </w:rPr>
        <w:t xml:space="preserve">Q45b. Activities</w:t>
      </w:r>
      <w:r>
        <w:t xml:space="preserve"> </w:t>
      </w:r>
      <w:r>
        <w:t xml:space="preserve">(150 words):</w:t>
      </w:r>
    </w:p>
    <w:p>
      <w:pPr>
        <w:pStyle w:val="BodyText"/>
      </w:pPr>
      <w:r>
        <w:t xml:space="preserve">Community adoption push: release comprehensive tutorial materials, conduct hands-on workshops at CHIL (Conference on Health, Inference, and Learning) and ML4H (Machine Learning for Health). Scale benchmark to 1M+ instances by integrating additional biomedical vocabularies from UMLS (pharmacovigilance, clinical trials, nursing terminologies). Integrate clinical decision support scenarios validated by Advisory Board into the benchmark as a specialized evaluation track. Publish fine-tuning methodology paper demonstrating verifier-backed preference optimization results. Develop extraction templates and contributor toolkit enabling community members to add their domain ontologies to the pipeline without modifying core infrastructure. Extend multilingual evaluation via BabelNet 5.3 integration for non-English biomedical terminologies. Begin Wikidata P2303 large-scale extraction for cross-domain defeater coverage. Evaluate emerging foundation models as they are released to maintain leaderboard currency.</w:t>
      </w:r>
    </w:p>
    <w:p>
      <w:pPr>
        <w:pStyle w:val="BodyText"/>
      </w:pPr>
      <w:r>
        <w:rPr>
          <w:b/>
          <w:bCs/>
        </w:rPr>
        <w:t xml:space="preserve">Q45c. Outcomes</w:t>
      </w:r>
      <w:r>
        <w:t xml:space="preserve"> </w:t>
      </w:r>
      <w:r>
        <w:t xml:space="preserve">(100 words):</w:t>
      </w:r>
    </w:p>
    <w:p>
      <w:pPr>
        <w:pStyle w:val="BodyText"/>
      </w:pPr>
      <w:r>
        <w:t xml:space="preserve">50+ external research groups actively using DeFAb-Health for biomedical AI evaluation. 1M+ instances with verified gold standards across 15+ biomedical knowledge sources. Published fine-tuning methodology paper at a top venue. Contributor toolkit and documentation enabling independent domain extensions adopted by 5+ external institutions. Workshop participants producing benchmark extensions in their specialized domains. Multilingual evaluation covering 3+ non-English medical terminologies. Leaderboard reflecting 20+ model submissions with longitudinal tracking of foundation model progress on exception-aware reasoning.</w:t>
      </w:r>
    </w:p>
    <w:bookmarkEnd w:id="61"/>
    <w:bookmarkStart w:id="62" w:name="q46.-project-milestone-4"/>
    <w:p>
      <w:pPr>
        <w:pStyle w:val="Heading3"/>
      </w:pPr>
      <w:r>
        <w:t xml:space="preserve">Q46. Project Milestone 4</w:t>
      </w:r>
    </w:p>
    <w:p>
      <w:pPr>
        <w:pStyle w:val="FirstParagraph"/>
      </w:pPr>
      <w:r>
        <w:rPr>
          <w:b/>
          <w:bCs/>
        </w:rPr>
        <w:t xml:space="preserve">Q46a. Timeframe</w:t>
      </w:r>
      <w:r>
        <w:t xml:space="preserve">: Months 31-36</w:t>
      </w:r>
    </w:p>
    <w:p>
      <w:pPr>
        <w:pStyle w:val="BodyText"/>
      </w:pPr>
      <w:r>
        <w:rPr>
          <w:b/>
          <w:bCs/>
        </w:rPr>
        <w:t xml:space="preserve">Q46b. Activities</w:t>
      </w:r>
      <w:r>
        <w:t xml:space="preserve"> </w:t>
      </w:r>
      <w:r>
        <w:t xml:space="preserve">(150 words):</w:t>
      </w:r>
    </w:p>
    <w:p>
      <w:pPr>
        <w:pStyle w:val="BodyText"/>
      </w:pPr>
      <w:r>
        <w:t xml:space="preserve">Sustainability transition: establish long-term maintenance infrastructure with automated KB update integration, self-sustaining leaderboard hosting, and community governance model. Comprehensive clinical relevance evaluation with Advisory Board assessing whether benchmark improvements translate to measurably better exception handling in real-world clinical AI tools. Prepare NIH R01 and NSF CISE follow-on funding applications for continued benchmark development and biomedical domain expansion. Conduct final round of model evaluations to document the trajectory of foundation model improvement over the project period. Produce final project report and impact assessment documenting adoption metrics, model improvement trajectories, community growth, and lessons learned. Archive all project artifacts with persistent identifiers (DOIs via Zenodo) for long-term reproducibility.</w:t>
      </w:r>
    </w:p>
    <w:p>
      <w:pPr>
        <w:pStyle w:val="BodyText"/>
      </w:pPr>
      <w:r>
        <w:rPr>
          <w:b/>
          <w:bCs/>
        </w:rPr>
        <w:t xml:space="preserve">Q46c. Outcomes</w:t>
      </w:r>
      <w:r>
        <w:t xml:space="preserve"> </w:t>
      </w:r>
      <w:r>
        <w:t xml:space="preserve">(100 words):</w:t>
      </w:r>
    </w:p>
    <w:p>
      <w:pPr>
        <w:pStyle w:val="BodyText"/>
      </w:pPr>
      <w:r>
        <w:t xml:space="preserve">Self-sustaining benchmark infrastructure with community governance and automated maintenance. Follow-on funding applications submitted to NIH and NSF. Final impact report documenting: number of adopting institutions, cumulative leaderboard submissions, model accuracy trajectories across 36 months, community-contributed domain extensions, and clinical validation results. All project artifacts archived with DOIs. Advisory Board assessment of clinical relevance published as supplementary report. The benchmark transitions from a funded project to a self-sustaining community resource with established governance, automated maintenance, and multiple institutional stakeholders.</w:t>
      </w:r>
    </w:p>
    <w:p>
      <w:r>
        <w:pict>
          <v:rect style="width:0;height:1.5pt" o:hralign="center" o:hrstd="t" o:hr="t"/>
        </w:pict>
      </w:r>
    </w:p>
    <w:bookmarkEnd w:id="62"/>
    <w:bookmarkEnd w:id="63"/>
    <w:bookmarkStart w:id="70" w:name="vii.-ethics-and-compliance"/>
    <w:p>
      <w:pPr>
        <w:pStyle w:val="Heading2"/>
      </w:pPr>
      <w:r>
        <w:t xml:space="preserve">VII. Ethics and Compliance</w:t>
      </w:r>
    </w:p>
    <w:bookmarkStart w:id="64" w:name="q48.-google-commercial-contracts"/>
    <w:p>
      <w:pPr>
        <w:pStyle w:val="Heading3"/>
      </w:pPr>
      <w:r>
        <w:t xml:space="preserve">Q48. Google commercial contracts</w:t>
      </w:r>
    </w:p>
    <w:p>
      <w:pPr>
        <w:pStyle w:val="FirstParagraph"/>
      </w:pPr>
      <w:r>
        <w:t xml:space="preserve">No</w:t>
      </w:r>
    </w:p>
    <w:bookmarkEnd w:id="64"/>
    <w:bookmarkStart w:id="65" w:name="q49.-government-officials-employed"/>
    <w:p>
      <w:pPr>
        <w:pStyle w:val="Heading3"/>
      </w:pPr>
      <w:r>
        <w:t xml:space="preserve">Q49. Government officials employed</w:t>
      </w:r>
    </w:p>
    <w:p>
      <w:pPr>
        <w:pStyle w:val="FirstParagraph"/>
      </w:pPr>
      <w:r>
        <w:t xml:space="preserve">Yes</w:t>
      </w:r>
    </w:p>
    <w:p>
      <w:pPr>
        <w:pStyle w:val="BodyText"/>
      </w:pPr>
      <w:r>
        <w:t xml:space="preserve">CU Boulder is a public research university. Faculty and staff are employees of the State of Colorado.</w:t>
      </w:r>
    </w:p>
    <w:bookmarkEnd w:id="65"/>
    <w:bookmarkStart w:id="66" w:name="q50.-government-entities-involved"/>
    <w:p>
      <w:pPr>
        <w:pStyle w:val="Heading3"/>
      </w:pPr>
      <w:r>
        <w:t xml:space="preserve">Q50. Government entities involved</w:t>
      </w:r>
    </w:p>
    <w:p>
      <w:pPr>
        <w:pStyle w:val="FirstParagraph"/>
      </w:pPr>
      <w:r>
        <w:t xml:space="preserve">Yes</w:t>
      </w:r>
    </w:p>
    <w:p>
      <w:pPr>
        <w:pStyle w:val="BodyText"/>
      </w:pPr>
      <w:r>
        <w:t xml:space="preserve">CU Boulder is a public research university. PI salary support and PhD stipends involve state-employee compensation. No external government entities are involved beyond the university itself.</w:t>
      </w:r>
    </w:p>
    <w:bookmarkEnd w:id="66"/>
    <w:bookmarkStart w:id="67" w:name="q51.-law-enforcement-involvement"/>
    <w:p>
      <w:pPr>
        <w:pStyle w:val="Heading3"/>
      </w:pPr>
      <w:r>
        <w:t xml:space="preserve">Q51. Law enforcement involvement</w:t>
      </w:r>
    </w:p>
    <w:p>
      <w:pPr>
        <w:pStyle w:val="FirstParagraph"/>
      </w:pPr>
      <w:r>
        <w:t xml:space="preserve">No</w:t>
      </w:r>
    </w:p>
    <w:bookmarkEnd w:id="67"/>
    <w:bookmarkStart w:id="68" w:name="q52.-sanctioned-countries"/>
    <w:p>
      <w:pPr>
        <w:pStyle w:val="Heading3"/>
      </w:pPr>
      <w:r>
        <w:t xml:space="preserve">Q52. Sanctioned countries</w:t>
      </w:r>
    </w:p>
    <w:p>
      <w:pPr>
        <w:pStyle w:val="FirstParagraph"/>
      </w:pPr>
      <w:r>
        <w:t xml:space="preserve">No</w:t>
      </w:r>
    </w:p>
    <w:bookmarkEnd w:id="68"/>
    <w:bookmarkStart w:id="69" w:name="q53.-explanation"/>
    <w:p>
      <w:pPr>
        <w:pStyle w:val="Heading3"/>
      </w:pPr>
      <w:r>
        <w:t xml:space="preserve">Q53. Explanation</w:t>
      </w:r>
    </w:p>
    <w:p>
      <w:pPr>
        <w:pStyle w:val="FirstParagraph"/>
      </w:pPr>
      <w:r>
        <w:t xml:space="preserve">CU Boulder is a public research university. Faculty (including PI Velasquez) and staff are employees of the State of Colorado. PhD students receiving stipends are university employees. The project does not involve law enforcement entities or any dealings in sanctioned regions. No project funds will be used to benefit government officials in their personal capacity; all compensation is standard academic salary and stipend support for research activity.</w:t>
      </w:r>
    </w:p>
    <w:p>
      <w:r>
        <w:pict>
          <v:rect style="width:0;height:1.5pt" o:hralign="center" o:hrstd="t" o:hr="t"/>
        </w:pict>
      </w:r>
    </w:p>
    <w:bookmarkEnd w:id="69"/>
    <w:bookmarkEnd w:id="70"/>
    <w:bookmarkStart w:id="71" w:name="certification"/>
    <w:p>
      <w:pPr>
        <w:pStyle w:val="Heading2"/>
      </w:pPr>
      <w:r>
        <w:t xml:space="preserve">Certification</w:t>
      </w:r>
    </w:p>
    <w:p>
      <w:pPr>
        <w:pStyle w:val="FirstParagraph"/>
      </w:pPr>
      <w:r>
        <w:t xml:space="preserve">Yes, I certify.</w:t>
      </w:r>
    </w:p>
    <w:p>
      <w:r>
        <w:pict>
          <v:rect style="width:0;height:1.5pt" o:hralign="center" o:hrstd="t" o:hr="t"/>
        </w:pict>
      </w:r>
    </w:p>
    <w:bookmarkEnd w:id="71"/>
    <w:bookmarkStart w:id="78" w:name="appendix-key-data-points-for-reference"/>
    <w:p>
      <w:pPr>
        <w:pStyle w:val="Heading2"/>
      </w:pPr>
      <w:r>
        <w:t xml:space="preserve">Appendix: Key Data Points for Reference</w:t>
      </w:r>
    </w:p>
    <w:bookmarkStart w:id="72" w:name="defab-scale-summary"/>
    <w:p>
      <w:pPr>
        <w:pStyle w:val="Heading3"/>
      </w:pPr>
      <w:r>
        <w:t xml:space="preserve">DeFAb Scale Summary</w:t>
      </w:r>
    </w:p>
    <w:tbl>
      <w:tblPr>
        <w:tblStyle w:val="Table"/>
        <w:tblW w:type="pct" w:w="5000"/>
        <w:tblLayout w:type="fixed"/>
        <w:tblLook w:firstRow="1" w:lastRow="0" w:firstColumn="0" w:lastColumn="0" w:noHBand="0" w:noVBand="0" w:val="0020"/>
      </w:tblPr>
      <w:tblGrid>
        <w:gridCol w:w="1440"/>
        <w:gridCol w:w="2160"/>
        <w:gridCol w:w="1680"/>
        <w:gridCol w:w="2640"/>
      </w:tblGrid>
      <w:tr>
        <w:trPr>
          <w:tblHeader w:val="on"/>
        </w:trPr>
        <w:tc>
          <w:tcPr/>
          <w:p>
            <w:pPr>
              <w:pStyle w:val="Compact"/>
            </w:pPr>
            <w:r>
              <w:t xml:space="preserve">Tier</w:t>
            </w:r>
          </w:p>
        </w:tc>
        <w:tc>
          <w:tcPr/>
          <w:p>
            <w:pPr>
              <w:pStyle w:val="Compact"/>
            </w:pPr>
            <w:r>
              <w:t xml:space="preserve">Sources</w:t>
            </w:r>
          </w:p>
        </w:tc>
        <w:tc>
          <w:tcPr/>
          <w:p>
            <w:pPr>
              <w:pStyle w:val="Compact"/>
            </w:pPr>
            <w:r>
              <w:t xml:space="preserve">Rules</w:t>
            </w:r>
          </w:p>
        </w:tc>
        <w:tc>
          <w:tcPr/>
          <w:p>
            <w:pPr>
              <w:pStyle w:val="Compact"/>
            </w:pPr>
            <w:r>
              <w:t xml:space="preserve">Instances</w:t>
            </w:r>
          </w:p>
        </w:tc>
      </w:tr>
      <w:tr>
        <w:tc>
          <w:tcPr/>
          <w:p>
            <w:pPr>
              <w:pStyle w:val="Compact"/>
            </w:pPr>
            <w:r>
              <w:t xml:space="preserve">0 (baseline)</w:t>
            </w:r>
          </w:p>
        </w:tc>
        <w:tc>
          <w:tcPr/>
          <w:p>
            <w:pPr>
              <w:pStyle w:val="Compact"/>
            </w:pPr>
            <w:r>
              <w:t xml:space="preserve">YAGO, WordNet, LKIF, MatOnto</w:t>
            </w:r>
          </w:p>
        </w:tc>
        <w:tc>
          <w:tcPr/>
          <w:p>
            <w:pPr>
              <w:pStyle w:val="Compact"/>
            </w:pPr>
            <w:r>
              <w:t xml:space="preserve">2,318</w:t>
            </w:r>
          </w:p>
        </w:tc>
        <w:tc>
          <w:tcPr/>
          <w:p>
            <w:pPr>
              <w:pStyle w:val="Compact"/>
            </w:pPr>
            <w:r>
              <w:t xml:space="preserve">409</w:t>
            </w:r>
          </w:p>
        </w:tc>
      </w:tr>
      <w:tr>
        <w:tc>
          <w:tcPr/>
          <w:p>
            <w:pPr>
              <w:pStyle w:val="Compact"/>
            </w:pPr>
            <w:r>
              <w:t xml:space="preserve">1 (cross-ontology)</w:t>
            </w:r>
          </w:p>
        </w:tc>
        <w:tc>
          <w:tcPr/>
          <w:p>
            <w:pPr>
              <w:pStyle w:val="Compact"/>
            </w:pPr>
            <w:r>
              <w:t xml:space="preserve">OpenCyc + ConceptNet</w:t>
            </w:r>
          </w:p>
        </w:tc>
        <w:tc>
          <w:tcPr/>
          <w:p>
            <w:pPr>
              <w:pStyle w:val="Compact"/>
            </w:pPr>
            <w:r>
              <w:t xml:space="preserve">289,305</w:t>
            </w:r>
          </w:p>
        </w:tc>
        <w:tc>
          <w:tcPr/>
          <w:p>
            <w:pPr>
              <w:pStyle w:val="Compact"/>
            </w:pPr>
            <w:r>
              <w:t xml:space="preserve">324,511</w:t>
            </w:r>
          </w:p>
        </w:tc>
      </w:tr>
      <w:tr>
        <w:tc>
          <w:tcPr/>
          <w:p>
            <w:pPr>
              <w:pStyle w:val="Compact"/>
            </w:pPr>
            <w:r>
              <w:t xml:space="preserve">2 (domain-specific)</w:t>
            </w:r>
          </w:p>
        </w:tc>
        <w:tc>
          <w:tcPr/>
          <w:p>
            <w:pPr>
              <w:pStyle w:val="Compact"/>
            </w:pPr>
            <w:r>
              <w:t xml:space="preserve">GO, MeSH, SUMO, FrameNet, Wikidata</w:t>
            </w:r>
          </w:p>
        </w:tc>
        <w:tc>
          <w:tcPr/>
          <w:p>
            <w:pPr>
              <w:pStyle w:val="Compact"/>
            </w:pPr>
            <w:r>
              <w:t xml:space="preserve">535,565</w:t>
            </w:r>
          </w:p>
        </w:tc>
        <w:tc>
          <w:tcPr/>
          <w:p>
            <w:pPr>
              <w:pStyle w:val="Compact"/>
            </w:pPr>
            <w:r>
              <w:t xml:space="preserve">31,477</w:t>
            </w:r>
          </w:p>
        </w:tc>
      </w:tr>
      <w:tr>
        <w:tc>
          <w:tcPr/>
          <w:p>
            <w:pPr>
              <w:pStyle w:val="Compact"/>
            </w:pPr>
            <w:r>
              <w:t xml:space="preserve">2+ (biomedical)</w:t>
            </w:r>
          </w:p>
        </w:tc>
        <w:tc>
          <w:tcPr/>
          <w:p>
            <w:pPr>
              <w:pStyle w:val="Compact"/>
            </w:pPr>
            <w:r>
              <w:t xml:space="preserve">UMLS 2025AB</w:t>
            </w:r>
          </w:p>
        </w:tc>
        <w:tc>
          <w:tcPr/>
          <w:p>
            <w:pPr>
              <w:pStyle w:val="Compact"/>
            </w:pPr>
            <w:r>
              <w:t xml:space="preserve">29,465,582</w:t>
            </w:r>
          </w:p>
        </w:tc>
        <w:tc>
          <w:tcPr/>
          <w:p>
            <w:pPr>
              <w:pStyle w:val="Compact"/>
            </w:pPr>
            <w:r>
              <w:t xml:space="preserve">13,425</w:t>
            </w:r>
          </w:p>
        </w:tc>
      </w:tr>
      <w:tr>
        <w:tc>
          <w:tcPr/>
          <w:p>
            <w:pPr>
              <w:pStyle w:val="Compact"/>
            </w:pPr>
            <w:r>
              <w:t xml:space="preserve">3 (encyclopedic)</w:t>
            </w:r>
          </w:p>
        </w:tc>
        <w:tc>
          <w:tcPr/>
          <w:p>
            <w:pPr>
              <w:pStyle w:val="Compact"/>
            </w:pPr>
            <w:r>
              <w:t xml:space="preserve">YAGO 4.5 full</w:t>
            </w:r>
          </w:p>
        </w:tc>
        <w:tc>
          <w:tcPr/>
          <w:p>
            <w:pPr>
              <w:pStyle w:val="Compact"/>
            </w:pPr>
            <w:r>
              <w:t xml:space="preserve">3,457,940</w:t>
            </w:r>
          </w:p>
        </w:tc>
        <w:tc>
          <w:tcPr/>
          <w:p>
            <w:pPr>
              <w:pStyle w:val="Compact"/>
            </w:pPr>
            <w:r>
              <w:t xml:space="preserve">2,580</w:t>
            </w:r>
          </w:p>
        </w:tc>
      </w:tr>
      <w:tr>
        <w:tc>
          <w:tcPr/>
          <w:p>
            <w:pPr>
              <w:pStyle w:val="Compact"/>
            </w:pPr>
            <w:r>
              <w:rPr>
                <w:b/>
                <w:bCs/>
              </w:rPr>
              <w:t xml:space="preserve">Total</w:t>
            </w:r>
          </w:p>
        </w:tc>
        <w:tc>
          <w:tcPr/>
          <w:p>
            <w:pPr>
              <w:pStyle w:val="Compact"/>
            </w:pPr>
            <w:r>
              <w:rPr>
                <w:b/>
                <w:bCs/>
              </w:rPr>
              <w:t xml:space="preserve">15 sources</w:t>
            </w:r>
          </w:p>
        </w:tc>
        <w:tc>
          <w:tcPr/>
          <w:p>
            <w:pPr>
              <w:pStyle w:val="Compact"/>
            </w:pPr>
            <w:r>
              <w:rPr>
                <w:b/>
                <w:bCs/>
              </w:rPr>
              <w:t xml:space="preserve">33,750,710</w:t>
            </w:r>
          </w:p>
        </w:tc>
        <w:tc>
          <w:tcPr/>
          <w:p>
            <w:pPr>
              <w:pStyle w:val="Compact"/>
            </w:pPr>
            <w:r>
              <w:rPr>
                <w:b/>
                <w:bCs/>
              </w:rPr>
              <w:t xml:space="preserve">372,402</w:t>
            </w:r>
          </w:p>
        </w:tc>
      </w:tr>
    </w:tbl>
    <w:bookmarkEnd w:id="72"/>
    <w:bookmarkStart w:id="73" w:name="baseline-evaluation-results"/>
    <w:p>
      <w:pPr>
        <w:pStyle w:val="Heading3"/>
      </w:pPr>
      <w:r>
        <w:t xml:space="preserve">Baseline Evaluation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L2 Accuracy</w:t>
            </w:r>
          </w:p>
        </w:tc>
        <w:tc>
          <w:tcPr/>
          <w:p>
            <w:pPr>
              <w:pStyle w:val="Compact"/>
            </w:pPr>
            <w:r>
              <w:t xml:space="preserve">L3 Accuracy</w:t>
            </w:r>
          </w:p>
        </w:tc>
        <w:tc>
          <w:tcPr/>
          <w:p>
            <w:pPr>
              <w:pStyle w:val="Compact"/>
            </w:pPr>
            <w:r>
              <w:t xml:space="preserve">L3 CoT</w:t>
            </w:r>
          </w:p>
        </w:tc>
        <w:tc>
          <w:tcPr/>
          <w:p>
            <w:pPr>
              <w:pStyle w:val="Compact"/>
            </w:pPr>
            <w:r>
              <w:t xml:space="preserve">Rendering-Robust</w:t>
            </w:r>
          </w:p>
        </w:tc>
      </w:tr>
      <w:tr>
        <w:tc>
          <w:tcPr/>
          <w:p>
            <w:pPr>
              <w:pStyle w:val="Compact"/>
            </w:pPr>
            <w:r>
              <w:t xml:space="preserve">DeepSeek-R1</w:t>
            </w:r>
          </w:p>
        </w:tc>
        <w:tc>
          <w:tcPr/>
          <w:p>
            <w:pPr>
              <w:pStyle w:val="Compact"/>
            </w:pPr>
            <w:r>
              <w:t xml:space="preserve">73.7%</w:t>
            </w:r>
          </w:p>
        </w:tc>
        <w:tc>
          <w:tcPr/>
          <w:p>
            <w:pPr>
              <w:pStyle w:val="Compact"/>
            </w:pPr>
            <w:r>
              <w:t xml:space="preserve">65.0%</w:t>
            </w:r>
          </w:p>
        </w:tc>
        <w:tc>
          <w:tcPr/>
          <w:p>
            <w:pPr>
              <w:pStyle w:val="Compact"/>
            </w:pPr>
            <w:r>
              <w:t xml:space="preserve">92.9%</w:t>
            </w:r>
          </w:p>
        </w:tc>
        <w:tc>
          <w:tcPr/>
          <w:p>
            <w:pPr>
              <w:pStyle w:val="Compact"/>
            </w:pPr>
            <w:r>
              <w:t xml:space="preserve">23.5%</w:t>
            </w:r>
          </w:p>
        </w:tc>
      </w:tr>
      <w:tr>
        <w:tc>
          <w:tcPr/>
          <w:p>
            <w:pPr>
              <w:pStyle w:val="Compact"/>
            </w:pPr>
            <w:r>
              <w:t xml:space="preserve">GPT-5.2-chat</w:t>
            </w:r>
          </w:p>
        </w:tc>
        <w:tc>
          <w:tcPr/>
          <w:p>
            <w:pPr>
              <w:pStyle w:val="Compact"/>
            </w:pPr>
            <w:r>
              <w:t xml:space="preserve">78.5%</w:t>
            </w:r>
          </w:p>
        </w:tc>
        <w:tc>
          <w:tcPr/>
          <w:p>
            <w:pPr>
              <w:pStyle w:val="Compact"/>
            </w:pPr>
            <w:r>
              <w:t xml:space="preserve">47.5%</w:t>
            </w:r>
          </w:p>
        </w:tc>
        <w:tc>
          <w:tcPr/>
          <w:p>
            <w:pPr>
              <w:pStyle w:val="Compact"/>
            </w:pPr>
            <w:r>
              <w:t xml:space="preserve">87.1%</w:t>
            </w:r>
          </w:p>
        </w:tc>
        <w:tc>
          <w:tcPr/>
          <w:p>
            <w:pPr>
              <w:pStyle w:val="Compact"/>
            </w:pPr>
            <w:r>
              <w:t xml:space="preserve">9.1%</w:t>
            </w:r>
          </w:p>
        </w:tc>
      </w:tr>
      <w:tr>
        <w:tc>
          <w:tcPr/>
          <w:p>
            <w:pPr>
              <w:pStyle w:val="Compact"/>
            </w:pPr>
            <w:r>
              <w:t xml:space="preserve">Claude Sonnet 4.6</w:t>
            </w:r>
          </w:p>
        </w:tc>
        <w:tc>
          <w:tcPr/>
          <w:p>
            <w:pPr>
              <w:pStyle w:val="Compact"/>
            </w:pPr>
            <w:r>
              <w:t xml:space="preserve">79.3%</w:t>
            </w:r>
          </w:p>
        </w:tc>
        <w:tc>
          <w:tcPr/>
          <w:p>
            <w:pPr>
              <w:pStyle w:val="Compact"/>
            </w:pPr>
            <w:r>
              <w:t xml:space="preserve">23.6%</w:t>
            </w:r>
          </w:p>
        </w:tc>
        <w:tc>
          <w:tcPr/>
          <w:p>
            <w:pPr>
              <w:pStyle w:val="Compact"/>
            </w:pPr>
            <w:r>
              <w:t xml:space="preserve">9.3%</w:t>
            </w:r>
          </w:p>
        </w:tc>
        <w:tc>
          <w:tcPr/>
          <w:p>
            <w:pPr>
              <w:pStyle w:val="Compact"/>
            </w:pPr>
            <w:r>
              <w:t xml:space="preserve">15.5%</w:t>
            </w:r>
          </w:p>
        </w:tc>
      </w:tr>
      <w:tr>
        <w:tc>
          <w:tcPr/>
          <w:p>
            <w:pPr>
              <w:pStyle w:val="Compact"/>
            </w:pPr>
            <w:r>
              <w:t xml:space="preserve">Kimi-K2.5</w:t>
            </w:r>
          </w:p>
        </w:tc>
        <w:tc>
          <w:tcPr/>
          <w:p>
            <w:pPr>
              <w:pStyle w:val="Compact"/>
            </w:pPr>
            <w:r>
              <w:t xml:space="preserve">71.9%</w:t>
            </w:r>
          </w:p>
        </w:tc>
        <w:tc>
          <w:tcPr/>
          <w:p>
            <w:pPr>
              <w:pStyle w:val="Compact"/>
            </w:pPr>
            <w:r>
              <w:t xml:space="preserve">14.2%</w:t>
            </w:r>
          </w:p>
        </w:tc>
        <w:tc>
          <w:tcPr/>
          <w:p>
            <w:pPr>
              <w:pStyle w:val="Compact"/>
            </w:pPr>
            <w:r>
              <w:t xml:space="preserve">27.6%</w:t>
            </w:r>
          </w:p>
        </w:tc>
        <w:tc>
          <w:tcPr/>
          <w:p>
            <w:pPr>
              <w:pStyle w:val="Compact"/>
            </w:pPr>
            <w:r>
              <w:t xml:space="preserve">7.8%</w:t>
            </w:r>
          </w:p>
        </w:tc>
      </w:tr>
    </w:tbl>
    <w:bookmarkEnd w:id="73"/>
    <w:bookmarkStart w:id="74" w:name="biomedical-kb-extraction-status"/>
    <w:p>
      <w:pPr>
        <w:pStyle w:val="Heading3"/>
      </w:pPr>
      <w:r>
        <w:t xml:space="preserve">Biomedical KB Extraction Status</w:t>
      </w:r>
    </w:p>
    <w:tbl>
      <w:tblPr>
        <w:tblStyle w:val="Table"/>
        <w:tblW w:type="pct" w:w="5000"/>
        <w:tblLayout w:type="fixed"/>
        <w:tblLook w:firstRow="1" w:lastRow="0" w:firstColumn="0" w:lastColumn="0" w:noHBand="0" w:noVBand="0" w:val="0020"/>
      </w:tblPr>
      <w:tblGrid>
        <w:gridCol w:w="1473"/>
        <w:gridCol w:w="2946"/>
        <w:gridCol w:w="2026"/>
        <w:gridCol w:w="1473"/>
      </w:tblGrid>
      <w:tr>
        <w:trPr>
          <w:tblHeader w:val="on"/>
        </w:trPr>
        <w:tc>
          <w:tcPr/>
          <w:p>
            <w:pPr>
              <w:pStyle w:val="Compact"/>
            </w:pPr>
            <w:r>
              <w:t xml:space="preserve">Source</w:t>
            </w:r>
          </w:p>
        </w:tc>
        <w:tc>
          <w:tcPr/>
          <w:p>
            <w:pPr>
              <w:pStyle w:val="Compact"/>
            </w:pPr>
            <w:r>
              <w:t xml:space="preserve">Rules Extracted</w:t>
            </w:r>
          </w:p>
        </w:tc>
        <w:tc>
          <w:tcPr/>
          <w:p>
            <w:pPr>
              <w:pStyle w:val="Compact"/>
            </w:pPr>
            <w:r>
              <w:t xml:space="preserve">Defeaters</w:t>
            </w:r>
          </w:p>
        </w:tc>
        <w:tc>
          <w:tcPr/>
          <w:p>
            <w:pPr>
              <w:pStyle w:val="Compact"/>
            </w:pPr>
            <w:r>
              <w:t xml:space="preserve">Status</w:t>
            </w:r>
          </w:p>
        </w:tc>
      </w:tr>
      <w:tr>
        <w:tc>
          <w:tcPr/>
          <w:p>
            <w:pPr>
              <w:pStyle w:val="Compact"/>
            </w:pPr>
            <w:r>
              <w:t xml:space="preserve">Gene Ontology</w:t>
            </w:r>
          </w:p>
        </w:tc>
        <w:tc>
          <w:tcPr/>
          <w:p>
            <w:pPr>
              <w:pStyle w:val="Compact"/>
            </w:pPr>
            <w:r>
              <w:t xml:space="preserve">409,378</w:t>
            </w:r>
          </w:p>
        </w:tc>
        <w:tc>
          <w:tcPr/>
          <w:p>
            <w:pPr>
              <w:pStyle w:val="Compact"/>
            </w:pPr>
            <w:r>
              <w:t xml:space="preserve">1,250 (NOT-qualifiers)</w:t>
            </w:r>
          </w:p>
        </w:tc>
        <w:tc>
          <w:tcPr/>
          <w:p>
            <w:pPr>
              <w:pStyle w:val="Compact"/>
            </w:pPr>
            <w:r>
              <w:t xml:space="preserve">Operational</w:t>
            </w:r>
          </w:p>
        </w:tc>
      </w:tr>
      <w:tr>
        <w:tc>
          <w:tcPr/>
          <w:p>
            <w:pPr>
              <w:pStyle w:val="Compact"/>
            </w:pPr>
            <w:r>
              <w:t xml:space="preserve">UMLS 2025AB</w:t>
            </w:r>
          </w:p>
        </w:tc>
        <w:tc>
          <w:tcPr/>
          <w:p>
            <w:pPr>
              <w:pStyle w:val="Compact"/>
            </w:pPr>
            <w:r>
              <w:t xml:space="preserve">29,465,582</w:t>
            </w:r>
          </w:p>
        </w:tc>
        <w:tc>
          <w:tcPr/>
          <w:p>
            <w:pPr>
              <w:pStyle w:val="Compact"/>
            </w:pPr>
            <w:r>
              <w:t xml:space="preserve">Pending (inter-vocabulary)</w:t>
            </w:r>
          </w:p>
        </w:tc>
        <w:tc>
          <w:tcPr/>
          <w:p>
            <w:pPr>
              <w:pStyle w:val="Compact"/>
            </w:pPr>
            <w:r>
              <w:t xml:space="preserve">Extractor implemented</w:t>
            </w:r>
          </w:p>
        </w:tc>
      </w:tr>
      <w:tr>
        <w:tc>
          <w:tcPr/>
          <w:p>
            <w:pPr>
              <w:pStyle w:val="Compact"/>
            </w:pPr>
            <w:r>
              <w:t xml:space="preserve">SNOMED CT</w:t>
            </w:r>
          </w:p>
        </w:tc>
        <w:tc>
          <w:tcPr/>
          <w:p>
            <w:pPr>
              <w:pStyle w:val="Compact"/>
            </w:pPr>
            <w:r>
              <w:t xml:space="preserve">360K+ concepts</w:t>
            </w:r>
          </w:p>
        </w:tc>
        <w:tc>
          <w:tcPr/>
          <w:p>
            <w:pPr>
              <w:pStyle w:val="Compact"/>
            </w:pPr>
            <w:r>
              <w:t xml:space="preserve">Pending (GCI axioms)</w:t>
            </w:r>
          </w:p>
        </w:tc>
        <w:tc>
          <w:tcPr/>
          <w:p>
            <w:pPr>
              <w:pStyle w:val="Compact"/>
            </w:pPr>
            <w:r>
              <w:t xml:space="preserve">Extractor implemented</w:t>
            </w:r>
          </w:p>
        </w:tc>
      </w:tr>
      <w:tr>
        <w:tc>
          <w:tcPr/>
          <w:p>
            <w:pPr>
              <w:pStyle w:val="Compact"/>
            </w:pPr>
            <w:r>
              <w:t xml:space="preserve">MeSH</w:t>
            </w:r>
          </w:p>
        </w:tc>
        <w:tc>
          <w:tcPr/>
          <w:p>
            <w:pPr>
              <w:pStyle w:val="Compact"/>
            </w:pPr>
            <w:r>
              <w:t xml:space="preserve">76,650</w:t>
            </w:r>
          </w:p>
        </w:tc>
        <w:tc>
          <w:tcPr/>
          <w:p>
            <w:pPr>
              <w:pStyle w:val="Compact"/>
            </w:pPr>
            <w:r>
              <w:t xml:space="preserve">N/A (taxonomy only)</w:t>
            </w:r>
          </w:p>
        </w:tc>
        <w:tc>
          <w:tcPr/>
          <w:p>
            <w:pPr>
              <w:pStyle w:val="Compact"/>
            </w:pPr>
            <w:r>
              <w:t xml:space="preserve">Operational</w:t>
            </w:r>
          </w:p>
        </w:tc>
      </w:tr>
    </w:tbl>
    <w:bookmarkEnd w:id="74"/>
    <w:bookmarkStart w:id="75" w:name="defeater-sources-biomedical"/>
    <w:p>
      <w:pPr>
        <w:pStyle w:val="Heading3"/>
      </w:pPr>
      <w:r>
        <w:t xml:space="preserve">Defeater Sources (Biomedical)</w:t>
      </w:r>
    </w:p>
    <w:tbl>
      <w:tblPr>
        <w:tblStyle w:val="Table"/>
        <w:tblW w:type="pct" w:w="5000"/>
        <w:tblLayout w:type="fixed"/>
        <w:tblLook w:firstRow="1" w:lastRow="0" w:firstColumn="0" w:lastColumn="0" w:noHBand="0" w:noVBand="0" w:val="0020"/>
      </w:tblPr>
      <w:tblGrid>
        <w:gridCol w:w="1408"/>
        <w:gridCol w:w="1936"/>
        <w:gridCol w:w="2992"/>
        <w:gridCol w:w="1584"/>
      </w:tblGrid>
      <w:tr>
        <w:trPr>
          <w:tblHeader w:val="on"/>
        </w:trPr>
        <w:tc>
          <w:tcPr/>
          <w:p>
            <w:pPr>
              <w:pStyle w:val="Compact"/>
            </w:pPr>
            <w:r>
              <w:t xml:space="preserve">Source</w:t>
            </w:r>
          </w:p>
        </w:tc>
        <w:tc>
          <w:tcPr/>
          <w:p>
            <w:pPr>
              <w:pStyle w:val="Compact"/>
            </w:pPr>
            <w:r>
              <w:t xml:space="preserve">Mechanism</w:t>
            </w:r>
          </w:p>
        </w:tc>
        <w:tc>
          <w:tcPr/>
          <w:p>
            <w:pPr>
              <w:pStyle w:val="Compact"/>
            </w:pPr>
            <w:r>
              <w:t xml:space="preserve">Estimated Count</w:t>
            </w:r>
          </w:p>
        </w:tc>
        <w:tc>
          <w:tcPr/>
          <w:p>
            <w:pPr>
              <w:pStyle w:val="Compact"/>
            </w:pPr>
            <w:r>
              <w:t xml:space="preserve">Quality</w:t>
            </w:r>
          </w:p>
        </w:tc>
      </w:tr>
      <w:tr>
        <w:tc>
          <w:tcPr/>
          <w:p>
            <w:pPr>
              <w:pStyle w:val="Compact"/>
            </w:pPr>
            <w:r>
              <w:t xml:space="preserve">GO NOT-qualifiers</w:t>
            </w:r>
          </w:p>
        </w:tc>
        <w:tc>
          <w:tcPr/>
          <w:p>
            <w:pPr>
              <w:pStyle w:val="Compact"/>
            </w:pPr>
            <w:r>
              <w:t xml:space="preserve">Experimental non-function</w:t>
            </w:r>
          </w:p>
        </w:tc>
        <w:tc>
          <w:tcPr/>
          <w:p>
            <w:pPr>
              <w:pStyle w:val="Compact"/>
            </w:pPr>
            <w:r>
              <w:t xml:space="preserve">10K-50K</w:t>
            </w:r>
          </w:p>
        </w:tc>
        <w:tc>
          <w:tcPr/>
          <w:p>
            <w:pPr>
              <w:pStyle w:val="Compact"/>
            </w:pPr>
            <w:r>
              <w:t xml:space="preserve">Very High</w:t>
            </w:r>
          </w:p>
        </w:tc>
      </w:tr>
      <w:tr>
        <w:tc>
          <w:tcPr/>
          <w:p>
            <w:pPr>
              <w:pStyle w:val="Compact"/>
            </w:pPr>
            <w:r>
              <w:t xml:space="preserve">UMLS inter-vocabulary</w:t>
            </w:r>
          </w:p>
        </w:tc>
        <w:tc>
          <w:tcPr/>
          <w:p>
            <w:pPr>
              <w:pStyle w:val="Compact"/>
            </w:pPr>
            <w:r>
              <w:t xml:space="preserve">Cross-vocabulary conflicts</w:t>
            </w:r>
          </w:p>
        </w:tc>
        <w:tc>
          <w:tcPr/>
          <w:p>
            <w:pPr>
              <w:pStyle w:val="Compact"/>
            </w:pPr>
            <w:r>
              <w:t xml:space="preserve">50K-200K</w:t>
            </w:r>
          </w:p>
        </w:tc>
        <w:tc>
          <w:tcPr/>
          <w:p>
            <w:pPr>
              <w:pStyle w:val="Compact"/>
            </w:pPr>
            <w:r>
              <w:t xml:space="preserve">High</w:t>
            </w:r>
          </w:p>
        </w:tc>
      </w:tr>
      <w:tr>
        <w:tc>
          <w:tcPr/>
          <w:p>
            <w:pPr>
              <w:pStyle w:val="Compact"/>
            </w:pPr>
            <w:r>
              <w:t xml:space="preserve">SNOMED GCI exceptions</w:t>
            </w:r>
          </w:p>
        </w:tc>
        <w:tc>
          <w:tcPr/>
          <w:p>
            <w:pPr>
              <w:pStyle w:val="Compact"/>
            </w:pPr>
            <w:r>
              <w:t xml:space="preserve">OWL necessary condition</w:t>
            </w:r>
          </w:p>
        </w:tc>
        <w:tc>
          <w:tcPr/>
          <w:p>
            <w:pPr>
              <w:pStyle w:val="Compact"/>
            </w:pPr>
            <w:r>
              <w:t xml:space="preserve">20K-80K</w:t>
            </w:r>
          </w:p>
        </w:tc>
        <w:tc>
          <w:tcPr/>
          <w:p>
            <w:pPr>
              <w:pStyle w:val="Compact"/>
            </w:pPr>
            <w:r>
              <w:t xml:space="preserve">Very High</w:t>
            </w:r>
          </w:p>
        </w:tc>
      </w:tr>
      <w:tr>
        <w:tc>
          <w:tcPr/>
          <w:p>
            <w:pPr>
              <w:pStyle w:val="Compact"/>
            </w:pPr>
            <w:r>
              <w:t xml:space="preserve">Wikidata P2303</w:t>
            </w:r>
          </w:p>
        </w:tc>
        <w:tc>
          <w:tcPr/>
          <w:p>
            <w:pPr>
              <w:pStyle w:val="Compact"/>
            </w:pPr>
            <w:r>
              <w:t xml:space="preserve">Community-curated exceptions</w:t>
            </w:r>
          </w:p>
        </w:tc>
        <w:tc>
          <w:tcPr/>
          <w:p>
            <w:pPr>
              <w:pStyle w:val="Compact"/>
            </w:pPr>
            <w:r>
              <w:t xml:space="preserve">10K-100K</w:t>
            </w:r>
          </w:p>
        </w:tc>
        <w:tc>
          <w:tcPr/>
          <w:p>
            <w:pPr>
              <w:pStyle w:val="Compact"/>
            </w:pPr>
            <w:r>
              <w:t xml:space="preserve">Very High</w:t>
            </w:r>
          </w:p>
        </w:tc>
      </w:tr>
    </w:tbl>
    <w:bookmarkEnd w:id="75"/>
    <w:bookmarkStart w:id="76" w:name="key-related-work-differentiation"/>
    <w:p>
      <w:pPr>
        <w:pStyle w:val="Heading3"/>
      </w:pPr>
      <w:r>
        <w:t xml:space="preserve">Key Related Work (Differentiation)</w:t>
      </w:r>
    </w:p>
    <w:tbl>
      <w:tblPr>
        <w:tblStyle w:val="Table"/>
        <w:tblW w:type="pct" w:w="5000"/>
        <w:tblLayout w:type="fixed"/>
        <w:tblLook w:firstRow="1" w:lastRow="0" w:firstColumn="0" w:lastColumn="0" w:noHBand="0" w:noVBand="0" w:val="0020"/>
      </w:tblPr>
      <w:tblGrid>
        <w:gridCol w:w="2124"/>
        <w:gridCol w:w="2704"/>
        <w:gridCol w:w="3090"/>
      </w:tblGrid>
      <w:tr>
        <w:trPr>
          <w:tblHeader w:val="on"/>
        </w:trPr>
        <w:tc>
          <w:tcPr/>
          <w:p>
            <w:pPr>
              <w:pStyle w:val="Compact"/>
            </w:pPr>
            <w:r>
              <w:t xml:space="preserve">Benchmark</w:t>
            </w:r>
          </w:p>
        </w:tc>
        <w:tc>
          <w:tcPr/>
          <w:p>
            <w:pPr>
              <w:pStyle w:val="Compact"/>
            </w:pPr>
            <w:r>
              <w:t xml:space="preserve">What It Tests</w:t>
            </w:r>
          </w:p>
        </w:tc>
        <w:tc>
          <w:tcPr/>
          <w:p>
            <w:pPr>
              <w:pStyle w:val="Compact"/>
            </w:pPr>
            <w:r>
              <w:t xml:space="preserve">What DeFAb Adds</w:t>
            </w:r>
          </w:p>
        </w:tc>
      </w:tr>
      <w:tr>
        <w:tc>
          <w:tcPr/>
          <w:p>
            <w:pPr>
              <w:pStyle w:val="Compact"/>
            </w:pPr>
            <w:r>
              <w:t xml:space="preserve">MedQA / PubMedQA</w:t>
            </w:r>
          </w:p>
        </w:tc>
        <w:tc>
          <w:tcPr/>
          <w:p>
            <w:pPr>
              <w:pStyle w:val="Compact"/>
            </w:pPr>
            <w:r>
              <w:t xml:space="preserve">Biomedical fact retrieval</w:t>
            </w:r>
          </w:p>
        </w:tc>
        <w:tc>
          <w:tcPr/>
          <w:p>
            <w:pPr>
              <w:pStyle w:val="Compact"/>
            </w:pPr>
            <w:r>
              <w:t xml:space="preserve">Exception construction, not retrieval</w:t>
            </w:r>
          </w:p>
        </w:tc>
      </w:tr>
      <w:tr>
        <w:tc>
          <w:tcPr/>
          <w:p>
            <w:pPr>
              <w:pStyle w:val="Compact"/>
            </w:pPr>
            <w:r>
              <w:t xml:space="preserve">DEFREASING</w:t>
            </w:r>
          </w:p>
        </w:tc>
        <w:tc>
          <w:tcPr/>
          <w:p>
            <w:pPr>
              <w:pStyle w:val="Compact"/>
            </w:pPr>
            <w:r>
              <w:t xml:space="preserve">Defeasible property inheritance (classification)</w:t>
            </w:r>
          </w:p>
        </w:tc>
        <w:tc>
          <w:tcPr/>
          <w:p>
            <w:pPr>
              <w:pStyle w:val="Compact"/>
            </w:pPr>
            <w:r>
              <w:t xml:space="preserve">Exception rule construction + conservativity verification</w:t>
            </w:r>
          </w:p>
        </w:tc>
      </w:tr>
      <w:tr>
        <w:tc>
          <w:tcPr/>
          <w:p>
            <w:pPr>
              <w:pStyle w:val="Compact"/>
            </w:pPr>
            <w:r>
              <w:t xml:space="preserve">CUREBench</w:t>
            </w:r>
          </w:p>
        </w:tc>
        <w:tc>
          <w:tcPr/>
          <w:p>
            <w:pPr>
              <w:pStyle w:val="Compact"/>
            </w:pPr>
            <w:r>
              <w:t xml:space="preserve">Clinical reasoning + tool use</w:t>
            </w:r>
          </w:p>
        </w:tc>
        <w:tc>
          <w:tcPr/>
          <w:p>
            <w:pPr>
              <w:pStyle w:val="Compact"/>
            </w:pPr>
            <w:r>
              <w:t xml:space="preserve">Formal defeasible logic foundations</w:t>
            </w:r>
          </w:p>
        </w:tc>
      </w:tr>
      <w:tr>
        <w:tc>
          <w:tcPr/>
          <w:p>
            <w:pPr>
              <w:pStyle w:val="Compact"/>
            </w:pPr>
            <w:r>
              <w:t xml:space="preserve">CounterFact / ROME</w:t>
            </w:r>
          </w:p>
        </w:tc>
        <w:tc>
          <w:tcPr/>
          <w:p>
            <w:pPr>
              <w:pStyle w:val="Compact"/>
            </w:pPr>
            <w:r>
              <w:t xml:space="preserve">Knowledge editing</w:t>
            </w:r>
          </w:p>
        </w:tc>
        <w:tc>
          <w:tcPr/>
          <w:p>
            <w:pPr>
              <w:pStyle w:val="Compact"/>
            </w:pPr>
            <w:r>
              <w:t xml:space="preserve">Conservativity verification (AGM minimal change)</w:t>
            </w:r>
          </w:p>
        </w:tc>
      </w:tr>
    </w:tbl>
    <w:bookmarkEnd w:id="76"/>
    <w:bookmarkStart w:id="77" w:name="google-ai-principles-alignment"/>
    <w:p>
      <w:pPr>
        <w:pStyle w:val="Heading3"/>
      </w:pPr>
      <w:r>
        <w:t xml:space="preserve">Google AI Principles Alignment</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Principle</w:t>
            </w:r>
          </w:p>
        </w:tc>
        <w:tc>
          <w:tcPr/>
          <w:p>
            <w:pPr>
              <w:pStyle w:val="Compact"/>
            </w:pPr>
            <w:r>
              <w:t xml:space="preserve">DeFAb-Health Alignment</w:t>
            </w:r>
          </w:p>
        </w:tc>
      </w:tr>
      <w:tr>
        <w:tc>
          <w:tcPr/>
          <w:p>
            <w:pPr>
              <w:pStyle w:val="Compact"/>
            </w:pPr>
            <w:r>
              <w:t xml:space="preserve">Bold Innovation</w:t>
            </w:r>
          </w:p>
        </w:tc>
        <w:tc>
          <w:tcPr/>
          <w:p>
            <w:pPr>
              <w:pStyle w:val="Compact"/>
            </w:pPr>
            <w:r>
              <w:t xml:space="preserve">First formal benchmark for exception-aware biomedical AI reasoning</w:t>
            </w:r>
          </w:p>
        </w:tc>
      </w:tr>
      <w:tr>
        <w:tc>
          <w:tcPr/>
          <w:p>
            <w:pPr>
              <w:pStyle w:val="Compact"/>
            </w:pPr>
            <w:r>
              <w:t xml:space="preserve">Responsible Development</w:t>
            </w:r>
          </w:p>
        </w:tc>
        <w:tc>
          <w:tcPr/>
          <w:p>
            <w:pPr>
              <w:pStyle w:val="Compact"/>
            </w:pPr>
            <w:r>
              <w:t xml:space="preserve">Polynomial-time verifiable gold standards; conservativity testing</w:t>
            </w:r>
          </w:p>
        </w:tc>
      </w:tr>
      <w:tr>
        <w:tc>
          <w:tcPr/>
          <w:p>
            <w:pPr>
              <w:pStyle w:val="Compact"/>
            </w:pPr>
            <w:r>
              <w:t xml:space="preserve">Collaborative Progress</w:t>
            </w:r>
          </w:p>
        </w:tc>
        <w:tc>
          <w:tcPr/>
          <w:p>
            <w:pPr>
              <w:pStyle w:val="Compact"/>
            </w:pPr>
            <w:r>
              <w:t xml:space="preserve">All outputs open-source; domain-agnostic pipeline</w:t>
            </w:r>
          </w:p>
        </w:tc>
      </w:tr>
    </w:tbl>
    <w:p>
      <w:r>
        <w:pict>
          <v:rect style="width:0;height:1.5pt" o:hralign="center" o:hrstd="t" o:hr="t"/>
        </w:pict>
      </w:r>
    </w:p>
    <w:bookmarkEnd w:id="77"/>
    <w:bookmarkEnd w:id="78"/>
    <w:bookmarkStart w:id="84" w:name="X5431bd8fd7c1d9fa304f1f2c021335d2c7479f0"/>
    <w:p>
      <w:pPr>
        <w:pStyle w:val="Heading2"/>
      </w:pPr>
      <w:r>
        <w:t xml:space="preserve">Appendix: Extended Vision: Beyond the 36-Month Horizon</w:t>
      </w:r>
    </w:p>
    <w:bookmarkStart w:id="79" w:name="X6ed34ef8a63323c10d6ba93007f708521dfa0ef"/>
    <w:p>
      <w:pPr>
        <w:pStyle w:val="Heading3"/>
      </w:pPr>
      <w:r>
        <w:t xml:space="preserve">From Dormant Knowledge to Active Intelligence</w:t>
      </w:r>
    </w:p>
    <w:p>
      <w:pPr>
        <w:pStyle w:val="FirstParagraph"/>
      </w:pPr>
      <w:r>
        <w:t xml:space="preserve">The biomedical knowledge bases funded by NIH, NSF, DARPA, and the EU represent one of the largest sustained public investments in structured scientific knowledge ever undertaken. UMLS alone integrates 189 source vocabularies maintained by institutions across dozens of countries. The Gene Ontology Consortium coordinates annotations from hundreds of research groups worldwide. SNOMED CT encodes the clinical vocabulary of 40+ national health systems.</w:t>
      </w:r>
    </w:p>
    <w:p>
      <w:pPr>
        <w:pStyle w:val="BodyText"/>
      </w:pPr>
      <w:r>
        <w:t xml:space="preserve">These resources were built for machine reasoning, but the AI of their era could not deliver on that promise. The symbolic systems of the 1980s and 1990s lacked the scale and flexibility to exploit what the knowledge engineers had built. The statistical systems that replaced them had scale and flexibility but discarded the structured reasoning that made these knowledge bases valuable in the first place.</w:t>
      </w:r>
    </w:p>
    <w:p>
      <w:pPr>
        <w:pStyle w:val="BodyText"/>
      </w:pPr>
      <w:r>
        <w:t xml:space="preserve">Foundation models change this equation. For the first time, AI systems have both the representational capacity to process millions of rules and the generative capability to construct novel hypotheses. What they lack is the formal machinery for exception-aware reasoning: the ability to identify when a default rule fails, construct the appropriate override, and verify that unrelated knowledge is preserved. DeFAb-Health provides this machinery, connecting the structured exception knowledge already encoded in public ontologies to the training infrastructure that modern foundation models require.</w:t>
      </w:r>
    </w:p>
    <w:p>
      <w:pPr>
        <w:pStyle w:val="BodyText"/>
      </w:pPr>
      <w:r>
        <w:t xml:space="preserve">This is not a new idea applied to old data. It is the original vision of these knowledge bases, finally realizable at scale.</w:t>
      </w:r>
    </w:p>
    <w:bookmarkEnd w:id="79"/>
    <w:bookmarkStart w:id="80" w:name="Xa3b9e8c149738bde5385fc057c66b262065e6a4"/>
    <w:p>
      <w:pPr>
        <w:pStyle w:val="Heading3"/>
      </w:pPr>
      <w:r>
        <w:t xml:space="preserve">Defeasible Reasoning as Clinical Infrastructure</w:t>
      </w:r>
    </w:p>
    <w:p>
      <w:pPr>
        <w:pStyle w:val="FirstParagraph"/>
      </w:pPr>
      <w:r>
        <w:t xml:space="preserve">Clinical reasoning operates on defaults and exceptions.</w:t>
      </w:r>
      <w:r>
        <w:t xml:space="preserve"> </w:t>
      </w:r>
      <w:r>
        <w:t xml:space="preserve">“ACE inhibitors treat hypertension”</w:t>
      </w:r>
      <w:r>
        <w:t xml:space="preserve"> </w:t>
      </w:r>
      <w:r>
        <w:t xml:space="preserve">is a default.</w:t>
      </w:r>
      <w:r>
        <w:t xml:space="preserve"> </w:t>
      </w:r>
      <w:r>
        <w:t xml:space="preserve">“Unless the patient has bilateral renal artery stenosis”</w:t>
      </w:r>
      <w:r>
        <w:t xml:space="preserve"> </w:t>
      </w:r>
      <w:r>
        <w:t xml:space="preserve">is an exception.</w:t>
      </w:r>
      <w:r>
        <w:t xml:space="preserve"> </w:t>
      </w:r>
      <w:r>
        <w:t xml:space="preserve">“Fever suggests infection”</w:t>
      </w:r>
      <w:r>
        <w:t xml:space="preserve"> </w:t>
      </w:r>
      <w:r>
        <w:t xml:space="preserve">is a default.</w:t>
      </w:r>
      <w:r>
        <w:t xml:space="preserve"> </w:t>
      </w:r>
      <w:r>
        <w:t xml:space="preserve">“Unless the clinical picture matches autoimmune flare”</w:t>
      </w:r>
      <w:r>
        <w:t xml:space="preserve"> </w:t>
      </w:r>
      <w:r>
        <w:t xml:space="preserve">is an exception. Every clinical decision involves weighing general knowledge against patient-specific evidence and revising conclusions when warranted, while preserving unrelated assessments.</w:t>
      </w:r>
    </w:p>
    <w:p>
      <w:pPr>
        <w:pStyle w:val="BodyText"/>
      </w:pPr>
      <w:r>
        <w:t xml:space="preserve">Current AI systems lack formal mechanisms for this reasoning pattern. They produce outputs with no structured support for:</w:t>
      </w:r>
    </w:p>
    <w:p>
      <w:pPr>
        <w:pStyle w:val="Compact"/>
        <w:numPr>
          <w:ilvl w:val="0"/>
          <w:numId w:val="1009"/>
        </w:numPr>
      </w:pPr>
      <w:r>
        <w:rPr>
          <w:b/>
          <w:bCs/>
        </w:rPr>
        <w:t xml:space="preserve">Traceability</w:t>
      </w:r>
      <w:r>
        <w:t xml:space="preserve">: Which specific rules and evidence support this conclusion?</w:t>
      </w:r>
    </w:p>
    <w:p>
      <w:pPr>
        <w:pStyle w:val="Compact"/>
        <w:numPr>
          <w:ilvl w:val="0"/>
          <w:numId w:val="1009"/>
        </w:numPr>
      </w:pPr>
      <w:r>
        <w:rPr>
          <w:b/>
          <w:bCs/>
        </w:rPr>
        <w:t xml:space="preserve">Revisability</w:t>
      </w:r>
      <w:r>
        <w:t xml:space="preserve">: Which of those supporting beliefs are defaults that could be overridden?</w:t>
      </w:r>
    </w:p>
    <w:p>
      <w:pPr>
        <w:pStyle w:val="Compact"/>
        <w:numPr>
          <w:ilvl w:val="0"/>
          <w:numId w:val="1009"/>
        </w:numPr>
      </w:pPr>
      <w:r>
        <w:rPr>
          <w:b/>
          <w:bCs/>
        </w:rPr>
        <w:t xml:space="preserve">Conservativity</w:t>
      </w:r>
      <w:r>
        <w:t xml:space="preserve">: If we revise one conclusion, do all unrelated conclusions remain intact?</w:t>
      </w:r>
    </w:p>
    <w:p>
      <w:pPr>
        <w:pStyle w:val="Compact"/>
        <w:numPr>
          <w:ilvl w:val="0"/>
          <w:numId w:val="1009"/>
        </w:numPr>
      </w:pPr>
      <w:r>
        <w:rPr>
          <w:b/>
          <w:bCs/>
        </w:rPr>
        <w:t xml:space="preserve">Accountability</w:t>
      </w:r>
      <w:r>
        <w:t xml:space="preserve">: Can a third party independently verify that the reasoning was sound?</w:t>
      </w:r>
    </w:p>
    <w:p>
      <w:pPr>
        <w:pStyle w:val="FirstParagraph"/>
      </w:pPr>
      <w:r>
        <w:t xml:space="preserve">DeFAb provides polynomial-time computable answers to all four questions. For diagnostic AI, this means the system can identify that a default rule has a specific exception, trace that exception to its evidential basis in a knowledge base, and revise the conclusion while preserving everything else it knows about the patient. For clinical decision support, it means the reasoning is auditable: a proof tree, not a probability score. For regulatory compliance, it means conservativity is verifiable as a mathematical property, not a statistical estimate.</w:t>
      </w:r>
    </w:p>
    <w:bookmarkEnd w:id="80"/>
    <w:bookmarkStart w:id="81" w:name="X618a642b79c344f6719185ac9395ce3fb8f1221"/>
    <w:p>
      <w:pPr>
        <w:pStyle w:val="Heading3"/>
      </w:pPr>
      <w:r>
        <w:t xml:space="preserve">Expanded Medical Dataset Integration Roadmap</w:t>
      </w:r>
    </w:p>
    <w:p>
      <w:pPr>
        <w:pStyle w:val="FirstParagraph"/>
      </w:pPr>
      <w:r>
        <w:t xml:space="preserve">The 36-month funded period covers the core biomedical ontologies (UMLS, SNOMED CT, Gene Ontology, MeSH). The pipeline’s ontology-agnostic architecture enables systematic expansion to the full landscape of medical knowledge bases where exceptions are clinically critical. Each source below maps naturally onto the defeasible framework: general rules from hierarchical structure, exceptions from documented overrides.</w:t>
      </w:r>
    </w:p>
    <w:p>
      <w:pPr>
        <w:pStyle w:val="BodyText"/>
      </w:pPr>
      <w:r>
        <w:rPr>
          <w:b/>
          <w:bCs/>
        </w:rPr>
        <w:t xml:space="preserve">[MEDICAL COLLABORATOR INPUT REQUESTED , Extended Datasets]</w:t>
      </w:r>
      <w:r>
        <w:t xml:space="preserve">: The dataset integration roadmap below represents our best assessment from the CS/AI side. Your input would be invaluable on: (a) which of these datasets you actually use in clinical practice or research, (b) which are most impactful for exception-aware reasoning from a clinical perspective, (c) any datasets we are missing that encode exceptions relevant to your specialty, (d) any datasets below that are lower priority than we think. Even a quick ranking (high/medium/low priority) across these categories would sharpen our roadmap.</w:t>
      </w:r>
    </w:p>
    <w:p>
      <w:pPr>
        <w:pStyle w:val="BodyText"/>
      </w:pPr>
      <w:r>
        <w:rPr>
          <w:b/>
          <w:bCs/>
        </w:rPr>
        <w:t xml:space="preserve">Rare Disease and Phenotype (Months 12-24)</w:t>
      </w:r>
    </w:p>
    <w:tbl>
      <w:tblPr>
        <w:tblStyle w:val="Table"/>
        <w:tblW w:type="pct" w:w="5000"/>
        <w:tblLayout w:type="fixed"/>
        <w:tblLook w:firstRow="1" w:lastRow="0" w:firstColumn="0" w:lastColumn="0" w:noHBand="0" w:noVBand="0" w:val="0020"/>
      </w:tblPr>
      <w:tblGrid>
        <w:gridCol w:w="1293"/>
        <w:gridCol w:w="1131"/>
        <w:gridCol w:w="3071"/>
        <w:gridCol w:w="2424"/>
      </w:tblGrid>
      <w:tr>
        <w:trPr>
          <w:tblHeader w:val="on"/>
        </w:trPr>
        <w:tc>
          <w:tcPr/>
          <w:p>
            <w:pPr>
              <w:pStyle w:val="Compact"/>
            </w:pPr>
            <w:r>
              <w:t xml:space="preserve">Source</w:t>
            </w:r>
          </w:p>
        </w:tc>
        <w:tc>
          <w:tcPr/>
          <w:p>
            <w:pPr>
              <w:pStyle w:val="Compact"/>
            </w:pPr>
            <w:r>
              <w:t xml:space="preserve">Scale</w:t>
            </w:r>
          </w:p>
        </w:tc>
        <w:tc>
          <w:tcPr/>
          <w:p>
            <w:pPr>
              <w:pStyle w:val="Compact"/>
            </w:pPr>
            <w:r>
              <w:t xml:space="preserve">Defeasible Mapping</w:t>
            </w:r>
          </w:p>
        </w:tc>
        <w:tc>
          <w:tcPr/>
          <w:p>
            <w:pPr>
              <w:pStyle w:val="Compact"/>
            </w:pPr>
            <w:r>
              <w:t xml:space="preserve">Why It Matters</w:t>
            </w:r>
          </w:p>
        </w:tc>
      </w:tr>
      <w:tr>
        <w:tc>
          <w:tcPr/>
          <w:p>
            <w:pPr>
              <w:pStyle w:val="Compact"/>
            </w:pPr>
            <w:r>
              <w:t xml:space="preserve">Orphanet (ORDO)</w:t>
            </w:r>
          </w:p>
        </w:tc>
        <w:tc>
          <w:tcPr/>
          <w:p>
            <w:pPr>
              <w:pStyle w:val="Compact"/>
            </w:pPr>
            <w:r>
              <w:t xml:space="preserve">16,036 rare disease classes, 12-level hierarchy</w:t>
            </w:r>
          </w:p>
        </w:tc>
        <w:tc>
          <w:tcPr/>
          <w:p>
            <w:pPr>
              <w:pStyle w:val="Compact"/>
            </w:pPr>
            <w:r>
              <w:t xml:space="preserve">Disease-phenotype associations as defeasible defaults; atypical presentations as defeaters</w:t>
            </w:r>
          </w:p>
        </w:tc>
        <w:tc>
          <w:tcPr/>
          <w:p>
            <w:pPr>
              <w:pStyle w:val="Compact"/>
            </w:pPr>
            <w:r>
              <w:t xml:space="preserve">Every rare disease patient IS an exception. The diagnostic odyssey exists because AI applies population-level defaults to individuals whose conditions violate them.</w:t>
            </w:r>
          </w:p>
        </w:tc>
      </w:tr>
      <w:tr>
        <w:tc>
          <w:tcPr/>
          <w:p>
            <w:pPr>
              <w:pStyle w:val="Compact"/>
            </w:pPr>
            <w:r>
              <w:t xml:space="preserve">Human Phenotype Ontology (HPO)</w:t>
            </w:r>
          </w:p>
        </w:tc>
        <w:tc>
          <w:tcPr/>
          <w:p>
            <w:pPr>
              <w:pStyle w:val="Compact"/>
            </w:pPr>
            <w:r>
              <w:t xml:space="preserve">18,000+ phenotypic abnormality terms</w:t>
            </w:r>
          </w:p>
        </w:tc>
        <w:tc>
          <w:tcPr/>
          <w:p>
            <w:pPr>
              <w:pStyle w:val="Compact"/>
            </w:pPr>
            <w:r>
              <w:t xml:space="preserve">Symptom-disease rules as defaults; phenotypic variability as defeaters</w:t>
            </w:r>
          </w:p>
        </w:tc>
        <w:tc>
          <w:tcPr/>
          <w:p>
            <w:pPr>
              <w:pStyle w:val="Compact"/>
            </w:pPr>
            <w:r>
              <w:t xml:space="preserve">HPO’s hierarchical structure maps directly to defeasible inheritance. A child phenotype can override a parent phenotype’s disease association.</w:t>
            </w:r>
          </w:p>
        </w:tc>
      </w:tr>
      <w:tr>
        <w:tc>
          <w:tcPr/>
          <w:p>
            <w:pPr>
              <w:pStyle w:val="Compact"/>
            </w:pPr>
            <w:r>
              <w:t xml:space="preserve">OMIM</w:t>
            </w:r>
          </w:p>
        </w:tc>
        <w:tc>
          <w:tcPr/>
          <w:p>
            <w:pPr>
              <w:pStyle w:val="Compact"/>
            </w:pPr>
            <w:r>
              <w:t xml:space="preserve">16,000+ genes with phenotype descriptions</w:t>
            </w:r>
          </w:p>
        </w:tc>
        <w:tc>
          <w:tcPr/>
          <w:p>
            <w:pPr>
              <w:pStyle w:val="Compact"/>
            </w:pPr>
            <w:r>
              <w:t xml:space="preserve">Gene-phenotype rules as defaults; variable expressivity and incomplete penetrance as defeaters</w:t>
            </w:r>
          </w:p>
        </w:tc>
        <w:tc>
          <w:tcPr/>
          <w:p>
            <w:pPr>
              <w:pStyle w:val="Compact"/>
            </w:pPr>
            <w:r>
              <w:t xml:space="preserve">Genetic conditions rarely present identically in every patient. OMIM’s documented variability is a rich defeater source.</w:t>
            </w:r>
          </w:p>
        </w:tc>
      </w:tr>
    </w:tbl>
    <w:p>
      <w:pPr>
        <w:pStyle w:val="BodyText"/>
      </w:pPr>
      <w:r>
        <w:rPr>
          <w:b/>
          <w:bCs/>
        </w:rPr>
        <w:t xml:space="preserve">Pharmacogenomics and Drug Safety (Months 18-30)</w:t>
      </w:r>
    </w:p>
    <w:tbl>
      <w:tblPr>
        <w:tblStyle w:val="Table"/>
        <w:tblW w:type="pct" w:w="5000"/>
        <w:tblLayout w:type="fixed"/>
        <w:tblLook w:firstRow="1" w:lastRow="0" w:firstColumn="0" w:lastColumn="0" w:noHBand="0" w:noVBand="0" w:val="0020"/>
      </w:tblPr>
      <w:tblGrid>
        <w:gridCol w:w="1293"/>
        <w:gridCol w:w="1131"/>
        <w:gridCol w:w="3071"/>
        <w:gridCol w:w="2424"/>
      </w:tblGrid>
      <w:tr>
        <w:trPr>
          <w:tblHeader w:val="on"/>
        </w:trPr>
        <w:tc>
          <w:tcPr/>
          <w:p>
            <w:pPr>
              <w:pStyle w:val="Compact"/>
            </w:pPr>
            <w:r>
              <w:t xml:space="preserve">Source</w:t>
            </w:r>
          </w:p>
        </w:tc>
        <w:tc>
          <w:tcPr/>
          <w:p>
            <w:pPr>
              <w:pStyle w:val="Compact"/>
            </w:pPr>
            <w:r>
              <w:t xml:space="preserve">Scale</w:t>
            </w:r>
          </w:p>
        </w:tc>
        <w:tc>
          <w:tcPr/>
          <w:p>
            <w:pPr>
              <w:pStyle w:val="Compact"/>
            </w:pPr>
            <w:r>
              <w:t xml:space="preserve">Defeasible Mapping</w:t>
            </w:r>
          </w:p>
        </w:tc>
        <w:tc>
          <w:tcPr/>
          <w:p>
            <w:pPr>
              <w:pStyle w:val="Compact"/>
            </w:pPr>
            <w:r>
              <w:t xml:space="preserve">Why It Matters</w:t>
            </w:r>
          </w:p>
        </w:tc>
      </w:tr>
      <w:tr>
        <w:tc>
          <w:tcPr/>
          <w:p>
            <w:pPr>
              <w:pStyle w:val="Compact"/>
            </w:pPr>
            <w:r>
              <w:t xml:space="preserve">DrugBank 2025</w:t>
            </w:r>
          </w:p>
        </w:tc>
        <w:tc>
          <w:tcPr/>
          <w:p>
            <w:pPr>
              <w:pStyle w:val="Compact"/>
            </w:pPr>
            <w:r>
              <w:t xml:space="preserve">14,000+ drug entries, AI-ready interaction graphs</w:t>
            </w:r>
          </w:p>
        </w:tc>
        <w:tc>
          <w:tcPr/>
          <w:p>
            <w:pPr>
              <w:pStyle w:val="Compact"/>
            </w:pPr>
            <w:r>
              <w:t xml:space="preserve">Drug-target interactions as defaults; contraindications and DDIs as defeaters</w:t>
            </w:r>
          </w:p>
        </w:tc>
        <w:tc>
          <w:tcPr/>
          <w:p>
            <w:pPr>
              <w:pStyle w:val="Compact"/>
            </w:pPr>
            <w:r>
              <w:t xml:space="preserve">Every drug interaction is a biomedical exception. DrugBank’s graph structure maps directly to defeasible rule networks.</w:t>
            </w:r>
          </w:p>
        </w:tc>
      </w:tr>
      <w:tr>
        <w:tc>
          <w:tcPr/>
          <w:p>
            <w:pPr>
              <w:pStyle w:val="Compact"/>
            </w:pPr>
            <w:r>
              <w:t xml:space="preserve">PharmGKB</w:t>
            </w:r>
          </w:p>
        </w:tc>
        <w:tc>
          <w:tcPr/>
          <w:p>
            <w:pPr>
              <w:pStyle w:val="Compact"/>
            </w:pPr>
            <w:r>
              <w:t xml:space="preserve">800+ clinical guidelines, genotype-drug-phenotype triples</w:t>
            </w:r>
          </w:p>
        </w:tc>
        <w:tc>
          <w:tcPr/>
          <w:p>
            <w:pPr>
              <w:pStyle w:val="Compact"/>
            </w:pPr>
            <w:r>
              <w:t xml:space="preserve">Drug efficacy rules as defaults; pharmacogenomic variants as defeaters</w:t>
            </w:r>
          </w:p>
        </w:tc>
        <w:tc>
          <w:tcPr/>
          <w:p>
            <w:pPr>
              <w:pStyle w:val="Compact"/>
            </w:pPr>
            <w:r>
              <w:t xml:space="preserve">“This drug treats this condition”</w:t>
            </w:r>
            <w:r>
              <w:t xml:space="preserve"> </w:t>
            </w:r>
            <w:r>
              <w:t xml:space="preserve">is the default.</w:t>
            </w:r>
            <w:r>
              <w:t xml:space="preserve"> </w:t>
            </w:r>
            <w:r>
              <w:t xml:space="preserve">“Unless the patient has CYP2D6 poor metabolizer genotype”</w:t>
            </w:r>
            <w:r>
              <w:t xml:space="preserve"> </w:t>
            </w:r>
            <w:r>
              <w:t xml:space="preserve">is the defeater. This is precision medicine formalized.</w:t>
            </w:r>
          </w:p>
        </w:tc>
      </w:tr>
      <w:tr>
        <w:tc>
          <w:tcPr/>
          <w:p>
            <w:pPr>
              <w:pStyle w:val="Compact"/>
            </w:pPr>
            <w:r>
              <w:t xml:space="preserve">ClinVar</w:t>
            </w:r>
          </w:p>
        </w:tc>
        <w:tc>
          <w:tcPr/>
          <w:p>
            <w:pPr>
              <w:pStyle w:val="Compact"/>
            </w:pPr>
            <w:r>
              <w:t xml:space="preserve">2.5M+ variant-condition submissions</w:t>
            </w:r>
          </w:p>
        </w:tc>
        <w:tc>
          <w:tcPr/>
          <w:p>
            <w:pPr>
              <w:pStyle w:val="Compact"/>
            </w:pPr>
            <w:r>
              <w:t xml:space="preserve">Variant pathogenicity as defeasible (classifications change with new evidence)</w:t>
            </w:r>
          </w:p>
        </w:tc>
        <w:tc>
          <w:tcPr/>
          <w:p>
            <w:pPr>
              <w:pStyle w:val="Compact"/>
            </w:pPr>
            <w:r>
              <w:t xml:space="preserve">ClinVar variants are reclassified as evidence accumulates, serving as a living record of scientific belief revision.</w:t>
            </w:r>
          </w:p>
        </w:tc>
      </w:tr>
      <w:tr>
        <w:tc>
          <w:tcPr/>
          <w:p>
            <w:pPr>
              <w:pStyle w:val="Compact"/>
            </w:pPr>
            <w:r>
              <w:t xml:space="preserve">FDA AEMS (formerly FAERS)</w:t>
            </w:r>
          </w:p>
        </w:tc>
        <w:tc>
          <w:tcPr/>
          <w:p>
            <w:pPr>
              <w:pStyle w:val="Compact"/>
            </w:pPr>
            <w:r>
              <w:t xml:space="preserve">Millions of adverse event reports</w:t>
            </w:r>
          </w:p>
        </w:tc>
        <w:tc>
          <w:tcPr/>
          <w:p>
            <w:pPr>
              <w:pStyle w:val="Compact"/>
            </w:pPr>
            <w:r>
              <w:t xml:space="preserve">Expected drug effects as defaults; adverse events as defeaters</w:t>
            </w:r>
          </w:p>
        </w:tc>
        <w:tc>
          <w:tcPr/>
          <w:p>
            <w:pPr>
              <w:pStyle w:val="Compact"/>
            </w:pPr>
            <w:r>
              <w:t xml:space="preserve">The FDA’s new AEMS system launched March 2026. Each adverse event report documents a real-world biomedical exception. 80% of adverse events go unreported. AI that reasons about exceptions could help surface the ones that matter.</w:t>
            </w:r>
          </w:p>
        </w:tc>
      </w:tr>
    </w:tbl>
    <w:p>
      <w:pPr>
        <w:pStyle w:val="BodyText"/>
      </w:pPr>
      <w:r>
        <w:rPr>
          <w:b/>
          <w:bCs/>
        </w:rPr>
        <w:t xml:space="preserve">Cancer and Pathway Biology (Months 24-36)</w:t>
      </w:r>
    </w:p>
    <w:tbl>
      <w:tblPr>
        <w:tblStyle w:val="Table"/>
        <w:tblW w:type="pct" w:w="5000"/>
        <w:tblLayout w:type="fixed"/>
        <w:tblLook w:firstRow="1" w:lastRow="0" w:firstColumn="0" w:lastColumn="0" w:noHBand="0" w:noVBand="0" w:val="0020"/>
      </w:tblPr>
      <w:tblGrid>
        <w:gridCol w:w="1293"/>
        <w:gridCol w:w="1131"/>
        <w:gridCol w:w="3071"/>
        <w:gridCol w:w="2424"/>
      </w:tblGrid>
      <w:tr>
        <w:trPr>
          <w:tblHeader w:val="on"/>
        </w:trPr>
        <w:tc>
          <w:tcPr/>
          <w:p>
            <w:pPr>
              <w:pStyle w:val="Compact"/>
            </w:pPr>
            <w:r>
              <w:t xml:space="preserve">Source</w:t>
            </w:r>
          </w:p>
        </w:tc>
        <w:tc>
          <w:tcPr/>
          <w:p>
            <w:pPr>
              <w:pStyle w:val="Compact"/>
            </w:pPr>
            <w:r>
              <w:t xml:space="preserve">Scale</w:t>
            </w:r>
          </w:p>
        </w:tc>
        <w:tc>
          <w:tcPr/>
          <w:p>
            <w:pPr>
              <w:pStyle w:val="Compact"/>
            </w:pPr>
            <w:r>
              <w:t xml:space="preserve">Defeasible Mapping</w:t>
            </w:r>
          </w:p>
        </w:tc>
        <w:tc>
          <w:tcPr/>
          <w:p>
            <w:pPr>
              <w:pStyle w:val="Compact"/>
            </w:pPr>
            <w:r>
              <w:t xml:space="preserve">Why It Matters</w:t>
            </w:r>
          </w:p>
        </w:tc>
      </w:tr>
      <w:tr>
        <w:tc>
          <w:tcPr/>
          <w:p>
            <w:pPr>
              <w:pStyle w:val="Compact"/>
            </w:pPr>
            <w:r>
              <w:t xml:space="preserve">NCI Thesaurus</w:t>
            </w:r>
          </w:p>
        </w:tc>
        <w:tc>
          <w:tcPr/>
          <w:p>
            <w:pPr>
              <w:pStyle w:val="Compact"/>
            </w:pPr>
            <w:r>
              <w:t xml:space="preserve">170,000+ cancer-domain concepts</w:t>
            </w:r>
          </w:p>
        </w:tc>
        <w:tc>
          <w:tcPr/>
          <w:p>
            <w:pPr>
              <w:pStyle w:val="Compact"/>
            </w:pPr>
            <w:r>
              <w:t xml:space="preserve">Treatment-response rules as defaults; resistance mechanisms as defeaters</w:t>
            </w:r>
          </w:p>
        </w:tc>
        <w:tc>
          <w:tcPr/>
          <w:p>
            <w:pPr>
              <w:pStyle w:val="Compact"/>
            </w:pPr>
            <w:r>
              <w:t xml:space="preserve">Cancer treatment resistance is defeasible reasoning in its most consequential form. The tumor that stops responding to therapy is an exception that the AI must learn to predict, not just observe.</w:t>
            </w:r>
          </w:p>
        </w:tc>
      </w:tr>
      <w:tr>
        <w:tc>
          <w:tcPr/>
          <w:p>
            <w:pPr>
              <w:pStyle w:val="Compact"/>
            </w:pPr>
            <w:r>
              <w:t xml:space="preserve">Reactome</w:t>
            </w:r>
          </w:p>
        </w:tc>
        <w:tc>
          <w:tcPr/>
          <w:p>
            <w:pPr>
              <w:pStyle w:val="Compact"/>
            </w:pPr>
            <w:r>
              <w:t xml:space="preserve">2,700+ human biological pathways, 14,000+ reactions</w:t>
            </w:r>
          </w:p>
        </w:tc>
        <w:tc>
          <w:tcPr/>
          <w:p>
            <w:pPr>
              <w:pStyle w:val="Compact"/>
            </w:pPr>
            <w:r>
              <w:t xml:space="preserve">Pathway activation rules as defaults; pathway inhibition/mutation as defeaters</w:t>
            </w:r>
          </w:p>
        </w:tc>
        <w:tc>
          <w:tcPr/>
          <w:p>
            <w:pPr>
              <w:pStyle w:val="Compact"/>
            </w:pPr>
            <w:r>
              <w:t xml:space="preserve">When a mutation disrupts a pathway that</w:t>
            </w:r>
            <w:r>
              <w:t xml:space="preserve"> </w:t>
            </w:r>
            <w:r>
              <w:t xml:space="preserve">“should”</w:t>
            </w:r>
            <w:r>
              <w:t xml:space="preserve"> </w:t>
            </w:r>
            <w:r>
              <w:t xml:space="preserve">function normally, that is a defeater. Reactome’s detailed reaction-level structure provides the granularity for formal extraction.</w:t>
            </w:r>
          </w:p>
        </w:tc>
      </w:tr>
      <w:tr>
        <w:tc>
          <w:tcPr/>
          <w:p>
            <w:pPr>
              <w:pStyle w:val="Compact"/>
            </w:pPr>
            <w:r>
              <w:t xml:space="preserve">DisGeNET</w:t>
            </w:r>
          </w:p>
        </w:tc>
        <w:tc>
          <w:tcPr/>
          <w:p>
            <w:pPr>
              <w:pStyle w:val="Compact"/>
            </w:pPr>
            <w:r>
              <w:t xml:space="preserve">1.1M+ gene-disease associations, evidence-scored</w:t>
            </w:r>
          </w:p>
        </w:tc>
        <w:tc>
          <w:tcPr/>
          <w:p>
            <w:pPr>
              <w:pStyle w:val="Compact"/>
            </w:pPr>
            <w:r>
              <w:t xml:space="preserve">Gene-disease rules as defaults; contradictory evidence as defeaters</w:t>
            </w:r>
          </w:p>
        </w:tc>
        <w:tc>
          <w:tcPr/>
          <w:p>
            <w:pPr>
              <w:pStyle w:val="Compact"/>
            </w:pPr>
            <w:r>
              <w:t xml:space="preserve">Different evidence sources disagree on gene-disease associations. These disagreements are structured defeaters from cross-source validation.</w:t>
            </w:r>
          </w:p>
        </w:tc>
      </w:tr>
    </w:tbl>
    <w:p>
      <w:pPr>
        <w:pStyle w:val="BodyText"/>
      </w:pPr>
      <w:r>
        <w:rPr>
          <w:b/>
          <w:bCs/>
        </w:rPr>
        <w:t xml:space="preserve">Clinical Practice and Trials (Months 30-36+)</w:t>
      </w:r>
    </w:p>
    <w:tbl>
      <w:tblPr>
        <w:tblStyle w:val="Table"/>
        <w:tblW w:type="pct" w:w="5000"/>
        <w:tblLayout w:type="fixed"/>
        <w:tblLook w:firstRow="1" w:lastRow="0" w:firstColumn="0" w:lastColumn="0" w:noHBand="0" w:noVBand="0" w:val="0020"/>
      </w:tblPr>
      <w:tblGrid>
        <w:gridCol w:w="1293"/>
        <w:gridCol w:w="1131"/>
        <w:gridCol w:w="3071"/>
        <w:gridCol w:w="2424"/>
      </w:tblGrid>
      <w:tr>
        <w:trPr>
          <w:tblHeader w:val="on"/>
        </w:trPr>
        <w:tc>
          <w:tcPr/>
          <w:p>
            <w:pPr>
              <w:pStyle w:val="Compact"/>
            </w:pPr>
            <w:r>
              <w:t xml:space="preserve">Source</w:t>
            </w:r>
          </w:p>
        </w:tc>
        <w:tc>
          <w:tcPr/>
          <w:p>
            <w:pPr>
              <w:pStyle w:val="Compact"/>
            </w:pPr>
            <w:r>
              <w:t xml:space="preserve">Scale</w:t>
            </w:r>
          </w:p>
        </w:tc>
        <w:tc>
          <w:tcPr/>
          <w:p>
            <w:pPr>
              <w:pStyle w:val="Compact"/>
            </w:pPr>
            <w:r>
              <w:t xml:space="preserve">Defeasible Mapping</w:t>
            </w:r>
          </w:p>
        </w:tc>
        <w:tc>
          <w:tcPr/>
          <w:p>
            <w:pPr>
              <w:pStyle w:val="Compact"/>
            </w:pPr>
            <w:r>
              <w:t xml:space="preserve">Why It Matters</w:t>
            </w:r>
          </w:p>
        </w:tc>
      </w:tr>
      <w:tr>
        <w:tc>
          <w:tcPr/>
          <w:p>
            <w:pPr>
              <w:pStyle w:val="Compact"/>
            </w:pPr>
            <w:r>
              <w:t xml:space="preserve">ICD-11 (WHO)</w:t>
            </w:r>
          </w:p>
        </w:tc>
        <w:tc>
          <w:tcPr/>
          <w:p>
            <w:pPr>
              <w:pStyle w:val="Compact"/>
            </w:pPr>
            <w:r>
              <w:t xml:space="preserve">55,000+ entities, multi-hierarchical</w:t>
            </w:r>
          </w:p>
        </w:tc>
        <w:tc>
          <w:tcPr/>
          <w:p>
            <w:pPr>
              <w:pStyle w:val="Compact"/>
            </w:pPr>
            <w:r>
              <w:t xml:space="preserve">Diagnostic classification rules as defaults; dual-coding and atypical classifications as defeaters</w:t>
            </w:r>
          </w:p>
        </w:tc>
        <w:tc>
          <w:tcPr/>
          <w:p>
            <w:pPr>
              <w:pStyle w:val="Compact"/>
            </w:pPr>
            <w:r>
              <w:t xml:space="preserve">When a patient’s condition spans two ICD codes, or when the same symptoms map to different diagnoses depending on context, that is defeasible reasoning.</w:t>
            </w:r>
          </w:p>
        </w:tc>
      </w:tr>
      <w:tr>
        <w:tc>
          <w:tcPr/>
          <w:p>
            <w:pPr>
              <w:pStyle w:val="Compact"/>
            </w:pPr>
            <w:r>
              <w:t xml:space="preserve">ClinicalTrials.gov</w:t>
            </w:r>
          </w:p>
        </w:tc>
        <w:tc>
          <w:tcPr/>
          <w:p>
            <w:pPr>
              <w:pStyle w:val="Compact"/>
            </w:pPr>
            <w:r>
              <w:t xml:space="preserve">500,000+ registered trials</w:t>
            </w:r>
          </w:p>
        </w:tc>
        <w:tc>
          <w:tcPr/>
          <w:p>
            <w:pPr>
              <w:pStyle w:val="Compact"/>
            </w:pPr>
            <w:r>
              <w:t xml:space="preserve">Inclusion/exclusion criteria as defeasible rules; protocol amendments as defeaters</w:t>
            </w:r>
          </w:p>
        </w:tc>
        <w:tc>
          <w:tcPr/>
          <w:p>
            <w:pPr>
              <w:pStyle w:val="Compact"/>
            </w:pPr>
            <w:r>
              <w:t xml:space="preserve">Every exclusion criterion is an exception to the general eligibility rule. Protocol amendments document real-time belief revision in clinical science.</w:t>
            </w:r>
          </w:p>
        </w:tc>
      </w:tr>
      <w:tr>
        <w:tc>
          <w:tcPr/>
          <w:p>
            <w:pPr>
              <w:pStyle w:val="Compact"/>
            </w:pPr>
            <w:r>
              <w:t xml:space="preserve">HL7 FHIR Terminology</w:t>
            </w:r>
          </w:p>
        </w:tc>
        <w:tc>
          <w:tcPr/>
          <w:p>
            <w:pPr>
              <w:pStyle w:val="Compact"/>
            </w:pPr>
            <w:r>
              <w:t xml:space="preserve">Interoperability standard</w:t>
            </w:r>
          </w:p>
        </w:tc>
        <w:tc>
          <w:tcPr/>
          <w:p>
            <w:pPr>
              <w:pStyle w:val="Compact"/>
            </w:pPr>
            <w:r>
              <w:t xml:space="preserve">Clinical concept mapping rules as defaults; cross-system conflicts as defeaters</w:t>
            </w:r>
          </w:p>
        </w:tc>
        <w:tc>
          <w:tcPr/>
          <w:p>
            <w:pPr>
              <w:pStyle w:val="Compact"/>
            </w:pPr>
            <w:r>
              <w:t xml:space="preserve">When two health systems encode the same concept differently, the mapping exception is a defeater.</w:t>
            </w:r>
          </w:p>
        </w:tc>
      </w:tr>
    </w:tbl>
    <w:bookmarkEnd w:id="81"/>
    <w:bookmarkStart w:id="82" w:name="X88d2fe1432919468c3466f4a3c70bd6321d21be"/>
    <w:p>
      <w:pPr>
        <w:pStyle w:val="Heading3"/>
      </w:pPr>
      <w:r>
        <w:t xml:space="preserve">Applications: Where Exception Handling Determines Clinical Outcomes</w:t>
      </w:r>
    </w:p>
    <w:p>
      <w:pPr>
        <w:pStyle w:val="FirstParagraph"/>
      </w:pPr>
      <w:r>
        <w:rPr>
          <w:b/>
          <w:bCs/>
        </w:rPr>
        <w:t xml:space="preserve">[MEDICAL COLLABORATOR INPUT REQUESTED , Applications]</w:t>
      </w:r>
      <w:r>
        <w:t xml:space="preserve">: The five application areas below are our best candidates for where exception-aware reasoning has the highest clinical impact. Your perspective would be critical on: (a) which of these five is most compelling to a Google.org reviewer and most impactful clinically, (b) whether there are application areas we have missed entirely (e.g., surgical complications, neonatal screening, antimicrobial stewardship), (c) whether you can provide a brief clinical vignette (2-3 sentences, anonymized) for any of these that illustrates how exception-handling failure affects a real clinical workflow. A single concrete vignette from your practice would be worth more than our entire theoretical framing.</w:t>
      </w:r>
    </w:p>
    <w:p>
      <w:pPr>
        <w:pStyle w:val="BodyText"/>
      </w:pPr>
      <w:r>
        <w:t xml:space="preserve">The following applications illustrate how DeFAb-Health’s infrastructure extends to specific clinical domains. In each case, the exception is not an edge case; it is the clinically decisive event.</w:t>
      </w:r>
    </w:p>
    <w:p>
      <w:pPr>
        <w:pStyle w:val="BodyText"/>
      </w:pPr>
      <w:r>
        <w:rPr>
          <w:b/>
          <w:bCs/>
        </w:rPr>
        <w:t xml:space="preserve">1. Rare Disease Diagnosis</w:t>
      </w:r>
    </w:p>
    <w:p>
      <w:pPr>
        <w:pStyle w:val="BodyText"/>
      </w:pPr>
      <w:r>
        <w:t xml:space="preserve">Rare diseases affect 400 million people globally, with an average diagnostic delay of 5-7 years. The delay occurs because diagnostic AI applies population-level defaults to patients whose conditions are, by definition, exceptions. DeFAb-Health formalizes this as Level 3 defeater abduction over HPO and Orphanet: given a default diagnosis derived from symptom-disease rules, the AI must construct the exception rule that identifies the rare condition. The verifier guarantees conservativity; the revised diagnosis does not disrupt unrelated clinical assessments. This parallels the approach of UW Medicine’s Fiber-seq work on rare disease genetics, but at the reasoning layer rather than the genomic layer.</w:t>
      </w:r>
    </w:p>
    <w:p>
      <w:pPr>
        <w:pStyle w:val="BodyText"/>
      </w:pPr>
      <w:r>
        <w:rPr>
          <w:b/>
          <w:bCs/>
        </w:rPr>
        <w:t xml:space="preserve">2. Adverse Drug Reaction Prediction</w:t>
      </w:r>
    </w:p>
    <w:p>
      <w:pPr>
        <w:pStyle w:val="BodyText"/>
      </w:pPr>
      <w:r>
        <w:t xml:space="preserve">The FDA’s AEMS system (launched March 2026) processes adverse event reports after they occur. DeFAb-Health enables a complementary approach: extracting exception structures from DrugBank, PharmGKB, and UMLS to train AI that reasons about adverse reactions prospectively.</w:t>
      </w:r>
      <w:r>
        <w:t xml:space="preserve"> </w:t>
      </w:r>
      <w:r>
        <w:t xml:space="preserve">“Drug X treats condition Y”</w:t>
      </w:r>
      <w:r>
        <w:t xml:space="preserve"> </w:t>
      </w:r>
      <w:r>
        <w:t xml:space="preserve">is the default.</w:t>
      </w:r>
      <w:r>
        <w:t xml:space="preserve"> </w:t>
      </w:r>
      <w:r>
        <w:t xml:space="preserve">“Unless the patient takes Drug Z concurrently”</w:t>
      </w:r>
      <w:r>
        <w:t xml:space="preserve"> </w:t>
      </w:r>
      <w:r>
        <w:t xml:space="preserve">is one defeater.</w:t>
      </w:r>
      <w:r>
        <w:t xml:space="preserve"> </w:t>
      </w:r>
      <w:r>
        <w:t xml:space="preserve">“Unless the patient has genotype G”</w:t>
      </w:r>
      <w:r>
        <w:t xml:space="preserve"> </w:t>
      </w:r>
      <w:r>
        <w:t xml:space="preserve">is another. The verifier-backed training pipeline produces models that reason about these interactions through traceable inference chains, not statistical correlation.</w:t>
      </w:r>
    </w:p>
    <w:p>
      <w:pPr>
        <w:pStyle w:val="BodyText"/>
      </w:pPr>
      <w:r>
        <w:rPr>
          <w:b/>
          <w:bCs/>
        </w:rPr>
        <w:t xml:space="preserve">3. Pharmacogenomic Exceptions</w:t>
      </w:r>
    </w:p>
    <w:p>
      <w:pPr>
        <w:pStyle w:val="BodyText"/>
      </w:pPr>
      <w:r>
        <w:t xml:space="preserve">Precision medicine is formalized exception handling.</w:t>
      </w:r>
      <w:r>
        <w:t xml:space="preserve"> </w:t>
      </w:r>
      <w:r>
        <w:t xml:space="preserve">“Drug X works for condition Y”</w:t>
      </w:r>
      <w:r>
        <w:t xml:space="preserve"> </w:t>
      </w:r>
      <w:r>
        <w:t xml:space="preserve">is the default.</w:t>
      </w:r>
      <w:r>
        <w:t xml:space="preserve"> </w:t>
      </w:r>
      <w:r>
        <w:t xml:space="preserve">“Unless the patient is a CYP2D6 poor metabolizer”</w:t>
      </w:r>
      <w:r>
        <w:t xml:space="preserve"> </w:t>
      </w:r>
      <w:r>
        <w:t xml:space="preserve">is the defeater. PharmGKB encodes 800+ clinical guidelines capturing exactly these pharmacogenomic exceptions. DeFAb-Health converts them into verified evaluation instances, creating the first benchmark that tests whether clinical decision support systems can apply pharmacogenomic exceptions in context, not just retrieve them, but reason about their interactions with other patient-specific factors.</w:t>
      </w:r>
    </w:p>
    <w:p>
      <w:pPr>
        <w:pStyle w:val="BodyText"/>
      </w:pPr>
      <w:r>
        <w:rPr>
          <w:b/>
          <w:bCs/>
        </w:rPr>
        <w:t xml:space="preserve">4. Cancer Treatment Resistance</w:t>
      </w:r>
    </w:p>
    <w:p>
      <w:pPr>
        <w:pStyle w:val="BodyText"/>
      </w:pPr>
      <w:r>
        <w:t xml:space="preserve">Treatment resistance is belief revision under clinical pressure. Today, virtually all cancer therapy is prescribed on population-level probabilities rather than patient genome-specific selection. When a therapy fails, the oncologist’s current default is to try the next protocol in the sequence. A patient who undergoes multiple rounds of aggressive chemotherapy for a cancer type that should respond, but does not, represents a defeasible reasoning failure: something about this patient’s tumor genetics, pathway mutations, or drug metabolism should have overridden the default treatment protocol, but no system surfaced the relevant exception. The default (</w:t>
      </w:r>
      <w:r>
        <w:t xml:space="preserve">“this cancer responds to drug X”</w:t>
      </w:r>
      <w:r>
        <w:t xml:space="preserve">) is defeated by acquired mutation evidence, but the defeater is not reasoned about systematically.</w:t>
      </w:r>
    </w:p>
    <w:p>
      <w:pPr>
        <w:pStyle w:val="BodyText"/>
      </w:pPr>
      <w:r>
        <w:t xml:space="preserve">Extended with NCI Thesaurus and Reactome pathway data, DeFAb-Health formalizes resistance mechanisms as defeaters and produces training data for AI systems that predict when and why resistance emerges. The conservativity guarantee ensures the revised treatment model preserves all unrelated knowledge about the tumor’s biology. Critically, the same approach that formalizes known resistance mechanisms can also surface therapy gaps: by identifying where default treatment rules lack documented defeaters despite clinical failure patterns, DeFAb-Health can suggest the existence of undiscovered exception structures, in the same way that AlphaFold suggested solutions to missing protein folding models. If even a fraction of treatment resistance cases are redirected earlier, the impact amounts to thousands of lives saved per year.</w:t>
      </w:r>
    </w:p>
    <w:p>
      <w:pPr>
        <w:pStyle w:val="BodyText"/>
      </w:pPr>
      <w:r>
        <w:rPr>
          <w:b/>
          <w:bCs/>
        </w:rPr>
        <w:t xml:space="preserve">5. Multimodal Biomedical Discovery</w:t>
      </w:r>
    </w:p>
    <w:p>
      <w:pPr>
        <w:pStyle w:val="BodyText"/>
      </w:pPr>
      <w:r>
        <w:t xml:space="preserve">The longest trajectory extends to AI systems that propose genuinely novel biomedical hypotheses by reasoning defeasibly across text, molecular structure, and imaging data. The M5 visual grounding modality, integrated with PDB (220K+ structures), EMDB (cryo-EM density maps), and AlphaFold DB, provides the infrastructure. The intrinsically disordered protein discovery, which contradicted the structure-function dogma, is the canonical example: the default (</w:t>
      </w:r>
      <w:r>
        <w:t xml:space="preserve">“proteins require stable 3D structure”</w:t>
      </w:r>
      <w:r>
        <w:t xml:space="preserve">) is overridden by structural evidence for a specific protein subclass. The same verifier that evaluates benchmark instances can verify AI-generated hypotheses of this kind, providing exact reward signals for training models toward genuine scientific discovery.</w:t>
      </w:r>
    </w:p>
    <w:bookmarkEnd w:id="82"/>
    <w:bookmarkStart w:id="83" w:name="trust-as-a-verifiable-property"/>
    <w:p>
      <w:pPr>
        <w:pStyle w:val="Heading3"/>
      </w:pPr>
      <w:r>
        <w:t xml:space="preserve">Trust as a Verifiable Property</w:t>
      </w:r>
    </w:p>
    <w:p>
      <w:pPr>
        <w:pStyle w:val="FirstParagraph"/>
      </w:pPr>
      <w:r>
        <w:t xml:space="preserve">DeFAb-Health defines trust not as a qualitative aspiration but as a set of formally verifiable, polynomial-time computable properties:</w:t>
      </w:r>
    </w:p>
    <w:tbl>
      <w:tblPr>
        <w:tblStyle w:val="Table"/>
        <w:tblW w:type="pct" w:w="5000"/>
        <w:tblLayout w:type="fixed"/>
        <w:tblLook w:firstRow="1" w:lastRow="0" w:firstColumn="0" w:lastColumn="0" w:noHBand="0" w:noVBand="0" w:val="0020"/>
      </w:tblPr>
      <w:tblGrid>
        <w:gridCol w:w="1028"/>
        <w:gridCol w:w="1748"/>
        <w:gridCol w:w="2674"/>
        <w:gridCol w:w="2468"/>
      </w:tblGrid>
      <w:tr>
        <w:trPr>
          <w:tblHeader w:val="on"/>
        </w:trPr>
        <w:tc>
          <w:tcPr/>
          <w:p>
            <w:pPr>
              <w:pStyle w:val="Compact"/>
            </w:pPr>
            <w:r>
              <w:t xml:space="preserve">Property</w:t>
            </w:r>
          </w:p>
        </w:tc>
        <w:tc>
          <w:tcPr/>
          <w:p>
            <w:pPr>
              <w:pStyle w:val="Compact"/>
            </w:pPr>
            <w:r>
              <w:t xml:space="preserve">Informal Meaning</w:t>
            </w:r>
          </w:p>
        </w:tc>
        <w:tc>
          <w:tcPr/>
          <w:p>
            <w:pPr>
              <w:pStyle w:val="Compact"/>
            </w:pPr>
            <w:r>
              <w:t xml:space="preserve">Formal Operationalization</w:t>
            </w:r>
          </w:p>
        </w:tc>
        <w:tc>
          <w:tcPr/>
          <w:p>
            <w:pPr>
              <w:pStyle w:val="Compact"/>
            </w:pPr>
            <w:r>
              <w:t xml:space="preserve">Verification Complexity</w:t>
            </w:r>
          </w:p>
        </w:tc>
      </w:tr>
      <w:tr>
        <w:tc>
          <w:tcPr/>
          <w:p>
            <w:pPr>
              <w:pStyle w:val="Compact"/>
            </w:pPr>
            <w:r>
              <w:rPr>
                <w:b/>
                <w:bCs/>
              </w:rPr>
              <w:t xml:space="preserve">Traceability</w:t>
            </w:r>
          </w:p>
        </w:tc>
        <w:tc>
          <w:tcPr/>
          <w:p>
            <w:pPr>
              <w:pStyle w:val="Compact"/>
            </w:pPr>
            <w:r>
              <w:t xml:space="preserve">“Why did the AI conclude this?”</w:t>
            </w:r>
          </w:p>
        </w:tc>
        <w:tc>
          <w:tcPr/>
          <w:p>
            <w:pPr>
              <w:pStyle w:val="Compact"/>
            </w:pPr>
            <w:r>
              <w:t xml:space="preserve">Every defeasible derivation has an explicit support set: the specific facts and rules that entail the conclusion.</w:t>
            </w:r>
          </w:p>
        </w:tc>
        <w:tc>
          <w:tcPr/>
          <w:p>
            <w:pPr>
              <w:pStyle w:val="Compact"/>
            </w:pPr>
            <w:r>
              <w:t xml:space="preserve">O(|R| * |F|)</w:t>
            </w:r>
          </w:p>
        </w:tc>
      </w:tr>
      <w:tr>
        <w:tc>
          <w:tcPr/>
          <w:p>
            <w:pPr>
              <w:pStyle w:val="Compact"/>
            </w:pPr>
            <w:r>
              <w:rPr>
                <w:b/>
                <w:bCs/>
              </w:rPr>
              <w:t xml:space="preserve">Revisability</w:t>
            </w:r>
          </w:p>
        </w:tc>
        <w:tc>
          <w:tcPr/>
          <w:p>
            <w:pPr>
              <w:pStyle w:val="Compact"/>
            </w:pPr>
            <w:r>
              <w:t xml:space="preserve">“Can the AI change its mind safely?”</w:t>
            </w:r>
          </w:p>
        </w:tc>
        <w:tc>
          <w:tcPr/>
          <w:p>
            <w:pPr>
              <w:pStyle w:val="Compact"/>
            </w:pPr>
            <w:r>
              <w:t xml:space="preserve">Every rule is tagged as strict or defeasible. Only defeasible rules can be overridden, and only by defeaters.</w:t>
            </w:r>
          </w:p>
        </w:tc>
        <w:tc>
          <w:tcPr/>
          <w:p>
            <w:pPr>
              <w:pStyle w:val="Compact"/>
            </w:pPr>
            <w:r>
              <w:t xml:space="preserve">Built into theory structure</w:t>
            </w:r>
          </w:p>
        </w:tc>
      </w:tr>
      <w:tr>
        <w:tc>
          <w:tcPr/>
          <w:p>
            <w:pPr>
              <w:pStyle w:val="Compact"/>
            </w:pPr>
            <w:r>
              <w:rPr>
                <w:b/>
                <w:bCs/>
              </w:rPr>
              <w:t xml:space="preserve">Conservativity</w:t>
            </w:r>
          </w:p>
        </w:tc>
        <w:tc>
          <w:tcPr/>
          <w:p>
            <w:pPr>
              <w:pStyle w:val="Compact"/>
            </w:pPr>
            <w:r>
              <w:t xml:space="preserve">“Did the AI break anything else when it revised?”</w:t>
            </w:r>
          </w:p>
        </w:tc>
        <w:tc>
          <w:tcPr/>
          <w:p>
            <w:pPr>
              <w:pStyle w:val="Compact"/>
            </w:pPr>
            <w:r>
              <w:t xml:space="preserve">After revision, all expectations except the targeted anomaly are preserved: Exp(D’) &gt;= Exp(D)  {~alpha}.</w:t>
            </w:r>
          </w:p>
        </w:tc>
        <w:tc>
          <w:tcPr/>
          <w:p>
            <w:pPr>
              <w:pStyle w:val="Compact"/>
            </w:pPr>
            <w:r>
              <w:t xml:space="preserve">Polynomial time</w:t>
            </w:r>
          </w:p>
        </w:tc>
      </w:tr>
      <w:tr>
        <w:tc>
          <w:tcPr/>
          <w:p>
            <w:pPr>
              <w:pStyle w:val="Compact"/>
            </w:pPr>
            <w:r>
              <w:rPr>
                <w:b/>
                <w:bCs/>
              </w:rPr>
              <w:t xml:space="preserve">Accountability</w:t>
            </w:r>
          </w:p>
        </w:tc>
        <w:tc>
          <w:tcPr/>
          <w:p>
            <w:pPr>
              <w:pStyle w:val="Compact"/>
            </w:pPr>
            <w:r>
              <w:t xml:space="preserve">“Can a third party verify the reasoning?”</w:t>
            </w:r>
          </w:p>
        </w:tc>
        <w:tc>
          <w:tcPr/>
          <w:p>
            <w:pPr>
              <w:pStyle w:val="Compact"/>
            </w:pPr>
            <w:r>
              <w:t xml:space="preserve">The gold-standard verification procedure is polynomial-time and deterministic. Any party with the theory can independently verify.</w:t>
            </w:r>
          </w:p>
        </w:tc>
        <w:tc>
          <w:tcPr/>
          <w:p>
            <w:pPr>
              <w:pStyle w:val="Compact"/>
            </w:pPr>
            <w:r>
              <w:t xml:space="preserve">O(|D|^3)</w:t>
            </w:r>
          </w:p>
        </w:tc>
      </w:tr>
      <w:tr>
        <w:tc>
          <w:tcPr/>
          <w:p>
            <w:pPr>
              <w:pStyle w:val="Compact"/>
            </w:pPr>
            <w:r>
              <w:rPr>
                <w:b/>
                <w:bCs/>
              </w:rPr>
              <w:t xml:space="preserve">Contamination resistance</w:t>
            </w:r>
          </w:p>
        </w:tc>
        <w:tc>
          <w:tcPr/>
          <w:p>
            <w:pPr>
              <w:pStyle w:val="Compact"/>
            </w:pPr>
            <w:r>
              <w:t xml:space="preserve">“Is the AI reasoning or remembering?”</w:t>
            </w:r>
          </w:p>
        </w:tc>
        <w:tc>
          <w:tcPr/>
          <w:p>
            <w:pPr>
              <w:pStyle w:val="Compact"/>
            </w:pPr>
            <w:r>
              <w:t xml:space="preserve">Synthetic contamination control generates structurally isomorphic theories with invented predicate names, measuring the naturalistic-synthetic accuracy gap.</w:t>
            </w:r>
          </w:p>
        </w:tc>
        <w:tc>
          <w:tcPr/>
          <w:p>
            <w:pPr>
              <w:pStyle w:val="Compact"/>
            </w:pPr>
            <w:r>
              <w:t xml:space="preserve">Per-model, per-level</w:t>
            </w:r>
          </w:p>
        </w:tc>
      </w:tr>
    </w:tbl>
    <w:p>
      <w:pPr>
        <w:pStyle w:val="BodyText"/>
      </w:pPr>
      <w:r>
        <w:t xml:space="preserve">These properties are computable for every DeFAb instance. When a clinician queries the reasoning behind a recommendation, the system produces a proof tree: a sequence of rules, each traceable to a knowledge base, each tagged with its epistemic status. When a regulator evaluates the system for deployment, the metric is not a test-set accuracy number but a conservativity rate: the fraction of instances where the AI’s revisions preserved all unrelated clinical knowledge. This aligns directly with the FDA’s 2026 emphasis on evidence-centric, traceable AI outputs and Google’s Responsible AI principle that AI should be accountable and explainable.</w:t>
      </w:r>
    </w:p>
    <w:p>
      <w:pPr>
        <w:pStyle w:val="BodyText"/>
      </w:pPr>
      <w:r>
        <w:t xml:space="preserve">This is the distinction between AI that performs well on benchmarks and AI that produces verifiable reasoning, the same distinction that separates foundational scientific tools from incremental improvements.</w:t>
      </w:r>
    </w:p>
    <w:p>
      <w:r>
        <w:pict>
          <v:rect style="width:0;height:1.5pt" o:hralign="center" o:hrstd="t" o:hr="t"/>
        </w:pict>
      </w:r>
    </w:p>
    <w:bookmarkEnd w:id="83"/>
    <w:bookmarkEnd w:id="84"/>
    <w:bookmarkStart w:id="85" w:name="X151a48433b6e33403082c10ce83cb8ae617a47b"/>
    <w:p>
      <w:pPr>
        <w:pStyle w:val="Heading2"/>
      </w:pPr>
      <w:r>
        <w:t xml:space="preserve">Appendix: Calibration Against Previous Winners</w:t>
      </w:r>
    </w:p>
    <w:p>
      <w:pPr>
        <w:pStyle w:val="FirstParagraph"/>
      </w:pPr>
      <w:r>
        <w:t xml:space="preserve">The 12 recipients of Google.org’s January 2026 AI for Science fund share qualities that this application should match:</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Quality</w:t>
            </w:r>
          </w:p>
        </w:tc>
        <w:tc>
          <w:tcPr/>
          <w:p>
            <w:pPr>
              <w:pStyle w:val="Compact"/>
            </w:pPr>
            <w:r>
              <w:t xml:space="preserve">Winner Example</w:t>
            </w:r>
          </w:p>
        </w:tc>
        <w:tc>
          <w:tcPr/>
          <w:p>
            <w:pPr>
              <w:pStyle w:val="Compact"/>
            </w:pPr>
            <w:r>
              <w:t xml:space="preserve">DeFAb-Health Equivalent</w:t>
            </w:r>
          </w:p>
        </w:tc>
      </w:tr>
      <w:tr>
        <w:tc>
          <w:tcPr/>
          <w:p>
            <w:pPr>
              <w:pStyle w:val="Compact"/>
            </w:pPr>
            <w:r>
              <w:rPr>
                <w:b/>
                <w:bCs/>
              </w:rPr>
              <w:t xml:space="preserve">Named, specific tool</w:t>
            </w:r>
          </w:p>
        </w:tc>
        <w:tc>
          <w:tcPr/>
          <w:p>
            <w:pPr>
              <w:pStyle w:val="Compact"/>
            </w:pPr>
            <w:r>
              <w:t xml:space="preserve">“Fiber-seq”</w:t>
            </w:r>
            <w:r>
              <w:t xml:space="preserve"> </w:t>
            </w:r>
            <w:r>
              <w:t xml:space="preserve">(UW Medicine),</w:t>
            </w:r>
            <w:r>
              <w:t xml:space="preserve"> </w:t>
            </w:r>
            <w:r>
              <w:t xml:space="preserve">“BAN-map”</w:t>
            </w:r>
            <w:r>
              <w:t xml:space="preserve"> </w:t>
            </w:r>
            <w:r>
              <w:t xml:space="preserve">(Cedars-Sinai),</w:t>
            </w:r>
            <w:r>
              <w:t xml:space="preserve"> </w:t>
            </w:r>
            <w:r>
              <w:t xml:space="preserve">“Bifrost”</w:t>
            </w:r>
            <w:r>
              <w:t xml:space="preserve"> </w:t>
            </w:r>
            <w:r>
              <w:t xml:space="preserve">(Sainsbury Lab)</w:t>
            </w:r>
          </w:p>
        </w:tc>
        <w:tc>
          <w:tcPr/>
          <w:p>
            <w:pPr>
              <w:pStyle w:val="Compact"/>
            </w:pPr>
            <w:r>
              <w:t xml:space="preserve">DeFAb-Health pipeline, polynomial-time verifier, M5 visual grounding modality</w:t>
            </w:r>
          </w:p>
        </w:tc>
      </w:tr>
      <w:tr>
        <w:tc>
          <w:tcPr/>
          <w:p>
            <w:pPr>
              <w:pStyle w:val="Compact"/>
            </w:pPr>
            <w:r>
              <w:rPr>
                <w:b/>
                <w:bCs/>
              </w:rPr>
              <w:t xml:space="preserve">One-sentence problem-solution</w:t>
            </w:r>
          </w:p>
        </w:tc>
        <w:tc>
          <w:tcPr/>
          <w:p>
            <w:pPr>
              <w:pStyle w:val="Compact"/>
            </w:pPr>
            <w:r>
              <w:t xml:space="preserve">“Using Fiber-seq to map the 99% of the genome that remains a mystery”</w:t>
            </w:r>
          </w:p>
        </w:tc>
        <w:tc>
          <w:tcPr/>
          <w:p>
            <w:pPr>
              <w:pStyle w:val="Compact"/>
            </w:pPr>
            <w:r>
              <w:t xml:space="preserve">“Converting NIH biomedical ontologies into verified evaluation instances for exception-aware reasoning”</w:t>
            </w:r>
          </w:p>
        </w:tc>
      </w:tr>
      <w:tr>
        <w:tc>
          <w:tcPr/>
          <w:p>
            <w:pPr>
              <w:pStyle w:val="Compact"/>
            </w:pPr>
            <w:r>
              <w:rPr>
                <w:b/>
                <w:bCs/>
              </w:rPr>
              <w:t xml:space="preserve">Order-of-magnitude speedup</w:t>
            </w:r>
          </w:p>
        </w:tc>
        <w:tc>
          <w:tcPr/>
          <w:p>
            <w:pPr>
              <w:pStyle w:val="Compact"/>
            </w:pPr>
            <w:r>
              <w:t xml:space="preserve">Spore.Bio: detection</w:t>
            </w:r>
            <w:r>
              <w:t xml:space="preserve"> </w:t>
            </w:r>
            <w:r>
              <w:t xml:space="preserve">“from days to under an hour”</w:t>
            </w:r>
          </w:p>
        </w:tc>
        <w:tc>
          <w:tcPr/>
          <w:p>
            <w:pPr>
              <w:pStyle w:val="Compact"/>
            </w:pPr>
            <w:r>
              <w:t xml:space="preserve">Verifier-backed training: exact reward signals without human annotation, cutting fine-tuning data generation from months to hours</w:t>
            </w:r>
          </w:p>
        </w:tc>
      </w:tr>
      <w:tr>
        <w:tc>
          <w:tcPr/>
          <w:p>
            <w:pPr>
              <w:pStyle w:val="Compact"/>
            </w:pPr>
            <w:r>
              <w:rPr>
                <w:b/>
                <w:bCs/>
              </w:rPr>
              <w:t xml:space="preserve">Foundational infrastructure</w:t>
            </w:r>
          </w:p>
        </w:tc>
        <w:tc>
          <w:tcPr/>
          <w:p>
            <w:pPr>
              <w:pStyle w:val="Compact"/>
            </w:pPr>
            <w:r>
              <w:t xml:space="preserve">Rockefeller: genome pipeline for 1.8M species</w:t>
            </w:r>
          </w:p>
        </w:tc>
        <w:tc>
          <w:tcPr/>
          <w:p>
            <w:pPr>
              <w:pStyle w:val="Compact"/>
            </w:pPr>
            <w:r>
              <w:t xml:space="preserve">DeFAb: ontology-agnostic pipeline any institution extends to their domain</w:t>
            </w:r>
          </w:p>
        </w:tc>
      </w:tr>
      <w:tr>
        <w:tc>
          <w:tcPr/>
          <w:p>
            <w:pPr>
              <w:pStyle w:val="Compact"/>
            </w:pPr>
            <w:r>
              <w:rPr>
                <w:b/>
                <w:bCs/>
              </w:rPr>
              <w:t xml:space="preserve">Working prototype</w:t>
            </w:r>
          </w:p>
        </w:tc>
        <w:tc>
          <w:tcPr/>
          <w:p>
            <w:pPr>
              <w:pStyle w:val="Compact"/>
            </w:pPr>
            <w:r>
              <w:t xml:space="preserve">All 12 had operational technology at application</w:t>
            </w:r>
          </w:p>
        </w:tc>
        <w:tc>
          <w:tcPr/>
          <w:p>
            <w:pPr>
              <w:pStyle w:val="Compact"/>
            </w:pPr>
            <w:r>
              <w:t xml:space="preserve">372K instances, 33.7M rules, 4 frontier models evaluated, pipeline open-source</w:t>
            </w:r>
          </w:p>
        </w:tc>
      </w:tr>
      <w:tr>
        <w:tc>
          <w:tcPr/>
          <w:p>
            <w:pPr>
              <w:pStyle w:val="Compact"/>
            </w:pPr>
            <w:r>
              <w:rPr>
                <w:b/>
                <w:bCs/>
              </w:rPr>
              <w:t xml:space="preserve">Open science commitment</w:t>
            </w:r>
          </w:p>
        </w:tc>
        <w:tc>
          <w:tcPr/>
          <w:p>
            <w:pPr>
              <w:pStyle w:val="Compact"/>
            </w:pPr>
            <w:r>
              <w:t xml:space="preserve">“Open source datasets and solutions that can power breakthroughs far beyond their own applications”</w:t>
            </w:r>
          </w:p>
        </w:tc>
        <w:tc>
          <w:tcPr/>
          <w:p>
            <w:pPr>
              <w:pStyle w:val="Compact"/>
            </w:pPr>
            <w:r>
              <w:t xml:space="preserve">MIT license, CC-BY 4.0 datasets, Apache 2.0 models, public leaderboard</w:t>
            </w:r>
          </w:p>
        </w:tc>
      </w:tr>
      <w:tr>
        <w:tc>
          <w:tcPr/>
          <w:p>
            <w:pPr>
              <w:pStyle w:val="Compact"/>
            </w:pPr>
            <w:r>
              <w:rPr>
                <w:b/>
                <w:bCs/>
              </w:rPr>
              <w:t xml:space="preserve">Interdisciplinary team</w:t>
            </w:r>
          </w:p>
        </w:tc>
        <w:tc>
          <w:tcPr/>
          <w:p>
            <w:pPr>
              <w:pStyle w:val="Compact"/>
            </w:pPr>
            <w:r>
              <w:t xml:space="preserve">Domain experts + AI/ML</w:t>
            </w:r>
          </w:p>
        </w:tc>
        <w:tc>
          <w:tcPr/>
          <w:p>
            <w:pPr>
              <w:pStyle w:val="Compact"/>
            </w:pPr>
            <w:r>
              <w:t xml:space="preserve">Neurosymbolic AI (Velasquez) + knowledge engineering (Cooper) + biomedical informatics (postdoc)</w:t>
            </w:r>
          </w:p>
        </w:tc>
      </w:tr>
      <w:tr>
        <w:tc>
          <w:tcPr/>
          <w:p>
            <w:pPr>
              <w:pStyle w:val="Compact"/>
            </w:pPr>
            <w:r>
              <w:rPr>
                <w:b/>
                <w:bCs/>
              </w:rPr>
              <w:t xml:space="preserve">Global scope</w:t>
            </w:r>
          </w:p>
        </w:tc>
        <w:tc>
          <w:tcPr/>
          <w:p>
            <w:pPr>
              <w:pStyle w:val="Compact"/>
            </w:pPr>
            <w:r>
              <w:t xml:space="preserve">Multiple continents</w:t>
            </w:r>
          </w:p>
        </w:tc>
        <w:tc>
          <w:tcPr/>
          <w:p>
            <w:pPr>
              <w:pStyle w:val="Compact"/>
            </w:pPr>
            <w:r>
              <w:t xml:space="preserve">UMLS covers 189 vocabularies across international terminologies</w:t>
            </w:r>
          </w:p>
        </w:tc>
      </w:tr>
      <w:tr>
        <w:tc>
          <w:tcPr/>
          <w:p>
            <w:pPr>
              <w:pStyle w:val="Compact"/>
            </w:pPr>
            <w:r>
              <w:rPr>
                <w:b/>
                <w:bCs/>
              </w:rPr>
              <w:t xml:space="preserve">Professional, factual tone</w:t>
            </w:r>
          </w:p>
        </w:tc>
        <w:tc>
          <w:tcPr/>
          <w:p>
            <w:pPr>
              <w:pStyle w:val="Compact"/>
            </w:pPr>
            <w:r>
              <w:t xml:space="preserve">No emotional appeals; clear statements of gap and solution</w:t>
            </w:r>
          </w:p>
        </w:tc>
        <w:tc>
          <w:tcPr/>
          <w:p>
            <w:pPr>
              <w:pStyle w:val="Compact"/>
            </w:pPr>
            <w:r>
              <w:t xml:space="preserve">Application language should state problems factually and focus on what AI makes newly possible</w:t>
            </w:r>
          </w:p>
        </w:tc>
      </w:tr>
    </w:tbl>
    <w:p>
      <w:pPr>
        <w:pStyle w:val="BodyText"/>
      </w:pPr>
      <w:r>
        <w:rPr>
          <w:b/>
          <w:bCs/>
        </w:rPr>
        <w:t xml:space="preserve">Key framing principle from winners</w:t>
      </w:r>
      <w:r>
        <w:t xml:space="preserve">: Google.org describes the goal as helping researchers</w:t>
      </w:r>
      <w:r>
        <w:t xml:space="preserve"> </w:t>
      </w:r>
      <w:r>
        <w:t xml:space="preserve">“achieve in years what used to take decades.”</w:t>
      </w:r>
      <w:r>
        <w:t xml:space="preserve"> </w:t>
      </w:r>
      <w:r>
        <w:t xml:space="preserve">Our equivalent: Four decades of government-funded knowledge engineering produced the biomedical exception structures that AI needs to reason safely. DeFAb-Health converts this public investment into verified training infrastructure, the same way AlphaFold converted 50 years of Protein Data Bank structures into a tool that reshaped drug discovery. The data was always there. The pipeline to unlock it was not.</w:t>
      </w:r>
    </w:p>
    <w:p>
      <w:r>
        <w:pict>
          <v:rect style="width:0;height:1.5pt" o:hralign="center" o:hrstd="t" o:hr="t"/>
        </w:pict>
      </w:r>
    </w:p>
    <w:p>
      <w:pPr>
        <w:pStyle w:val="FirstParagraph"/>
      </w:pPr>
      <w:r>
        <w:rPr>
          <w:b/>
          <w:bCs/>
        </w:rPr>
        <w:t xml:space="preserve">Maintained by</w:t>
      </w:r>
      <w:r>
        <w:t xml:space="preserve">: Patrick Cooper</w:t>
      </w:r>
      <w:r>
        <w:t xml:space="preserve"> </w:t>
      </w:r>
      <w:r>
        <w:rPr>
          <w:b/>
          <w:bCs/>
        </w:rPr>
        <w:t xml:space="preserve">Next update</w:t>
      </w:r>
      <w:r>
        <w:t xml:space="preserve">: After application submission (April 17, 2026)</w:t>
      </w:r>
      <w:r>
        <w:t xml:space="preserve"> </w:t>
      </w:r>
      <w:r>
        <w:rPr>
          <w:b/>
          <w:bCs/>
        </w:rPr>
        <w:t xml:space="preserve">See also</w:t>
      </w:r>
      <w:r>
        <w:t xml:space="preserve">:</w:t>
      </w:r>
      <w:r>
        <w:t xml:space="preserve"> </w:t>
      </w:r>
      <w:r>
        <w:rPr>
          <w:rStyle w:val="VerbatimChar"/>
        </w:rPr>
        <w:t xml:space="preserve">paper/google_org_brief.tex</w:t>
      </w:r>
      <w:r>
        <w:t xml:space="preserve">,</w:t>
      </w:r>
      <w:r>
        <w:t xml:space="preserve"> </w:t>
      </w:r>
      <w:r>
        <w:rPr>
          <w:rStyle w:val="VerbatimChar"/>
        </w:rPr>
        <w:t xml:space="preserve">paper/genesis_abstract.tex</w:t>
      </w:r>
      <w:r>
        <w:t xml:space="preserve">,</w:t>
      </w:r>
      <w:r>
        <w:t xml:space="preserve"> </w:t>
      </w:r>
      <w:r>
        <w:rPr>
          <w:rStyle w:val="VerbatimChar"/>
        </w:rPr>
        <w:t xml:space="preserve">paper/dataset_paper.tex</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2026-04-10T16:15:41Z</dcterms:created>
  <dcterms:modified xsi:type="dcterms:W3CDTF">2026-04-10T16:15:41Z</dcterms:modified>
</cp:coreProperties>
</file>

<file path=docProps/custom.xml><?xml version="1.0" encoding="utf-8"?>
<Properties xmlns="http://schemas.openxmlformats.org/officeDocument/2006/custom-properties" xmlns:vt="http://schemas.openxmlformats.org/officeDocument/2006/docPropsVTypes"/>
</file>