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Bookishness bei Jessica Pressman</w:t>
      </w:r>
    </w:p>
    <w:p>
      <w:pPr>
        <w:pStyle w:val="Subtitle"/>
      </w:pPr>
      <w:r>
        <w:t>Begriff und Beispiele für die Debatte über Lesen und digitale Kultur</w:t>
      </w:r>
    </w:p>
    <w:p>
      <w:r>
        <w:t>Jessica Pressman untersucht, warum Menschen im digitalen Zeitalter weiterhin an Büchern hängen und deren Gestalt immer wieder aufgreifen. Ihre Untersuchung verschiebt die Frage: Neben dem Lesen interessieren sie der Besitz, die Ausstellung, die Gestaltung und die symbolische Bedeutung von Büchern. Die digitale Kultur verändert das Buch, eröffnet ihm aber zugleich neue Ausdrucksformen. [1; 2, S. 110–111]</w:t>
      </w:r>
    </w:p>
    <w:p>
      <w:pPr>
        <w:pStyle w:val="Heading2"/>
      </w:pPr>
      <w:r>
        <w:t>Was Bookishness bedeutet</w:t>
      </w:r>
    </w:p>
    <w:p>
      <w:r>
        <w:t>Bookishness bezeichnet bei Pressman eine Verbindung von ästhetischen, sozialen, technischen und emotionalen Beziehungen zum Buch. Das Buch erscheint als wertvoller Gegenstand und als Zeichen für etwas: Bildung, Zugehörigkeit, Erinnerung, Geborgenheit oder einen bestimmten Lebensstil. Es kann diese Funktionen auch dann erfüllen, wenn gerade niemand darin liest. [2, S. 110–111]</w:t>
      </w:r>
    </w:p>
    <w:p>
      <w:r>
        <w:t>Eine angemessene deutsche Umschreibung lautet deshalb «kulturelle und ästhetische Bindung an das Buch». «Bücherliebe» erfasst die emotionale Seite, reicht als Übersetzung aber nicht aus. Bookishness umfasst ebenso künstlerische Verfahren und die öffentliche Inszenierung einer Identität. Eine Person kann Bücher intensiv lesen, ohne diese Bindung auszustellen; umgekehrt kann eine Buchinszenierung sichtbar sein, ohne dass sich daraus die Lektüre ableiten lässt.</w:t>
      </w:r>
    </w:p>
    <w:p>
      <w:pPr>
        <w:pStyle w:val="Heading2"/>
      </w:pPr>
      <w:r>
        <w:t>Das Buch als Text als Gegenstand und als Zeichen</w:t>
      </w:r>
    </w:p>
    <w:p>
      <w:r>
        <w:t>Ein Roman enthält eine sprachliche Erzählung. Seine konkrete Ausgabe besitzt zugleich ein Format, einen Einband, eine Typografie und Gebrauchsspuren. Wird sie verschenkt, fotografiert oder im Regal präsentiert, erhält sie weitere Bedeutungen. Pressmans Perspektive verbindet diese Ebenen. Die Papiergestalt ist keine nebensächliche Verpackung; in manchen Werken trägt sie unmittelbar zur literarischen Bedeutung bei. [2, S. 110–113]</w:t>
      </w:r>
    </w:p>
    <w:p>
      <w:pPr>
        <w:pStyle w:val="Heading2"/>
      </w:pPr>
      <w:r>
        <w:t>Warum digitale Medien dazugehören</w:t>
      </w:r>
    </w:p>
    <w:p>
      <w:r>
        <w:t>Ein «Shelfie», also ein digitales Bild eines Bücherregals oder einer Person davor, macht diese Verbindung anschaulich. Das gedruckte Buch verleiht der Selbstdarstellung kulturelle Bedeutung; die digitale Plattform verbreitet sie. Buch und Bildschirm wirken hier zusammen. Auch ein Film über Bücher oder ein Werk, das nur durch die Verbindung von Buch und Computer lesbar wird, gehört zu diesem Beziehungsgefüge. [2, S. 111–113]</w:t>
      </w:r>
    </w:p>
    <w:p>
      <w:pPr>
        <w:spacing w:before="100"/>
      </w:pPr>
      <w:r>
        <w:rPr>
          <w:color w:val="444444"/>
          <w:sz w:val="18"/>
        </w:rPr>
        <w:t>Die Erklärung der fünf Leitfiguren und der Fallbeispiele folgt der Rezension von Grzegorz Maziarczyk [2]. Eigene Übertragungen und Unterrichtsimpulse werden gesondert ausgewiesen. Quellenangaben und Begriffe stehen auf Seite 7.</w:t>
      </w:r>
    </w:p>
    <w:p>
      <w:pPr>
        <w:pStyle w:val="Heading1"/>
        <w:pageBreakBefore/>
      </w:pPr>
      <w:r>
        <w:t>Die fünf Leitfiguren der Bookishness</w:t>
      </w:r>
    </w:p>
    <w:p>
      <w:r>
        <w:t>Pressman gliedert den Hauptteil ihres Buches nach fünf Figuren. Sie beschreiben verschiedene Funktionen, die ein Buch annehmen kann. Ein einzelnes Werk lässt sich durchaus mit mehreren dieser Figuren untersuchen. [1; 2, S. 112–115]</w:t>
      </w:r>
    </w:p>
    <w:tbl>
      <w:tblPr>
        <w:tblW w:type="auto" w:w="0"/>
        <w:jc w:val="center"/>
        <w:tblLayout w:type="fixed"/>
        <w:tblLook w:firstColumn="1" w:firstRow="1" w:lastColumn="0" w:lastRow="0" w:noHBand="0" w:noVBand="1" w:val="04A0"/>
      </w:tblPr>
      <w:tblGrid>
        <w:gridCol w:w="1440"/>
        <w:gridCol w:w="1656"/>
        <w:gridCol w:w="6768"/>
      </w:tblGrid>
      <w:tr>
        <w:trPr>
          <w:cantSplit/>
          <w:tblHeader/>
        </w:trP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BEF"/>
          </w:tcPr>
          <w:p>
            <w:pPr>
              <w:spacing w:after="40" w:line="252" w:lineRule="auto"/>
            </w:pPr>
            <w:r>
              <w:rPr>
                <w:b/>
                <w:sz w:val="20"/>
              </w:rPr>
              <w:t>Begriff</w:t>
            </w:r>
          </w:p>
        </w:tc>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BEF"/>
          </w:tcPr>
          <w:p>
            <w:pPr>
              <w:spacing w:after="40" w:line="252" w:lineRule="auto"/>
            </w:pPr>
            <w:r>
              <w:rPr>
                <w:b/>
                <w:sz w:val="20"/>
              </w:rPr>
              <w:t>Übersetzung</w:t>
            </w:r>
          </w:p>
        </w:tc>
        <w:tc>
          <w:tcPr>
            <w:tcW w:type="dxa" w:w="67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BEF"/>
          </w:tcPr>
          <w:p>
            <w:pPr>
              <w:spacing w:after="40" w:line="252" w:lineRule="auto"/>
            </w:pPr>
            <w:r>
              <w:rPr>
                <w:b/>
                <w:sz w:val="20"/>
              </w:rPr>
              <w:t>Funktion</w:t>
            </w:r>
          </w:p>
        </w:tc>
      </w:tr>
      <w:tr>
        <w:trPr>
          <w:cantSplit/>
        </w:trP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0"/>
              </w:rPr>
              <w:t>Shelter</w:t>
            </w:r>
          </w:p>
        </w:tc>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0"/>
              </w:rPr>
              <w:t>Schutzraum</w:t>
            </w:r>
          </w:p>
        </w:tc>
        <w:tc>
          <w:tcPr>
            <w:tcW w:type="dxa" w:w="67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0"/>
              </w:rPr>
              <w:t>Das Buch verspricht Rückzug, Halt und Erholung angesichts einer als bedrohlich wahrgenommenen digitalen Umwelt.</w:t>
            </w:r>
          </w:p>
        </w:tc>
      </w:tr>
      <w:tr>
        <w:trPr>
          <w:cantSplit/>
        </w:trP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0"/>
              </w:rPr>
              <w:t>Thing</w:t>
            </w:r>
          </w:p>
        </w:tc>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0"/>
              </w:rPr>
              <w:t>Ding</w:t>
            </w:r>
          </w:p>
        </w:tc>
        <w:tc>
          <w:tcPr>
            <w:tcW w:type="dxa" w:w="67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0"/>
              </w:rPr>
              <w:t>Papier, Einband und Gebrauchsspuren machen das Buch zu einem Gegenstand, an dem Gefühle und Beziehungen hängen.</w:t>
            </w:r>
          </w:p>
        </w:tc>
      </w:tr>
      <w:tr>
        <w:trPr>
          <w:cantSplit/>
        </w:trP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0"/>
              </w:rPr>
              <w:t>Fake</w:t>
            </w:r>
          </w:p>
        </w:tc>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0"/>
              </w:rPr>
              <w:t>Nachahmung</w:t>
            </w:r>
          </w:p>
        </w:tc>
        <w:tc>
          <w:tcPr>
            <w:tcW w:type="dxa" w:w="67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0"/>
              </w:rPr>
              <w:t>Buchbilder, Buchattrappen und inszenierte Ausgaben übernehmen die Gestalt oder kulturelle Autorität eines Buches.</w:t>
            </w:r>
          </w:p>
        </w:tc>
      </w:tr>
      <w:tr>
        <w:trPr>
          <w:cantSplit/>
        </w:trP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0"/>
              </w:rPr>
              <w:t>Weapon</w:t>
            </w:r>
          </w:p>
        </w:tc>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0"/>
              </w:rPr>
              <w:t>Waffe</w:t>
            </w:r>
          </w:p>
        </w:tc>
        <w:tc>
          <w:tcPr>
            <w:tcW w:type="dxa" w:w="67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0"/>
              </w:rPr>
              <w:t>Ein literarisches Werk setzt seine besondere materielle Form gegen die Vorstellung ein, Texte seien beliebig übertragbare Daten.</w:t>
            </w:r>
          </w:p>
        </w:tc>
      </w:tr>
      <w:tr>
        <w:trPr>
          <w:cantSplit/>
        </w:trP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0"/>
              </w:rPr>
              <w:t>Memorial</w:t>
            </w:r>
          </w:p>
        </w:tc>
        <w:tc>
          <w:tcPr>
            <w:tcW w:type="dxa" w:w="16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0"/>
              </w:rPr>
              <w:t>Denkmal</w:t>
            </w:r>
          </w:p>
        </w:tc>
        <w:tc>
          <w:tcPr>
            <w:tcW w:type="dxa" w:w="67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0"/>
              </w:rPr>
              <w:t>Die Gestalt des Buches macht Erinnerung, Abwesenheit und Verlust erfahrbar.</w:t>
            </w:r>
          </w:p>
        </w:tc>
      </w:tr>
    </w:tbl>
    <w:p>
      <w:pPr>
        <w:pStyle w:val="Heading2"/>
      </w:pPr>
      <w:r>
        <w:t>Schutz und Widerstand sind Deutungen</w:t>
      </w:r>
    </w:p>
    <w:p>
      <w:r>
        <w:t>Wenn Bücher als Schutzraum erscheinen, ist damit eine kulturelle Zuschreibung gemeint. Die Figur beweist nicht, dass Papier grundsätzlich beruhigt oder Bildschirme grundsätzlich schaden. «Waffe» meint eine ästhetische Gegenposition: Ein Werk betont gerade jene Eigenschaften seiner gedruckten Form, die eine blosse Übertragung des Wortlauts verfehlen würde. [2, S. 112; 114]</w:t>
      </w:r>
    </w:p>
    <w:p>
      <w:pPr>
        <w:pStyle w:val="Heading2"/>
      </w:pPr>
      <w:r>
        <w:t>Nachahmung bedeutet nicht automatisch Täuschung</w:t>
      </w:r>
    </w:p>
    <w:p>
      <w:r>
        <w:t>Pressman bezieht «Fake» sowohl auf digitale Buchbilder als auch auf körperliche Buchformen, die ihrer üblichen Lesefunktion entzogen sind. Als «Blooks» werden etwa Gegenstände bezeichnet, die Bücher nachahmen. Auch Kitsch kann Zugehörigkeit ausdrücken und eine Gemeinschaft von Buchliebenden ansprechen. Die Frage lautet daher, welche Beziehungen eine Nachahmung ermöglicht. [2, S. 113]</w:t>
      </w:r>
    </w:p>
    <w:p>
      <w:pPr>
        <w:pStyle w:val="Heading2"/>
      </w:pPr>
      <w:r>
        <w:t>Die Figuren stehen in Spannung zueinander</w:t>
      </w:r>
    </w:p>
    <w:p>
      <w:r>
        <w:t>Ein Buch kann als vermeintlich authentischer Gegenstand verehrt werden, obwohl seine Gestaltung sorgfältig simuliert ist. Es kann an vergangene Buchkultur erinnern und zugleich mit digitaler Technik produziert werden. Solche Spannungen sind kein Randproblem: Sie zeigen, wie eng Bookishness und digitale Medien miteinander verbunden sind. [2, S. 113–115]</w:t>
      </w:r>
    </w:p>
    <w:p>
      <w:pPr>
        <w:pStyle w:val="Heading1"/>
        <w:pageBreakBefore/>
      </w:pPr>
      <w:r>
        <w:t>Wie die Beispiele den Begriff erklären</w:t>
      </w:r>
    </w:p>
    <w:p>
      <w:pPr>
        <w:pStyle w:val="Heading2"/>
      </w:pPr>
      <w:r>
        <w:t>Between Page and Screen</w:t>
      </w:r>
    </w:p>
    <w:p>
      <w:r>
        <w:t>Amaranth Borsuk und Brad Bous verbinden in diesem Projekt ein physisches Buch mit einem Computer. Erst ihr Zusammenwirken ermöglicht die literarische Aufführung. Die Lektüre entsteht in einem technischen Kreislauf, in den die Lesenden das Buch einbringen müssen. Maziarczyks Darstellung von Pressmans Analyse zeigt hier eine Bookishness, die ohne digitale Medien gar nicht funktionieren würde. [2, S. 111–112]</w:t>
      </w:r>
    </w:p>
    <w:p>
      <w:r>
        <w:t>Der analytische Gewinn liegt in der Abhängigkeit der Medien voneinander. Wer nur den Gegensatz «Papier oder Bildschirm» betrachtet, übersieht, dass beide Bestandteile einer gemeinsamen Leseanordnung werden können.</w:t>
      </w:r>
    </w:p>
    <w:p>
      <w:pPr>
        <w:pStyle w:val="Heading2"/>
      </w:pPr>
      <w:r>
        <w:t>S von J J Abrams und Doug Dorst</w:t>
      </w:r>
    </w:p>
    <w:p>
      <w:r>
        <w:t>S. imitiert ein altes Bibliotheksbuch mit Stempeln und handschriftlichen Randnotizen. Die Herstellung simuliert damit eine Gebrauchsgeschichte. Das Neue erscheint als bereits benutztes, mit persönlichen Spuren versehenes Objekt. Nach Maziarczyks Referat kritisiert Pressman zugleich, dass die Begeisterung für diese materielle Inszenierung die Auseinandersetzung mit dem sprachlichen Inhalt überlagern kann. [2, S. 113–114]</w:t>
      </w:r>
    </w:p>
    <w:p>
      <w:r>
        <w:t>Dieses Beispiel macht eine schwierige Unterscheidung sichtbar: Eine Ausgabe kann eine überzeugende Atmosphäre von Literatur erzeugen, ohne dass damit schon die Qualität ihres Textes beurteilt ist. Die sinnliche Attraktivität eines Buches und seine literarische Leistung müssen jeweils untersucht werden.</w:t>
      </w:r>
    </w:p>
    <w:p>
      <w:pPr>
        <w:pStyle w:val="Heading2"/>
      </w:pPr>
      <w:r>
        <w:t>House of Leaves und The Raw Shark Texts</w:t>
      </w:r>
    </w:p>
    <w:p>
      <w:r>
        <w:t>Mark Z. Danielewskis House of Leaves und Steven Halls The Raw Shark Texts stehen in der Rezension für die Figur der «Waffe». Ihre typografisch und materiell eigenwillige Form macht das Buch selbst zu einem Teil der Bedeutungsproduktion. Pressmans Analysen richten sich gegen die Vorstellung, digital gespeicherte Information sei von ihrer konkreten Darstellung unabhängig. [2, S. 114]</w:t>
      </w:r>
    </w:p>
    <w:p>
      <w:r>
        <w:t>Die interpretatorische Frage lautet: Was geht verloren, wenn man nur die Wörter übernimmt? Anordnung, Bildlichkeit und der Umgang mit Seiten können Bedeutung tragen, die eine lineare Abschrift nicht wiedergibt. Daraus folgt keine generelle Unmöglichkeit digitaler Gestaltung, sondern die Notwendigkeit, jede Übertragung als gestalterische Entscheidung zu untersuchen.</w:t>
      </w:r>
    </w:p>
    <w:p>
      <w:pPr>
        <w:pStyle w:val="Heading2"/>
      </w:pPr>
      <w:r>
        <w:t>Tree of Codes von Jonathan Safran Foer</w:t>
      </w:r>
    </w:p>
    <w:p>
      <w:r>
        <w:t>Foers Buch arbeitet mit ausgestanzten Seiten und Textresten aus der englischen Übersetzung von Bruno Schulz’ The Street of Crocodiles. Die Löcher werden bei Pressman zu einer Darstellung von Verlust und zu einem Gedenken an Schulz und den Holocaust. Zugleich legt ihre Analyse die digitale Herstellung dieser scheinbar besonders analogen Buchkunst offen. [2, S. 114–115]</w:t>
      </w:r>
    </w:p>
    <w:p>
      <w:r>
        <w:t>Pressman betont 2021 selbst, dass ein solches Denkmal zugleich vergangenheitsbezogen und experimentell sein kann. Erinnerung muss neue Formen nicht ausschliessen. [4]</w:t>
      </w:r>
    </w:p>
    <w:p>
      <w:pPr>
        <w:pStyle w:val="Heading1"/>
        <w:pageBreakBefore/>
      </w:pPr>
      <w:r>
        <w:t>Was Bookishness zur Lesedebatte beiträgt</w:t>
      </w:r>
    </w:p>
    <w:p>
      <w:pPr>
        <w:pStyle w:val="Heading2"/>
      </w:pPr>
      <w:r>
        <w:t>Bücherliebe und Lektüre sind verschiedene Fragen</w:t>
      </w:r>
    </w:p>
    <w:p>
      <w:r>
        <w:t>Aus Pressmans Ansatz ergibt sich eine wichtige Unterscheidung für die Lesedebatte: Die Sichtbarkeit von Büchern sagt zunächst etwas über ihren kulturellen Wert. Wie häufig, wie lange und mit welchem Verständnis gelesen wird, muss gesondert untersucht werden. Ein schönes Regal belegt keine intensive Lektüre; eine unsichtbare digitale Lektüre ist deshalb nicht schon weniger anspruchsvoll. Diese Schlussfolgerung ist eine Anwendung des Begriffs, kein statistischer Befund Pressmans.</w:t>
      </w:r>
    </w:p>
    <w:p>
      <w:r>
        <w:t>Gerade deshalb widerlegt Bookishness eine mögliche Lesekrise nicht. Eine Gesellschaft kann Bücher als Symbole bewundern und zugleich Schwierigkeiten mit längeren Texten haben. Ebenso kann eine Buchinszenierung den Einstieg in wirkliche Lektüre erleichtern. Welche Wirkung eintritt, lässt sich am Bild allein nicht entscheiden.</w:t>
      </w:r>
    </w:p>
    <w:p>
      <w:pPr>
        <w:pStyle w:val="Heading2"/>
      </w:pPr>
      <w:r>
        <w:t>Zugehörigkeit und soziale Abgrenzung</w:t>
      </w:r>
    </w:p>
    <w:p>
      <w:r>
        <w:t>Maziarczyk hebt Pressmans Verbindung von Buchkultur, Macht, sozialer Klasse und Identität hervor. Der Besitz von Büchern kann der Selbstgestaltung dienen. Zugleich ist die Gleichsetzung voller Lesekompetenz mit der Lektüre gedruckter Romane sozial voraussetzungsvoll: Sie setzt eine bestimmte Vorstellung legitimer Kultur und verfügbarer Freizeit voraus. [2, S. 111]</w:t>
      </w:r>
    </w:p>
    <w:p>
      <w:r>
        <w:t>Für den Unterricht bedeutet das nicht, anspruchsvolle Romane aufzugeben. Es bedeutet, die Bewertung von Textverstehen von der Bewertung eines kulturellen Habitus zu unterscheiden. Die Frage «Kann diese Person komplexe Zusammenhänge verstehen?» ist eine andere als «Zeigt sie die erwarteten Zeichen von Bücherliebe?». Diese pädagogische Folgerung erweitert Pressmans Perspektive.</w:t>
      </w:r>
    </w:p>
    <w:p>
      <w:pPr>
        <w:pStyle w:val="Heading2"/>
      </w:pPr>
      <w:r>
        <w:t>Gefühle und Konsum wirken zusammen</w:t>
      </w:r>
    </w:p>
    <w:p>
      <w:r>
        <w:t>Bücher können Erinnerungsstücke sein, körperliche Nähe vermitteln oder Gemeinschaft stiften. Gerade diese emotionale Bindung kann auch wirtschaftlich genutzt werden: Buchgestalt und Literaturbezüge werden zu verkäuflichen Waren. Die von Maziarczyk erläuterten Beispiele reichen von Alltagsgegenständen bis zu aufwendig gestalteten literarischen Ausgaben. Bookishness umfasst damit sowohl Bindung als auch Vermarktung. [2, S. 112–114]</w:t>
      </w:r>
    </w:p>
    <w:p>
      <w:r>
        <w:t>Eine kritische Analyse muss beides ernst nehmen. Wer jedes Buchaccessoire als oberflächlich abtut, verkennt mögliche Zugehörigkeit. Wer jede schöne Ausgabe als Beitrag zur Lesekultur feiert, übersieht die Möglichkeit, dass der Kauf das Lesen ersetzt. Entscheidend ist der konkrete Gebrauch.</w:t>
      </w:r>
    </w:p>
    <w:p>
      <w:pPr>
        <w:pStyle w:val="Heading2"/>
      </w:pPr>
      <w:r>
        <w:t>Eine Anwendung auf BookTok und Bookstagram</w:t>
      </w:r>
    </w:p>
    <w:p>
      <w:r>
        <w:t>Als eigene Übertragung lässt sich fragen, wie Buchvideos und Buchfotos Textlektüre, materielle Attraktivität und öffentliche Selbstdarstellung miteinander verbinden. Ein Clip kann eine genaue Interpretation enthalten, einen Kaufreiz setzen oder vor allem eine gewünschte Identität darstellen. Bookishness hilft, diese Ebenen zu unterscheiden. Sie erklärt jedoch für sich genommen weder die Verbreitung eines Beitrags noch seine Wirkung auf die Lesekompetenz.</w:t>
      </w:r>
    </w:p>
    <w:p>
      <w:pPr>
        <w:pStyle w:val="Heading1"/>
        <w:pageBreakBefore/>
      </w:pPr>
      <w:r>
        <w:t>Der theoretische Zusammenhang und seine Grenzen</w:t>
      </w:r>
    </w:p>
    <w:p>
      <w:pPr>
        <w:pStyle w:val="Heading2"/>
      </w:pPr>
      <w:r>
        <w:t>Von der ästhetischen Strategie zur kulturellen Bindung</w:t>
      </w:r>
    </w:p>
    <w:p>
      <w:r>
        <w:t>Pressmans Aufsatz von 2009 behandelt die ästhetische Bookishness am Beispiel von Steven Halls The Raw Shark Texts. Die wahrgenommene Bedrohung des Buches durch digitale Medien wird darin zum Anlass formaler Experimente. Die Buchgestalt antwortet auf Medienwandel. [3] Ihr Buch von 2020 erweitert den Blick auf eine Vielzahl literarischer und alltäglicher Gegenstände sowie auf emotionale und soziale Beziehungen zum Buch. [1; 2, S. 110]</w:t>
      </w:r>
    </w:p>
    <w:p>
      <w:pPr>
        <w:pStyle w:val="Heading2"/>
      </w:pPr>
      <w:r>
        <w:t>Die Verbindung zu Digital Modernism</w:t>
      </w:r>
    </w:p>
    <w:p>
      <w:r>
        <w:t>In Digital Modernism von 2014 untersucht Pressman digitale Literatur in Beziehung zum literarischen Modernismus. Ihre eigene Buchbeschreibung nennt unter anderem Ezra Pound, James Joyce und Bob Brown sowie digitale Werke von Young-hae Chang Heavy Industries, William Poundstone und Judd Morrissey. Sie plädiert dafür, digitale Werke sorgfältig und im Zusammenhang mit Literaturgeschichte zu lesen. [5]</w:t>
      </w:r>
    </w:p>
    <w:p>
      <w:r>
        <w:t>Diese Verbindung ist für Bookishness aufschlussreich: Medienwandel lässt sich als Auseinandersetzung mit früheren Formen verstehen. Digitale Literatur kann traditionelle Verfahren weiterentwickeln; eine neue gedruckte Buchform kann wiederum auf digitale Kultur reagieren. Daraus lässt sich eine gemeinsame Fragestellung ableiten: Wie verändern technische Formen die Möglichkeiten literarischer Bedeutung? Diese Zusammenführung ist eine Interpretation der beiden Projekte.</w:t>
      </w:r>
    </w:p>
    <w:p>
      <w:pPr>
        <w:pStyle w:val="Heading2"/>
      </w:pPr>
      <w:r>
        <w:t>Maziarczyks Einwand zur historischen Reichweite</w:t>
      </w:r>
    </w:p>
    <w:p>
      <w:r>
        <w:t>Der Rezensent fragt, ob Pressman Bookishness zu eng an die Gegenwart bindet. Er verweist auf ältere Traditionen, die die Materialität von Texten hervorheben, darunter antike Figurengedichte und typografische Experimente. Auch postmoderne Autoren wie B. S. Johnson und Raymond Federman hätten die besondere Buchform bereits gegenüber anderen Erzählmedien genutzt. [2, S. 111–112]</w:t>
      </w:r>
    </w:p>
    <w:p>
      <w:r>
        <w:t>Der Einwand betrifft die Unterscheidung zwischen Entstehung und Verstärkung eines Phänomens. Die digitale Kultur muss Bücherliebe oder materielle Literatur nicht erfunden haben, um ihre heutige Ausprägung entscheidend zu prägen. Pressman erkennt im Gespräch von 2021 ausdrücklich an, dass Buchausstellungen älter als digitale Medien sind; ihre These betrifft die gegenwärtige Verbreitung und Bedeutung solcher Bindungen. [4]</w:t>
      </w:r>
    </w:p>
    <w:p>
      <w:pPr>
        <w:pStyle w:val="Heading2"/>
      </w:pPr>
      <w:r>
        <w:t>Weitere Fragen für eine kritische Prüfung</w:t>
      </w:r>
    </w:p>
    <w:p>
      <w:r>
        <w:t>Maziarczyk kritisiert ausserdem eine stellenweise zu pauschale Verbindung von Digitalität und Nachahmung. [2, S. 115] Für die Weiterarbeit ergeben sich daraus Fragen: Welche konkrete Technik ist gemeint? Welche Art der Nachahmung liegt vor? Wird eine Eigenart eines einzelnen Werks unzulässig verallgemeinert?</w:t>
      </w:r>
    </w:p>
    <w:p>
      <w:r>
        <w:t>Bookishness ist ein kulturwissenschaftlicher Analysebegriff. Er macht Beziehungen sichtbar, ersetzt aber keine Untersuchung von Lesekompetenz, Lernwirkungen oder Mediennutzung. Seine Stärke liegt darin, die Bedeutung des Buches über den übertragenen Wortlaut hinaus zu erschliessen.</w:t>
      </w:r>
    </w:p>
    <w:p>
      <w:pPr>
        <w:pStyle w:val="Heading1"/>
        <w:pageBreakBefore/>
      </w:pPr>
      <w:r>
        <w:t>Unterrichtsimpulse und Schreibanlässe</w:t>
      </w:r>
    </w:p>
    <w:p>
      <w:r>
        <w:t>Die folgenden Aufgaben übertragen den Begriff auf konkrete Beobachtungen. Sie eignen sich für Mittelschulklassen und verlangen jeweils eine Unterscheidung zwischen Beschreibung, Deutung und belegbarer Wirkung.</w:t>
      </w:r>
    </w:p>
    <w:p>
      <w:pPr>
        <w:pStyle w:val="Heading2"/>
      </w:pPr>
      <w:r>
        <w:t>Ein Objekt mit drei Fragen untersuchen</w:t>
      </w:r>
    </w:p>
    <w:p>
      <w:r>
        <w:t>Wählen Sie eine Buchausgabe, ein Buchfoto, einen kurzen Buchclip oder einen Gegenstand in Buchform. Beschreiben Sie zuerst genau, was sichtbar ist. Untersuchen Sie danach drei Fragen: Was kann hier gelesen werden? Welche Bedeutung hat die materielle oder dargestellte Buchgestalt? Welche Zugehörigkeit oder Wertvorstellung wird vermittelt? Ordnen Sie mindestens eine Leitfigur zu und begründen Sie Ihre Wahl an Details.</w:t>
      </w:r>
    </w:p>
    <w:p>
      <w:r>
        <w:t>Hinweis zur Auswertung: Bei einem Shelfie wäre die Anordnung der Bücher beschreibbar, die Darstellung von Bildung oder Geschmack eine begründungsbedürftige Deutung und eine Aussage über tatsächliche Lesedauer ohne zusätzliche Informationen nicht belegbar.</w:t>
      </w:r>
    </w:p>
    <w:p>
      <w:pPr>
        <w:pStyle w:val="Heading2"/>
      </w:pPr>
      <w:r>
        <w:t>Eine Medienübertragung erproben</w:t>
      </w:r>
    </w:p>
    <w:p>
      <w:r>
        <w:t>Vergleichen Sie einen kurzen Text in seiner gestalteten Ausgabe mit einer reinen Abschrift. Halten Sie den Wortlaut möglichst konstant. Prüfen Sie, welche Bedeutung durch Typografie, Seitenwechsel, Format oder Gebrauchsspuren entsteht. Erklären Sie anschliessend, ob diese Bedeutung in einer digitalen Fassung bewahrt, verändert oder neu gestaltet werden könnte.</w:t>
      </w:r>
    </w:p>
    <w:p>
      <w:r>
        <w:t>Hinweis zur Auswertung: Nicht jede Formänderung ist bereits ein Bedeutungsverlust. Entscheidend ist eine konkrete Wirkung auf die Lektüre. «Papier ist schöner» reicht als Begründung nicht aus.</w:t>
      </w:r>
    </w:p>
    <w:p>
      <w:pPr>
        <w:pStyle w:val="Heading2"/>
      </w:pPr>
      <w:r>
        <w:t>Drei differenzierte Schreibanlässe</w:t>
      </w:r>
    </w:p>
    <w:p>
      <w:r>
        <w:t>1  Argumentativer Essay: «Was retten wir, wenn wir das Buch retten wollen?» Unterscheiden Sie Lesekompetenz, literarische Werke, materielle Gegenstände und kulturelle Zugehörigkeit. Formulieren Sie eine eigene Position und prüfen Sie einen ernstzunehmenden Einwand.</w:t>
      </w:r>
    </w:p>
    <w:p>
      <w:r>
        <w:t>2  Kulturkritische Analyse: Untersuchen Sie ein konkretes Beispiel öffentlicher Bücherliebe. Erklären Sie anhand von Pressmans Begriff, wie Lesen, Selbstinszenierung und Konsum miteinander verbunden sind. Vermeiden Sie Aussagen über die Motive der Beteiligten, die sich am Material nicht begründen lassen.</w:t>
      </w:r>
    </w:p>
    <w:p>
      <w:r>
        <w:t>3  Rede an eine Schulgemeinschaft: Entwickeln Sie einen Vorschlag zur Förderung anspruchsvoller Lektüre, der digitale Formen und die Bindung an physische Bücher einbezieht. Begründen Sie, welche Handlung tatsächlich Textarbeit fördern soll und woran ihr Erfolg erkennbar wäre.</w:t>
      </w:r>
    </w:p>
    <w:p>
      <w:pPr>
        <w:pStyle w:val="Heading2"/>
      </w:pPr>
      <w:r>
        <w:t>Fragen für das gemeinsame Gespräch</w:t>
      </w:r>
    </w:p>
    <w:p>
      <w:r>
        <w:t>Kann die Liebe zu einem Buch unabhängig von seinem Inhalt sinnvoll sein? Wann schafft die Inszenierung von Bücherliebe Gemeinschaft, wann grenzt sie aus? Kann die Erinnerung an eine vergangene Buchkultur neue Literatur hervorbringen? Welche zusätzlichen Informationen wären nötig, um zu prüfen, ob sichtbare Bookishness auch zu mehr oder besserem Lesen führt?</w:t>
      </w:r>
    </w:p>
    <w:p>
      <w:pPr>
        <w:pStyle w:val="Heading1"/>
        <w:pageBreakBefore/>
      </w:pPr>
      <w:r>
        <w:t>Begriffe und Quellen</w:t>
      </w:r>
    </w:p>
    <w:p>
      <w:pPr>
        <w:pStyle w:val="Heading2"/>
      </w:pPr>
      <w:r>
        <w:t>Kurzes Glossar</w:t>
      </w:r>
    </w:p>
    <w:p>
      <w:r>
        <w:t>Materialität bezeichnet die konkrete körperliche und technische Beschaffenheit eines Mediums. Beim Buch gehören dazu etwa Papier, Bindung, Format und Seitenanordnung. Affektive Bindung meint die emotional besetzte Beziehung zu einem Gegenstand. Fetischisierung bezeichnet hier die Aufladung des Buches mit besonderem Wert, der über seinen praktischen Nutzen hinausgeht. Remediation meint die Übernahme und Veränderung von Formen eines Mediums in einem anderen. Ein Kodex ist die Buchform mit verbundenen Blättern, die sich umblättern lassen.</w:t>
      </w:r>
    </w:p>
    <w:p>
      <w:pPr>
        <w:pStyle w:val="Heading2"/>
      </w:pPr>
      <w:r>
        <w:t>Hauptwerk</w:t>
      </w:r>
    </w:p>
    <w:p>
      <w:r>
        <w:t>[1] Pressman, Jessica: Bookishness: Loving Books in a Digital Age. New York: Columbia University Press, 2020. 216 Seiten. ISBN der Paperback-Ausgabe: 978-0-231-19513-3. Verlagsbeschreibung und Kapitelübersicht: https://cup.columbia.edu/book/bookishness/9780231195133/ (abgerufen am 9. Oktober 2026).</w:t>
      </w:r>
    </w:p>
    <w:p>
      <w:pPr>
        <w:pStyle w:val="Heading2"/>
      </w:pPr>
      <w:r>
        <w:t>Rezension als Grundlage der Kapitelanalysen</w:t>
      </w:r>
    </w:p>
    <w:p>
      <w:r>
        <w:t>[2] Maziarczyk, Grzegorz: «Jessica Pressman, Bookishness. Loving Books in a Digital Age». In: Roczniki Humanistyczne 70, Nr. 11 (2022), S. 109–116. Veröffentlicht am 28. Dezember 2022. DOI: https://doi.org/10.18290/rh227011.9. Die Rezension beginnt auf S. 109 im unteren Teil der Seite; der vorausgehende Text gehört zu einer anderen Besprechung. Die beiden hochgeladenen Dateien mit diesem Rezensionstext sind identisch.</w:t>
      </w:r>
    </w:p>
    <w:p>
      <w:pPr>
        <w:pStyle w:val="Heading2"/>
      </w:pPr>
      <w:r>
        <w:t>Ergänzende Primärquellen</w:t>
      </w:r>
    </w:p>
    <w:p>
      <w:r>
        <w:t>[3] Pressman, Jessica: «The Aesthetic of Bookishness in Twenty-First-Century Literature». In: Michigan Quarterly Review 48, Nr. 4 (Herbst 2009), S. 465–482. Aufsatz auf der Website der Autorin: https://www.jessicapressman.com/wp-content/uploads/2019/10/Pressman-Aesthetic-of-B_001.pdf (abgerufen am 9. Oktober 2026).</w:t>
      </w:r>
    </w:p>
    <w:p>
      <w:r>
        <w:t>[4] Pressman, Jessica: Antworten in «Continuing the Conversation: Jessica Pressman Answers Your Questions on Bookishness». Publiziert von Kevin Wisniewski. Past is Present, Blog der American Antiquarian Society, 6. April 2021. https://pastispresent.org/2021/phbac/continuing-the-conversation-jessica-pressman-answers-your-questions-on-bookishness/ (abgerufen am 9. Oktober 2026).</w:t>
      </w:r>
    </w:p>
    <w:p>
      <w:r>
        <w:t>[5] Pressman, Jessica: Digital Modernism: Making It New in New Media. Oxford University Press, 2014. Die Darstellung auf Seite 5 stützt sich auf Pressmans eigene Beschreibung des Buches unter https://www.jessicapressman.com/books/ (abgerufen am 9. Oktober 2026).</w:t>
      </w:r>
    </w:p>
    <w:p>
      <w:pPr>
        <w:pStyle w:val="Heading2"/>
      </w:pPr>
      <w:r>
        <w:t>Wie die Quellenangaben zu lesen sind</w:t>
      </w:r>
    </w:p>
    <w:p>
      <w:r>
        <w:t>Seitenangaben zu [2] beziehen sich auf die gedruckte Zeitschriftenpaginierung und belegen Maziarczyks Darstellung oder Bewertung. Sie sind keine Seitenangaben zu Pressmans Monografie. Aussagen aus dem Autorinnengespräch und der Buchbeschreibung werden mit [4] beziehungsweise [5] nachgewiesen. Die Ressource fasst auf Deutsch zusammen und entwickelt daraus eigene Analysefragen; sie ist keine Übersetzung des Hauptwerks.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Bookishness bei Jessica Pressman</dc:title>
  <dc:subject>Deutschsprachige Ressource zu Buchkultur und digitalen Medien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