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 Wirkungsgeschichte von Heidi</w:t>
      </w:r>
    </w:p>
    <w:p>
      <w:pPr>
        <w:pStyle w:val="Subtitle"/>
      </w:pPr>
      <w:r>
        <w:t>Vom Kinderroman zur weltweiten Kulturfigur</w:t>
      </w:r>
    </w:p>
    <w:p>
      <w:r>
        <w:t>Dossier für Gymnasium und FMS • Stand September 2026</w:t>
      </w:r>
    </w:p>
    <w:p>
      <w:pPr>
        <w:pStyle w:val="Heading2"/>
      </w:pPr>
      <w:r>
        <w:t>Leitfrage</w:t>
      </w:r>
    </w:p>
    <w:p>
      <w:r>
        <w:t>Wie wurde aus der Geschichte eines Waisenmädchens ein weltweit verständliches Bild von Kindheit, Heimat und Schweiz – und was ging bei dieser Verwandlung verloren?</w:t>
      </w:r>
    </w:p>
    <w:p>
      <w:r>
        <w:t>Johanna Spyris Heidi gehört zu den literarischen Figuren, deren Bekanntheit weit über die Lektüre des Originals hinausreicht. Viele Menschen begegnen ihr zuerst im Fernsehen, auf Verpackungen oder an einem Ferienort. Die Wirkungsgeschichte umfasst deshalb Übersetzungen und Leseerfahrungen ebenso wie Filme, Werbung, Tourismus und kritische Neubearbeitungen.</w:t>
      </w:r>
    </w:p>
    <w:p>
      <w:r>
        <w:t>Die leitende These dieses Dossiers lautet: Heidis anhaltender Erfolg beruht auf ihrer Veränderbarkeit. Unterschiedliche Gesellschaften und Medien finden in der Figur eigene Wünsche nach Geborgenheit, Freiheit und einer guten Lebensordnung. Dabei wird das Werk zugleich zugänglich gemacht und vereinfacht. Schon die UNESCO beschreibt Heidi als eine Figur mit historisch wechselnden Bedeutungen. [1]</w:t>
      </w:r>
    </w:p>
    <w:p>
      <w:pPr>
        <w:pStyle w:val="Heading2"/>
      </w:pPr>
      <w:r>
        <w:t>Begriffe für die Untersuchung</w:t>
      </w:r>
    </w:p>
    <w:p>
      <w:r>
        <w:t>Rezeption bezeichnet die Aufnahme und Deutung eines Werks durch Leserinnen und Leser, Kritik oder Forschung. Adaption ist die Bearbeitung für ein anderes Medium oder Publikum. Wirkungsgeschichte fragt darüber hinaus, wie ein Werk Vorstellungen, kulturelle Praktiken und öffentliche Bilder über längere Zeit mitprägt.</w:t>
      </w:r>
    </w:p>
    <w:p>
      <w:r>
        <w:t>Ein Medienverbund entsteht, wenn Buch, Film, Serie, Hörspiel, Spielzeug und weitere Produkte aufeinander verweisen. Ein nationaler Mythos ist hier eine verbreitete Erzählung, die ein bestimmtes Bild eines Landes verdichtet. «Mythos» bedeutet dabei nicht einfach «Lüge».</w:t>
      </w:r>
    </w:p>
    <w:p>
      <w:pPr>
        <w:pStyle w:val="Heading2"/>
      </w:pPr>
      <w:r>
        <w:t>Aufbau und Verwendung</w:t>
      </w:r>
    </w:p>
    <w:p>
      <w:r>
        <w:t>1  Das Original und seine Spannungen</w:t>
        <w:br/>
        <w:t>2  Übersetzungen und internationale Verbreitung</w:t>
        <w:br/>
        <w:t>3  Kino und Fernsehen</w:t>
        <w:br/>
        <w:t>4  Schweizbild und Tourismus</w:t>
        <w:br/>
        <w:t>5  Pädagogische und gesellschaftliche Lesarten</w:t>
        <w:br/>
        <w:t>6  Parodie und digitale Aneignung</w:t>
        <w:br/>
        <w:t>7  Untersuchungsaufträge</w:t>
        <w:br/>
        <w:t>8  Quellen und weiterführende Literatur</w:t>
      </w:r>
    </w:p>
    <w:p>
      <w:r>
        <w:t>Die beigefügten PDFs «Spyri_Lesarten.pdf» und «CH-Rudolf-Walther.pdf» sind in ausgewählten einschlägigen Abschnitten ausgewertet. Verweise auf den Sammelband nennen die gedruckten Seiten, Verweise auf Walther die PDF-Seiten. «Heidiundmehr.pdf» war nicht zugänglich und ist noch nicht berücksichtigt.</w:t>
      </w:r>
    </w:p>
    <w:p>
      <w:r>
        <w:t>Historische Angaben sind mit Quellenziffern belegt. Die analytischen Abschnitte bieten begründete Lesarten und Fragen, keine Behauptung einer einheitlichen Wirkung auf alle Menschen. Die Beispiele sind eine Auswahl, keine vollständige Filmografie.</w:t>
      </w:r>
    </w:p>
    <w:p>
      <w:r>
        <w:br w:type="page"/>
      </w:r>
    </w:p>
    <w:p>
      <w:pPr>
        <w:pStyle w:val="Heading1"/>
      </w:pPr>
      <w:r>
        <w:t>1 Das Original und seine Spannungen</w:t>
      </w:r>
    </w:p>
    <w:p>
      <w:r>
        <w:t>1880 erschien «Heidis Lehr- und Wanderjahre», 1881 «Heidi kann brauchen, was es gelernt hat». Die beiden Bücher bilden die Grundlage des späteren Heidi-Kosmos. Ihre Autorin Johanna Spyri lebte von 1827 bis 1901. [1; 2]</w:t>
      </w:r>
    </w:p>
    <w:p>
      <w:pPr>
        <w:pStyle w:val="Heading2"/>
      </w:pPr>
      <w:r>
        <w:t>Eine Geschichte von Trennung und Zugehörigkeit</w:t>
      </w:r>
    </w:p>
    <w:p>
      <w:r>
        <w:t>Heidi verliert früh ihre Eltern. Tante Dete bringt sie zum Grossvater auf die Alp, später nach Frankfurt zur Familie Sesemann. Dort soll sie der gehbehinderten Klara Gesellschaft leisten. Heidis starkes Heimweh wird zunächst nicht angemessen verstanden. Erst ihre Rückkehr ermöglicht ihr, wieder in einer vertrauten Umgebung zu leben. Im zweiten Band besucht Klara die Alp und lernt dort gehen.</w:t>
      </w:r>
    </w:p>
    <w:p>
      <w:r>
        <w:t>Die Handlung verbindet eine kindliche Perspektive mit Konflikten der Erwachsenen. Wer darf über ein Kind entscheiden? Was gilt als gute Erziehung? Welche Formen von Wissen werden anerkannt? Auch der Grossvater verändert sich: Die Beziehung zu Heidi führt ihn aus seiner gesellschaftlichen Isolation zurück in Gemeinschaft. Diese Zusammenfassung dient als Ausgangspunkt für die eigene Textarbeit an beiden Romanen. [P]</w:t>
      </w:r>
    </w:p>
    <w:p>
      <w:pPr>
        <w:pStyle w:val="Heading2"/>
      </w:pPr>
      <w:r>
        <w:t>Die Alp ist keine konfliktfreie Gegenwelt</w:t>
      </w:r>
    </w:p>
    <w:p>
      <w:r>
        <w:t>Eine mögliche Lesart versteht Frankfurt als Raum der Regeln und die Alp als Raum der Freiheit. Diese Gegenüberstellung erklärt viel, aber nicht alles: Im Bergdorf gibt es Armut, eingeschränkten Bildungszugang und Ausgrenzung. In Frankfurt begegnet Heidi auch Zuwendung, Bildung und Hilfe. Die Grossmutter Sesemann fördert ihr Lesen; der Arzt erkennt ihr Leiden. Der Roman verteilt gute und schlechte Erfahrungen somit auf beide Lebenswelten. [P]</w:t>
      </w:r>
    </w:p>
    <w:p>
      <w:r>
        <w:t>Für die Wirkungsgeschichte ist gerade diese Spannung entscheidend. Sobald eine Bearbeitung nur das glückliche Bergkind zeigt, verändert sie die Gewichtung des Werks. Umgekehrt kann eine neue Fassung soziale Konflikte hervorheben, die im populären Erinnerungsbild verblasst sind. «Werktreue» bedeutet deshalb mehr als dieselben Figuren und Schauplätze zu verwenden.</w:t>
      </w:r>
    </w:p>
    <w:p>
      <w:pPr>
        <w:pStyle w:val="Heading2"/>
      </w:pPr>
      <w:r>
        <w:t>Religion und Bildung</w:t>
      </w:r>
    </w:p>
    <w:p>
      <w:r>
        <w:t>Gebet, Vertrauen auf Gott und religiöse Trosttexte gehören zur Sinnordnung des Originals. Die Geschichte lässt sich nicht vollständig verstehen, wenn man diese Elemente als zufällige Beigaben behandelt. In modernen Lesarten können an ihre Stelle Begriffe wie Vertrauen, Beziehung oder seelische Stabilität treten. Ob eine konkrete Adaption dies tut, muss am Material geprüft werden. [P]</w:t>
      </w:r>
    </w:p>
    <w:p>
      <w:r>
        <w:t>Lesen ist zugleich eine soziale Handlung: Heidi kann der blinden Grossmutter vorlesen. Gelerntes wird wertvoll, weil es anderen zugutekommt. Darin steckt ein Bildungsverständnis, das sich sowohl religiös als auch säkular deuten lässt. Die heutige Frage lautet: Dient Bildung vor allem der Anpassung, der Selbstständigkeit oder der Fürsorge?</w:t>
      </w:r>
    </w:p>
    <w:p>
      <w:pPr>
        <w:pStyle w:val="Heading2"/>
      </w:pPr>
      <w:r>
        <w:t>Merksatz für den Vergleich</w:t>
      </w:r>
    </w:p>
    <w:p>
      <w:r>
        <w:t>Nicht jede Erinnerung an Heidi stammt aus Spyri. Wer eine Adaption untersucht, sollte zuerst festhalten, was im Original tatsächlich geschieht und was erst eine spätere Fassung hinzufügt, verkürzt oder umwertet.</w:t>
      </w:r>
    </w:p>
    <w:p>
      <w:r>
        <w:br w:type="page"/>
      </w:r>
    </w:p>
    <w:p>
      <w:pPr>
        <w:pStyle w:val="Heading1"/>
      </w:pPr>
      <w:r>
        <w:t>2 Übersetzungen und internationale Verbreitung</w:t>
      </w:r>
    </w:p>
    <w:p>
      <w:pPr>
        <w:pStyle w:val="Heading2"/>
      </w:pPr>
      <w:r>
        <w:t>Ein Schweizer Stoff wird Weltliteratur</w:t>
      </w:r>
    </w:p>
    <w:p>
      <w:r>
        <w:t>Die internationale Verbreitung ist kein erst mit dem Fernsehen einsetzendes Phänomen. Das SIKJM dokumentiert die Aufnahme der Heidi-Romane seit 1883. Sein Archiv umfasst unter anderem rund 600 Übersetzungsausgaben in mehr als 40 Sprachen sowie historische und neuere deutschsprachige Ausgaben. Diese Angaben beschreiben den Archivbestand, nicht die Gesamtzahl aller Übersetzungen weltweit. [2]</w:t>
      </w:r>
    </w:p>
    <w:p>
      <w:r>
        <w:t>Emer O’Sullivan zeigt an englischen Übersetzungen, wie die Schweizer Herkunft betont oder abgeschwächt wird. Ihr Vergleich findet stärkere Anpassungstendenzen in britischen und mehr erhaltene kulturelle Besonderheiten in manchen amerikanischen Fassungen. Das ist ein Befund zu ihrem historischen Korpus, keine zeitlose Eigenschaft beider Länder. Ein besonders anschauliches Beispiel: Die Übersetzung von Helene S. White aus dem Jahr 1902 ersetzt Heidis allzu vertrauliche Anrede des Dieners durch eine überhöfliche Anrede. Der soziale Regelverstoss bleibt erhalten, obwohl sich sein sprachliches Mittel umkehrt. [11, S. 151–157]</w:t>
      </w:r>
    </w:p>
    <w:p>
      <w:pPr>
        <w:pStyle w:val="Heading2"/>
      </w:pPr>
      <w:r>
        <w:t>Warum die Geschichte Grenzen überschreiten kann</w:t>
      </w:r>
    </w:p>
    <w:p>
      <w:r>
        <w:t>Als Deutung bietet sich an: Die Geschichte verbindet konkrete Schauplätze mit Erfahrungen, die nicht an die Schweiz gebunden sind. Trennung, Sehnsucht nach vertrauten Menschen, Freundschaft und Konflikte mit Erwachsenen lassen sich in unterschiedliche Lebenswelten übertragen. Die Alpen liefern zugleich einen markanten Vorstellungsraum, der auch aus der Ferne erkennbar bleibt.</w:t>
      </w:r>
    </w:p>
    <w:p>
      <w:r>
        <w:t>Dabei bedeutet Vertrautheit nicht überall dasselbe. Ein Kind kann Heidi als Freundin erleben, Erwachsene können in ihr eine verlorene Kindheit wiederfinden, und ein Verlag kann die Geschichte als moralische Lektüre oder als Abenteuer anbieten. Die Behauptung, eine ganze Nation liebe Heidi aus genau einem Grund, wäre dagegen eine unzulässige Vereinfachung.</w:t>
      </w:r>
    </w:p>
    <w:p>
      <w:pPr>
        <w:pStyle w:val="Heading2"/>
      </w:pPr>
      <w:r>
        <w:t>Übersetzen heisst auch auswählen</w:t>
      </w:r>
    </w:p>
    <w:p>
      <w:r>
        <w:t>Bei jeder Ausgabe lohnt sich ein Blick auf Titel, Untertitel, Illustrationen, Kapitelumfang und Angaben zur Bearbeitung. Schon eine Verkürzung verändert die Figuren: Werden Dete nur wenige Zeilen zugestanden, können ihre wirtschaftlichen Zwänge hinter dem Bild einer lieblosen Tante verschwinden. Werden Gebete gestrichen, verschiebt sich die Erklärung dafür, wie Trost und Zuversicht entstehen.</w:t>
      </w:r>
    </w:p>
    <w:p>
      <w:r>
        <w:t>Isabelle Nières-Chevrel untersucht französische Bearbeitungen und die Fortsetzungen von Charles Tritten. Ihre Kritik lautet, dass die Weiterführung von Heidis Leben bis zu Ehe und Mutterschaft die kindliche Perspektive des Originals verändert. Damit ist nicht einfach dieselbe Geschichte verlängert: Ein anderes literarisches Projekt entsteht. Die Fortsetzungen sind folglich von Spyris beiden Originalbänden zu unterscheiden. [12, S. 127–128]</w:t>
      </w:r>
    </w:p>
    <w:p>
      <w:pPr>
        <w:pStyle w:val="Heading2"/>
      </w:pPr>
      <w:r>
        <w:t>Bilder übersetzen ebenfalls</w:t>
      </w:r>
    </w:p>
    <w:p>
      <w:r>
        <w:t>Eine Illustration kann Heidi als verletzliches Kleinkind, als selbstbewusstes Mädchen oder als niedliche Werbefigur erscheinen lassen. Kleidung, Körperhaltung, Landschaft und Blickrichtung lenken die Wahrnehmung bereits vor dem Lesen. Das SIKJM bewahrt unter anderem Originalillustrationen von Rudolf Münger, Tomi Ungerer und Hannes Binder auf. [2]</w:t>
      </w:r>
    </w:p>
    <w:p>
      <w:r>
        <w:t>Arbeitsimpuls: Vergleichen Sie zwei Buchumschläge. Notieren Sie zunächst nur sichtbare Merkmale. Formulieren Sie anschliessend, welche Vorstellung von Kindheit jeder Umschlag nahelegt. Trennen Sie Beobachtung und Interpretation ausdrücklich.</w:t>
      </w:r>
    </w:p>
    <w:p>
      <w:r>
        <w:br w:type="page"/>
      </w:r>
    </w:p>
    <w:p>
      <w:pPr>
        <w:pStyle w:val="Heading1"/>
      </w:pPr>
      <w:r>
        <w:t>3 Kino und Fernsehen</w:t>
      </w:r>
    </w:p>
    <w:p>
      <w:r>
        <w:t>Audiovisuelle Bearbeitungen geben der Figur ein Gesicht, eine Stimme und eine musikalische Umgebung. Wiederholung kann bewirken, dass diese Gestaltung als «die richtige Heidi» erscheint. Die folgende Auswahl zeigt verschiedene Stationen, ohne eine geradlinige Entwicklung zu behaupten.</w:t>
      </w:r>
    </w:p>
    <w:tbl>
      <w:tblPr>
        <w:tblW w:type="auto" w:w="0"/>
        <w:tblLayout w:type="fixed"/>
        <w:tblLook w:firstColumn="1" w:firstRow="1" w:lastColumn="0" w:lastRow="0" w:noHBand="0" w:noVBand="1" w:val="04A0"/>
      </w:tblPr>
      <w:tblGrid>
        <w:gridCol w:w="792"/>
        <w:gridCol w:w="3528"/>
        <w:gridCol w:w="5616"/>
      </w:tblGrid>
      <w:tr>
        <w:tc>
          <w:tcPr>
            <w:tcW w:type="dxa" w:w="792"/>
            <w:tcBorders>
              <w:top w:val="single" w:sz="4" w:color="D9D9D9"/>
              <w:left w:val="single" w:sz="4" w:color="D9D9D9"/>
              <w:bottom w:val="single" w:sz="4" w:color="D9D9D9"/>
              <w:right w:val="single" w:sz="4" w:color="D9D9D9"/>
            </w:tcBorders>
            <w:shd w:fill="E8EEF3"/>
            <w:vAlign w:val="center"/>
          </w:tcPr>
          <w:p>
            <w:pPr>
              <w:spacing w:after="100"/>
            </w:pPr>
            <w:r>
              <w:rPr>
                <w:sz w:val="20"/>
              </w:rPr>
              <w:t>Jahr</w:t>
            </w:r>
          </w:p>
        </w:tc>
        <w:tc>
          <w:tcPr>
            <w:tcW w:type="dxa" w:w="3528"/>
            <w:tcBorders>
              <w:top w:val="single" w:sz="4" w:color="D9D9D9"/>
              <w:left w:val="single" w:sz="4" w:color="D9D9D9"/>
              <w:bottom w:val="single" w:sz="4" w:color="D9D9D9"/>
              <w:right w:val="single" w:sz="4" w:color="D9D9D9"/>
            </w:tcBorders>
            <w:shd w:fill="E8EEF3"/>
            <w:vAlign w:val="center"/>
          </w:tcPr>
          <w:p>
            <w:pPr>
              <w:spacing w:after="100"/>
            </w:pPr>
            <w:r>
              <w:rPr>
                <w:sz w:val="20"/>
              </w:rPr>
              <w:t>Bearbeitung</w:t>
            </w:r>
          </w:p>
        </w:tc>
        <w:tc>
          <w:tcPr>
            <w:tcW w:type="dxa" w:w="5616"/>
            <w:tcBorders>
              <w:top w:val="single" w:sz="4" w:color="D9D9D9"/>
              <w:left w:val="single" w:sz="4" w:color="D9D9D9"/>
              <w:bottom w:val="single" w:sz="4" w:color="D9D9D9"/>
              <w:right w:val="single" w:sz="4" w:color="D9D9D9"/>
            </w:tcBorders>
            <w:shd w:fill="E8EEF3"/>
            <w:vAlign w:val="center"/>
          </w:tcPr>
          <w:p>
            <w:pPr>
              <w:spacing w:after="100"/>
            </w:pPr>
            <w:r>
              <w:rPr>
                <w:sz w:val="20"/>
              </w:rPr>
              <w:t>Einordnung</w:t>
            </w:r>
          </w:p>
        </w:tc>
      </w:tr>
      <w:tr>
        <w:tc>
          <w:tcPr>
            <w:tcW w:type="dxa" w:w="792"/>
            <w:tcBorders>
              <w:top w:val="single" w:sz="4" w:color="D9D9D9"/>
              <w:left w:val="single" w:sz="4" w:color="D9D9D9"/>
              <w:bottom w:val="single" w:sz="4" w:color="D9D9D9"/>
              <w:right w:val="single" w:sz="4" w:color="D9D9D9"/>
            </w:tcBorders>
            <w:vAlign w:val="center"/>
          </w:tcPr>
          <w:p>
            <w:pPr>
              <w:spacing w:after="100"/>
            </w:pPr>
            <w:r>
              <w:rPr>
                <w:sz w:val="20"/>
              </w:rPr>
              <w:t>1937</w:t>
            </w:r>
          </w:p>
        </w:tc>
        <w:tc>
          <w:tcPr>
            <w:tcW w:type="dxa" w:w="3528"/>
            <w:tcBorders>
              <w:top w:val="single" w:sz="4" w:color="D9D9D9"/>
              <w:left w:val="single" w:sz="4" w:color="D9D9D9"/>
              <w:bottom w:val="single" w:sz="4" w:color="D9D9D9"/>
              <w:right w:val="single" w:sz="4" w:color="D9D9D9"/>
            </w:tcBorders>
            <w:vAlign w:val="center"/>
          </w:tcPr>
          <w:p>
            <w:pPr>
              <w:spacing w:after="100"/>
            </w:pPr>
            <w:r>
              <w:rPr>
                <w:sz w:val="20"/>
              </w:rPr>
              <w:t>Heidi · Allan Dwan</w:t>
            </w:r>
          </w:p>
        </w:tc>
        <w:tc>
          <w:tcPr>
            <w:tcW w:type="dxa" w:w="5616"/>
            <w:tcBorders>
              <w:top w:val="single" w:sz="4" w:color="D9D9D9"/>
              <w:left w:val="single" w:sz="4" w:color="D9D9D9"/>
              <w:bottom w:val="single" w:sz="4" w:color="D9D9D9"/>
              <w:right w:val="single" w:sz="4" w:color="D9D9D9"/>
            </w:tcBorders>
            <w:vAlign w:val="center"/>
          </w:tcPr>
          <w:p>
            <w:pPr>
              <w:spacing w:after="100"/>
            </w:pPr>
            <w:r>
              <w:rPr>
                <w:sz w:val="20"/>
              </w:rPr>
              <w:t>Shirley Temple verkörpert Heidi. Der Stoff wird Teil des amerikanischen Starkinos. [3]</w:t>
            </w:r>
          </w:p>
        </w:tc>
      </w:tr>
      <w:tr>
        <w:tc>
          <w:tcPr>
            <w:tcW w:type="dxa" w:w="792"/>
            <w:tcBorders>
              <w:top w:val="single" w:sz="4" w:color="D9D9D9"/>
              <w:left w:val="single" w:sz="4" w:color="D9D9D9"/>
              <w:bottom w:val="single" w:sz="4" w:color="D9D9D9"/>
              <w:right w:val="single" w:sz="4" w:color="D9D9D9"/>
            </w:tcBorders>
            <w:vAlign w:val="center"/>
          </w:tcPr>
          <w:p>
            <w:pPr>
              <w:spacing w:after="100"/>
            </w:pPr>
            <w:r>
              <w:rPr>
                <w:sz w:val="20"/>
              </w:rPr>
              <w:t>1952</w:t>
            </w:r>
          </w:p>
        </w:tc>
        <w:tc>
          <w:tcPr>
            <w:tcW w:type="dxa" w:w="3528"/>
            <w:tcBorders>
              <w:top w:val="single" w:sz="4" w:color="D9D9D9"/>
              <w:left w:val="single" w:sz="4" w:color="D9D9D9"/>
              <w:bottom w:val="single" w:sz="4" w:color="D9D9D9"/>
              <w:right w:val="single" w:sz="4" w:color="D9D9D9"/>
            </w:tcBorders>
            <w:vAlign w:val="center"/>
          </w:tcPr>
          <w:p>
            <w:pPr>
              <w:spacing w:after="100"/>
            </w:pPr>
            <w:r>
              <w:rPr>
                <w:sz w:val="20"/>
              </w:rPr>
              <w:t>Heidi · Luigi Comencini</w:t>
            </w:r>
          </w:p>
        </w:tc>
        <w:tc>
          <w:tcPr>
            <w:tcW w:type="dxa" w:w="5616"/>
            <w:tcBorders>
              <w:top w:val="single" w:sz="4" w:color="D9D9D9"/>
              <w:left w:val="single" w:sz="4" w:color="D9D9D9"/>
              <w:bottom w:val="single" w:sz="4" w:color="D9D9D9"/>
              <w:right w:val="single" w:sz="4" w:color="D9D9D9"/>
            </w:tcBorders>
            <w:vAlign w:val="center"/>
          </w:tcPr>
          <w:p>
            <w:pPr>
              <w:spacing w:after="100"/>
            </w:pPr>
            <w:r>
              <w:rPr>
                <w:sz w:val="20"/>
              </w:rPr>
              <w:t>Schweizer Schwarzweissfilm mit Elsbeth Sigmund und Heinrich Gretler. [4]</w:t>
            </w:r>
          </w:p>
        </w:tc>
      </w:tr>
      <w:tr>
        <w:tc>
          <w:tcPr>
            <w:tcW w:type="dxa" w:w="792"/>
            <w:tcBorders>
              <w:top w:val="single" w:sz="4" w:color="D9D9D9"/>
              <w:left w:val="single" w:sz="4" w:color="D9D9D9"/>
              <w:bottom w:val="single" w:sz="4" w:color="D9D9D9"/>
              <w:right w:val="single" w:sz="4" w:color="D9D9D9"/>
            </w:tcBorders>
            <w:vAlign w:val="center"/>
          </w:tcPr>
          <w:p>
            <w:pPr>
              <w:spacing w:after="100"/>
            </w:pPr>
            <w:r>
              <w:rPr>
                <w:sz w:val="20"/>
              </w:rPr>
              <w:t>1955</w:t>
            </w:r>
          </w:p>
        </w:tc>
        <w:tc>
          <w:tcPr>
            <w:tcW w:type="dxa" w:w="3528"/>
            <w:tcBorders>
              <w:top w:val="single" w:sz="4" w:color="D9D9D9"/>
              <w:left w:val="single" w:sz="4" w:color="D9D9D9"/>
              <w:bottom w:val="single" w:sz="4" w:color="D9D9D9"/>
              <w:right w:val="single" w:sz="4" w:color="D9D9D9"/>
            </w:tcBorders>
            <w:vAlign w:val="center"/>
          </w:tcPr>
          <w:p>
            <w:pPr>
              <w:spacing w:after="100"/>
            </w:pPr>
            <w:r>
              <w:rPr>
                <w:sz w:val="20"/>
              </w:rPr>
              <w:t>Heidi und Peter · Franz Schnyder</w:t>
            </w:r>
          </w:p>
        </w:tc>
        <w:tc>
          <w:tcPr>
            <w:tcW w:type="dxa" w:w="5616"/>
            <w:tcBorders>
              <w:top w:val="single" w:sz="4" w:color="D9D9D9"/>
              <w:left w:val="single" w:sz="4" w:color="D9D9D9"/>
              <w:bottom w:val="single" w:sz="4" w:color="D9D9D9"/>
              <w:right w:val="single" w:sz="4" w:color="D9D9D9"/>
            </w:tcBorders>
            <w:vAlign w:val="center"/>
          </w:tcPr>
          <w:p>
            <w:pPr>
              <w:spacing w:after="100"/>
            </w:pPr>
            <w:r>
              <w:rPr>
                <w:sz w:val="20"/>
              </w:rPr>
              <w:t>Fortsetzung in Farbe; zeigt auch, wie sich der Stoff filmisch erweitern lässt. [5]</w:t>
            </w:r>
          </w:p>
        </w:tc>
      </w:tr>
      <w:tr>
        <w:tc>
          <w:tcPr>
            <w:tcW w:type="dxa" w:w="792"/>
            <w:tcBorders>
              <w:top w:val="single" w:sz="4" w:color="D9D9D9"/>
              <w:left w:val="single" w:sz="4" w:color="D9D9D9"/>
              <w:bottom w:val="single" w:sz="4" w:color="D9D9D9"/>
              <w:right w:val="single" w:sz="4" w:color="D9D9D9"/>
            </w:tcBorders>
            <w:vAlign w:val="center"/>
          </w:tcPr>
          <w:p>
            <w:pPr>
              <w:spacing w:after="100"/>
            </w:pPr>
            <w:r>
              <w:rPr>
                <w:sz w:val="20"/>
              </w:rPr>
              <w:t>1974</w:t>
            </w:r>
          </w:p>
        </w:tc>
        <w:tc>
          <w:tcPr>
            <w:tcW w:type="dxa" w:w="3528"/>
            <w:tcBorders>
              <w:top w:val="single" w:sz="4" w:color="D9D9D9"/>
              <w:left w:val="single" w:sz="4" w:color="D9D9D9"/>
              <w:bottom w:val="single" w:sz="4" w:color="D9D9D9"/>
              <w:right w:val="single" w:sz="4" w:color="D9D9D9"/>
            </w:tcBorders>
            <w:vAlign w:val="center"/>
          </w:tcPr>
          <w:p>
            <w:pPr>
              <w:spacing w:after="100"/>
            </w:pPr>
            <w:r>
              <w:rPr>
                <w:sz w:val="20"/>
              </w:rPr>
              <w:t>Alps no Shōjo Heidi</w:t>
            </w:r>
          </w:p>
        </w:tc>
        <w:tc>
          <w:tcPr>
            <w:tcW w:type="dxa" w:w="5616"/>
            <w:tcBorders>
              <w:top w:val="single" w:sz="4" w:color="D9D9D9"/>
              <w:left w:val="single" w:sz="4" w:color="D9D9D9"/>
              <w:bottom w:val="single" w:sz="4" w:color="D9D9D9"/>
              <w:right w:val="single" w:sz="4" w:color="D9D9D9"/>
            </w:tcBorders>
            <w:vAlign w:val="center"/>
          </w:tcPr>
          <w:p>
            <w:pPr>
              <w:spacing w:after="100"/>
            </w:pPr>
            <w:r>
              <w:rPr>
                <w:sz w:val="20"/>
              </w:rPr>
              <w:t>52-teilige japanische Zeichentrickserie unter Isao Takahata. [6]</w:t>
            </w:r>
          </w:p>
        </w:tc>
      </w:tr>
      <w:tr>
        <w:tc>
          <w:tcPr>
            <w:tcW w:type="dxa" w:w="792"/>
            <w:tcBorders>
              <w:top w:val="single" w:sz="4" w:color="D9D9D9"/>
              <w:left w:val="single" w:sz="4" w:color="D9D9D9"/>
              <w:bottom w:val="single" w:sz="4" w:color="D9D9D9"/>
              <w:right w:val="single" w:sz="4" w:color="D9D9D9"/>
            </w:tcBorders>
            <w:vAlign w:val="center"/>
          </w:tcPr>
          <w:p>
            <w:pPr>
              <w:spacing w:after="100"/>
            </w:pPr>
            <w:r>
              <w:rPr>
                <w:sz w:val="20"/>
              </w:rPr>
              <w:t>2015</w:t>
            </w:r>
          </w:p>
        </w:tc>
        <w:tc>
          <w:tcPr>
            <w:tcW w:type="dxa" w:w="3528"/>
            <w:tcBorders>
              <w:top w:val="single" w:sz="4" w:color="D9D9D9"/>
              <w:left w:val="single" w:sz="4" w:color="D9D9D9"/>
              <w:bottom w:val="single" w:sz="4" w:color="D9D9D9"/>
              <w:right w:val="single" w:sz="4" w:color="D9D9D9"/>
            </w:tcBorders>
            <w:vAlign w:val="center"/>
          </w:tcPr>
          <w:p>
            <w:pPr>
              <w:spacing w:after="100"/>
            </w:pPr>
            <w:r>
              <w:rPr>
                <w:sz w:val="20"/>
              </w:rPr>
              <w:t>Heidi · Alain Gsponer</w:t>
            </w:r>
          </w:p>
        </w:tc>
        <w:tc>
          <w:tcPr>
            <w:tcW w:type="dxa" w:w="5616"/>
            <w:tcBorders>
              <w:top w:val="single" w:sz="4" w:color="D9D9D9"/>
              <w:left w:val="single" w:sz="4" w:color="D9D9D9"/>
              <w:bottom w:val="single" w:sz="4" w:color="D9D9D9"/>
              <w:right w:val="single" w:sz="4" w:color="D9D9D9"/>
            </w:tcBorders>
            <w:vAlign w:val="center"/>
          </w:tcPr>
          <w:p>
            <w:pPr>
              <w:spacing w:after="100"/>
            </w:pPr>
            <w:r>
              <w:rPr>
                <w:sz w:val="20"/>
              </w:rPr>
              <w:t>Realfilm mit Anuk Steffen und Bruno Ganz; erneuter Zugang für ein Familienpublikum. [7]</w:t>
            </w:r>
          </w:p>
        </w:tc>
      </w:tr>
      <w:tr>
        <w:tc>
          <w:tcPr>
            <w:tcW w:type="dxa" w:w="792"/>
            <w:tcBorders>
              <w:top w:val="single" w:sz="4" w:color="D9D9D9"/>
              <w:left w:val="single" w:sz="4" w:color="D9D9D9"/>
              <w:bottom w:val="single" w:sz="4" w:color="D9D9D9"/>
              <w:right w:val="single" w:sz="4" w:color="D9D9D9"/>
            </w:tcBorders>
            <w:vAlign w:val="center"/>
          </w:tcPr>
          <w:p>
            <w:pPr>
              <w:spacing w:after="100"/>
            </w:pPr>
            <w:r>
              <w:rPr>
                <w:sz w:val="20"/>
              </w:rPr>
              <w:t>2022</w:t>
            </w:r>
          </w:p>
        </w:tc>
        <w:tc>
          <w:tcPr>
            <w:tcW w:type="dxa" w:w="3528"/>
            <w:tcBorders>
              <w:top w:val="single" w:sz="4" w:color="D9D9D9"/>
              <w:left w:val="single" w:sz="4" w:color="D9D9D9"/>
              <w:bottom w:val="single" w:sz="4" w:color="D9D9D9"/>
              <w:right w:val="single" w:sz="4" w:color="D9D9D9"/>
            </w:tcBorders>
            <w:vAlign w:val="center"/>
          </w:tcPr>
          <w:p>
            <w:pPr>
              <w:spacing w:after="100"/>
            </w:pPr>
            <w:r>
              <w:rPr>
                <w:sz w:val="20"/>
              </w:rPr>
              <w:t>Mad Heidi</w:t>
            </w:r>
          </w:p>
        </w:tc>
        <w:tc>
          <w:tcPr>
            <w:tcW w:type="dxa" w:w="5616"/>
            <w:tcBorders>
              <w:top w:val="single" w:sz="4" w:color="D9D9D9"/>
              <w:left w:val="single" w:sz="4" w:color="D9D9D9"/>
              <w:bottom w:val="single" w:sz="4" w:color="D9D9D9"/>
              <w:right w:val="single" w:sz="4" w:color="D9D9D9"/>
            </w:tcBorders>
            <w:vAlign w:val="center"/>
          </w:tcPr>
          <w:p>
            <w:pPr>
              <w:spacing w:after="100"/>
            </w:pPr>
            <w:r>
              <w:rPr>
                <w:sz w:val="20"/>
              </w:rPr>
              <w:t>Satirische Action- und Splatterbearbeitung für Erwachsene. [8]</w:t>
            </w:r>
          </w:p>
        </w:tc>
      </w:tr>
    </w:tbl>
    <w:p>
      <w:pPr>
        <w:pStyle w:val="Heading2"/>
      </w:pPr>
      <w:r>
        <w:t>Die japanische Serie als Schlüsselbeispiel</w:t>
      </w:r>
    </w:p>
    <w:p>
      <w:r>
        <w:t>Die 1974 ausgestrahlte Serie entstand bei Zuiyo Eizo. Isao Takahata führte Regie; Hayao Miyazaki arbeitete an Layout und Szenengestaltung, Yōichi Kotabe prägte die Figurenzeichnung. Sie ist keine Studio-Ghibli-Produktion: Dieses Studio wurde erst später gegründet. Die Serie wurde international verbreitet. [6]</w:t>
      </w:r>
    </w:p>
    <w:p>
      <w:r>
        <w:t>Ihre serielle Form lässt mehr Raum für Alltag, Naturbeobachtung und die allmähliche Entwicklung von Beziehungen als ein einzelner Kinofilm. Als Analysehypothese lässt sich formulieren: Die Bindung des Publikums entsteht hier auch durch das wiederholte Verweilen in einer vertrauten Welt. Das wäre anhand ausgewählter Episoden und ihrer Erzählgeschwindigkeit zu überprüfen.</w:t>
      </w:r>
    </w:p>
    <w:p>
      <w:pPr>
        <w:pStyle w:val="Heading2"/>
      </w:pPr>
      <w:r>
        <w:t>Eine Schweizer Ikone entsteht auch ausserhalb der Schweiz</w:t>
      </w:r>
    </w:p>
    <w:p>
      <w:r>
        <w:t>An der japanischen Heidi lässt sich kultureller Austausch besonders gut zeigen: Ein Schweizer Roman wird in Japan visuell neu gestaltet und erreicht anschliessend auch europäische Zuschauerinnen und Zuschauer. Nationale Kultur entsteht hier durch internationale Bearbeitung. Das populäre Schweizbild ist damit nicht ausschliesslich ein Schweizer Eigenprodukt.</w:t>
      </w:r>
    </w:p>
    <w:p>
      <w:r>
        <w:t>Vergleichsfrage: Wie verändern Musik, Kameraperspektive beziehungsweise Bildausschnitt und die Dauer einer Szene unser Urteil über den Grossvater oder Fräulein Rottenmeier? Untersuchen Sie dieselbe Begegnung in Roman und Film.</w:t>
      </w:r>
    </w:p>
    <w:p>
      <w:r>
        <w:br w:type="page"/>
      </w:r>
    </w:p>
    <w:p>
      <w:pPr>
        <w:pStyle w:val="Heading1"/>
      </w:pPr>
      <w:r>
        <w:t>3 Vertiefung zur japanischen Heidi</w:t>
      </w:r>
    </w:p>
    <w:p>
      <w:pPr>
        <w:pStyle w:val="Heading2"/>
      </w:pPr>
      <w:r>
        <w:t>Eine Buchgeschichte vor dem Anime</w:t>
      </w:r>
    </w:p>
    <w:p>
      <w:r>
        <w:t>Yumiko Bando Saito datiert die erste japanische Übersetzung auf 1920: Yaeko Nogami übersetzte über eine englische Fassung. 1925 erschien «Kaede monogatari», eine Bearbeitung mit japanischen Figurennamen; Heidi wurde zu Kaede. Bereits daran wird deutlich, dass die japanische Rezeption lange vor der Fernsehserie begann. Bando Saito verbindet die spätere Nachkriegsrezeption auch mit der Vorstellung einer friedlichen, naturschönen Schweiz. Das ist ihre historische Deutung, keine Aussage über sämtliche japanischen Leserinnen und Leser. [13, S. 184–187]</w:t>
      </w:r>
    </w:p>
    <w:p>
      <w:pPr>
        <w:pStyle w:val="Heading2"/>
      </w:pPr>
      <w:r>
        <w:t>Takahatas eigene Begründung</w:t>
      </w:r>
    </w:p>
    <w:p>
      <w:r>
        <w:t>Takahata beschreibt Heidi als Gegenangebot zu leistungs- und kampforientierten Fernsehgeschichten. Er nennt Umweltverschmutzung und soziale Verwerfungen während Japans Wirtschaftswachstum als Gründe, weshalb ihm Spyris Natur- und Vertrauensgeschichte relevant erschien. Die Alpenidylle lässt sich damit auch als Reaktion auf moderne Industriegesellschaften lesen. [14, S. 193]</w:t>
      </w:r>
    </w:p>
    <w:p>
      <w:r>
        <w:t>Die langsame Erzählweise war eine bewusste Entscheidung: Das Publikum sollte Handlungen und Umgebung aufmerksam entdecken. Takahata wollte Musik zurückhaltend einsetzen. Er warnt jedoch, dass ausländische Fassungen veränderte Musik enthalten können und ihm der Umfang weiterer Eingriffe nicht bekannt sei. Für Vergleiche muss daher auch die Sprach- und Schnittfassung angegeben werden. [14, S. 189, 199–201]</w:t>
      </w:r>
    </w:p>
    <w:p>
      <w:pPr>
        <w:pStyle w:val="Heading2"/>
      </w:pPr>
      <w:r>
        <w:t>Drei bewusste Eingriffe in das Original</w:t>
      </w:r>
    </w:p>
    <w:p>
      <w:r>
        <w:t>Peter: Takahata empfand die Romanzeichnung des Geissenhirten als einen teilweise herablassenden Blick der Stadt auf das Land. Die Serie sollte Peter zu einem Freund machen, mit dem Kinder gern ein Jahr verbringen. Deshalb zerstört er Klaras Rollstuhl nicht aus Eifersucht; die Serie verändert diesen Vorgang. Der Eingriff macht ihn sympathischer, nimmt der Figur aber auch einen moralischen Konflikt. [14, S. 202–203]</w:t>
      </w:r>
    </w:p>
    <w:p>
      <w:r>
        <w:t>Religion: Takahata erläutert ausdrücklich, dass das Team die christliche Botschaft abschwächte, weil sie dem japanischen Publikum weniger vertraut war. Die Grossmutter Sesemann sollte vor allem die beiden Mädchen innerlich befreien. Damit verschiebt sich das Gewicht von religiöser Führung zu emotionaler und lebenspraktischer Unterstützung. [14, S. 203]</w:t>
      </w:r>
    </w:p>
    <w:p>
      <w:r>
        <w:t>Rottenmeier: Ihr Aufenthalt auf der Alp sollte die Kinder im Publikum in eine überlegene Position bringen. Sie kennen die Bergwelt bereits; die strenge Erwachsene gerät dagegen in Schwierigkeiten. Takahata beschreibt dies als Möglichkeit, ihre Bedrohlichkeit durch gemeinsames Lachen abzubauen. [14, S. 203]</w:t>
      </w:r>
    </w:p>
    <w:p>
      <w:pPr>
        <w:pStyle w:val="Heading2"/>
      </w:pPr>
      <w:r>
        <w:t>Quellenkritik</w:t>
      </w:r>
    </w:p>
    <w:p>
      <w:r>
        <w:t>Der Beitrag ist eine rückblickende Selbstauskunft des Regisseurs aus dem Umfeld des Kolloquiums von 2001. Er belegt erklärte Absichten, aber nicht automatisch die tatsächliche Wirkung auf alle Zuschauer. Diese Unterscheidung verhindert, dass eine Produktionsabsicht als empirisch nachgewiesener Publikumseffekt ausgegeben wird.</w:t>
      </w:r>
    </w:p>
    <w:p>
      <w:r>
        <w:br w:type="page"/>
      </w:r>
    </w:p>
    <w:p>
      <w:pPr>
        <w:pStyle w:val="Heading1"/>
      </w:pPr>
      <w:r>
        <w:t>4 Schweizbild und Tourismus</w:t>
      </w:r>
    </w:p>
    <w:p>
      <w:pPr>
        <w:pStyle w:val="Heading2"/>
      </w:pPr>
      <w:r>
        <w:t>Heidi als nationales Symbol</w:t>
      </w:r>
    </w:p>
    <w:p>
      <w:r>
        <w:t>Als kulturelles Deutungsmuster verbindet Heidi die Schweiz mit Bergen, Einfachheit, Natur und überschaubaren Beziehungen. Das ist ein selektives Bild: Städte, Industrie, Mehrsprachigkeit und gesellschaftliche Konflikte treten dahinter zurück. Ein Nationalsymbol muss nicht die gesamte Wirklichkeit abbilden, um wirksam zu sein. Gerade seine leichte Erkennbarkeit macht es verwendbar.</w:t>
      </w:r>
    </w:p>
    <w:p>
      <w:r>
        <w:t>Problematisch wird es, wenn das Symbol als vollständige Beschreibung des Landes verstanden wird. Dann verwandelt sich eine literarische Auswahl in eine Erwartung an reale Menschen und Orte. Die Schweiz soll so aussehen, wie man sie aus Heidi kennt. Für die Untersuchung empfiehlt sich deshalb die Unterscheidung zwischen Romanlandschaft, medialem Schweizbild und heutiger Lebenswirklichkeit.</w:t>
      </w:r>
    </w:p>
    <w:p>
      <w:pPr>
        <w:pStyle w:val="Heading2"/>
      </w:pPr>
      <w:r>
        <w:t>Ein erfundener Lebensort wird besuchbar</w:t>
      </w:r>
    </w:p>
    <w:p>
      <w:r>
        <w:t>Das Heididorf bei Maienfeld wirbt mit «The Original» und verknüpft Heidi mit Natur, Freiheit, Gesundheit und Lebensfreude. Seine Website präsentiert den Ort als Zugang zur Welt der Figur. Diese Selbstdarstellung ist eine ergiebige Primärquelle für touristische Vermarktung, aber keine unabhängige literaturwissenschaftliche Bewertung. [9]</w:t>
      </w:r>
    </w:p>
    <w:p>
      <w:r>
        <w:t>Analytisch lässt sich hier eine Verwandlung beobachten: Eine gelesene oder gesehene Landschaft wird zum Reiseziel. Besucherinnen und Besucher können an einem realen Ort nach einer vertrauten Fiktion suchen. Ein «Heidihaus» ist deshalb nicht das erhaltene Wohnhaus einer historisch nachgewiesenen Heidi. Seine Bedeutung entsteht durch Inszenierung, literarischen Bezug und die Erwartungen des Publikums.</w:t>
      </w:r>
    </w:p>
    <w:p>
      <w:r>
        <w:t>Solche Angebote können Literatur anschaulich machen und regionale Wirtschaft unterstützen. Gleichzeitig bevorzugt eine gut vermarktbare Erlebniswelt häufig harmonische Motive. Ob Armut, Abhängigkeit und Religion ebenfalls sichtbar werden, lässt sich nur am konkreten Angebot prüfen. Der Gegensatz zwischen Kulturvermittlung und Geschäft ist nicht absolut: Beides kann gleichzeitig stattfinden.</w:t>
      </w:r>
    </w:p>
    <w:p>
      <w:pPr>
        <w:pStyle w:val="Heading2"/>
      </w:pPr>
      <w:r>
        <w:t>Von der Romanfigur zur Produktbotschaft</w:t>
      </w:r>
    </w:p>
    <w:p>
      <w:r>
        <w:t>Auch Werbung kann Heidis Wiedererkennungswert nutzen. Im SIKJM-Archiv ist beispielsweise ein Werbeobjekt für Schinken dokumentiert. [2] An einem solchen Objekt kann untersucht werden, welche Eigenschaften vom literarischen Motiv auf die Ware übertragen werden sollen: Herkunft, Natürlichkeit, Vertrautheit oder Qualität. Das sind mögliche Lesarten, die am Bild und am Wortlaut zu belegen sind.</w:t>
      </w:r>
    </w:p>
    <w:p>
      <w:pPr>
        <w:pStyle w:val="Heading2"/>
      </w:pPr>
      <w:r>
        <w:t>Authentizität als Untersuchungsfrage</w:t>
      </w:r>
    </w:p>
    <w:p>
      <w:r>
        <w:t>«Echt» kann Unterschiedliches bedeuten: historisch erhalten, geografisch passend, dem Roman ähnlich oder emotional überzeugend. Eine Ausstellung kann historisch sorgfältig arbeiten und trotzdem eine erfundene Welt darstellen. Wer ihre Qualität beurteilt, sollte deshalb offenlegen, welchen Massstab von Authentizität er verwendet.</w:t>
      </w:r>
    </w:p>
    <w:p>
      <w:r>
        <w:t>Diskussionsfrage: Darf eine Region mit einer erfundenen Figur für sich werben? Formulieren Sie Bedingungen, unter denen solche Werbung informativ ist, und Bedingungen, unter denen sie falsche historische Vorstellungen erzeugt.</w:t>
      </w:r>
    </w:p>
    <w:p>
      <w:r>
        <w:br w:type="page"/>
      </w:r>
    </w:p>
    <w:p>
      <w:pPr>
        <w:pStyle w:val="Heading1"/>
      </w:pPr>
      <w:r>
        <w:t>4 Vertiefung zu nationalen Selbstbildern</w:t>
      </w:r>
    </w:p>
    <w:p>
      <w:pPr>
        <w:pStyle w:val="Heading2"/>
      </w:pPr>
      <w:r>
        <w:t>Die Schweizer Filme zwischen Abwehr und Export</w:t>
      </w:r>
    </w:p>
    <w:p>
      <w:r>
        <w:t>Ingrid Tomkowiak zeigt, wie der Hollywoodfilm mit Shirley Temple zum Anlass wurde, einen vermeintlich authentischen Schweizer Film zu fordern. In den späten 1930er-Jahren verband sich diese Diskussion mit nationaler kultureller Selbstbehauptung und Geistiger Landesverteidigung. Berge und Natürlichkeit dienten als Zeichen schweizerischer Eigenart. [15, S. 205–207]</w:t>
      </w:r>
    </w:p>
    <w:p>
      <w:r>
        <w:t>Die Schweizer Filme der 1950er-Jahre erfüllten solche Erwartungen, waren aber zugleich auf internationale Verwertung ausgerichtet. Tomkowiak arbeitet heraus, dass die Presse den ersten Film vielfach begrüsste, während «Heidi und Peter» stärker als gefälliges Exportprodukt kritisiert wurde. Touristische Wirksamkeit und künstlerischer Wert waren also schon damals umstritten. [15, S. 212–218]</w:t>
      </w:r>
    </w:p>
    <w:p>
      <w:r>
        <w:t>Besonders aufschlussreich ist der Vertrieb von «Heidi» in Deutschland und Österreich mit dem Untertitel «Sehnsucht nach der Heimat». Tomkowiak zeigt, wie Heidis Heimweh im westdeutschen Nachkriegskontext mit den Erfahrungen von Heimatverlust und Vertreibung verbunden wurde. Die Bedeutung eines Films hängt somit auch vom historischen Publikum und von seiner Bewerbung ab. [15, S. 213–214]</w:t>
      </w:r>
    </w:p>
    <w:p>
      <w:pPr>
        <w:pStyle w:val="Heading2"/>
      </w:pPr>
      <w:r>
        <w:t>Wenn ein Fremdbild zum Selbstbild wird</w:t>
      </w:r>
    </w:p>
    <w:p>
      <w:r>
        <w:t>Tomkowiak greift Peter Bichsels Kritik auf, die Schweiz betrachte sich mit den Augen ihrer Gäste. Ihre Analyse fragt, wie ein touristisch erfolgreiches Fremdbild freiwillig übernommen wird. Der Nutzen des Klischees trägt dann dazu bei, es zu stabilisieren. Das ist ein präziserer Befund als die pauschale Behauptung, das Ausland habe der Schweiz ein falsches Bild aufgezwungen. [15, S. 217–218]</w:t>
      </w:r>
    </w:p>
    <w:p>
      <w:r>
        <w:t>Für eine Untersuchung lassen sich zwei Begriffe verwenden: Ein Autostereotyp ist eine verallgemeinernde Vorstellung von der eigenen Gruppe; ein Heterostereotyp betrifft eine andere Gruppe. Beide können einander verstärken. Bei Heidi wäre zu fragen, wann Schweizer Anbieter Erwartungen ausländischer Gäste wiederholen und als eigene Identität darstellen.</w:t>
      </w:r>
    </w:p>
    <w:p>
      <w:pPr>
        <w:pStyle w:val="Heading2"/>
      </w:pPr>
      <w:r>
        <w:t>Rudolf Walther und die literarische Fernwirkung</w:t>
      </w:r>
    </w:p>
    <w:p>
      <w:r>
        <w:t>In seinem ZEIT-Essay «Typisch!» vom 17. Dezember 2009 beschreibt Rudolf Walther deutsch-schweizerische Zuschreibungen aus persönlicher Erfahrung. Er stellt Schillers «Wilhelm Tell» und Spyris Rottenmeier nebeneinander: Während Tell ein moralisch überhöhtes Schweizbild vermitteln könne, vermutet er in Rottenmeier einen Beitrag zum Schweizer Bild deutscher Strenge. [16, PDF-S. 1]</w:t>
      </w:r>
    </w:p>
    <w:p>
      <w:r>
        <w:t>Walther formuliert diese Wirkung als Vermutung. Sein polemischer Essay ist keine empirische Untersuchung von Kinderlektüren. Als Quelle zeigt er jedoch, dass literarische Figuren 2009 noch zur Erklärung nationaler Vorurteile herangezogen wurden. Der Text gehört deshalb selbst zur Wirkungsgeschichte. Sein Urteil über Rottenmeier sollte zudem mit dem differenzierteren Figurenensemble des Romans verglichen werden.</w:t>
      </w:r>
    </w:p>
    <w:p>
      <w:r>
        <w:t>Diskussionsfrage: Entlarvt Walther nationale Klischees, oder erzeugen seine eigenen Zuspitzungen neue? Prüfen Sie dies an seiner Gegenüberstellung von Deutschen und Schweizern und unterscheiden Sie persönliche Erfahrung, Polemik und belegbare allgemeine Aussage.</w:t>
      </w:r>
    </w:p>
    <w:p>
      <w:r>
        <w:br w:type="page"/>
      </w:r>
    </w:p>
    <w:p>
      <w:pPr>
        <w:pStyle w:val="Heading1"/>
      </w:pPr>
      <w:r>
        <w:t>5 Pädagogische und gesellschaftliche Lesarten</w:t>
      </w:r>
    </w:p>
    <w:p>
      <w:r>
        <w:t>Die folgenden Perspektiven sind heutige Interpretationsangebote. Sie sollen am Roman und an einer bestimmten Bearbeitung geprüft werden. Sie beschreiben keine einheitliche Absicht Spyris und keine automatisch eintretende Wirkung auf Kinder.</w:t>
      </w:r>
    </w:p>
    <w:p>
      <w:pPr>
        <w:pStyle w:val="Heading2"/>
      </w:pPr>
      <w:r>
        <w:t>Kindliche Bedürfnisse und erwachsene Entscheidungsmacht</w:t>
      </w:r>
    </w:p>
    <w:p>
      <w:r>
        <w:t>Heidis Ortswechsel werden von Erwachsenen organisiert. Daraus lässt sich die Frage entwickeln, wie Kinder beteiligt werden, wenn Erwachsene ihre Zukunft planen. Die wirtschaftliche Absicherung in Frankfurt garantiert noch kein Wohlbefinden. Gleichzeitig wäre es zu einfach, Dete nur als Schuldige zu betrachten: Auch sie muss Erwerbsarbeit und Betreuungsverantwortung miteinander vereinbaren. [P]</w:t>
      </w:r>
    </w:p>
    <w:p>
      <w:r>
        <w:t>Für pädagogische Berufe ist die Unterscheidung zwischen einer Störung des Betriebs und einem Ausdruck von Not besonders ergiebig. Heidis Verhalten kann als unpassend gelten, bevor jemand nach seinen Ursachen fragt. Eine Unterrichtsdiskussion kann untersuchen, an welchen Stellen Erwachsene zuhören, übergehen oder stellvertretend entscheiden.</w:t>
      </w:r>
    </w:p>
    <w:p>
      <w:pPr>
        <w:pStyle w:val="Heading2"/>
      </w:pPr>
      <w:r>
        <w:t>Geschlechterrollen und Sorgearbeit</w:t>
      </w:r>
    </w:p>
    <w:p>
      <w:r>
        <w:t>Heidi bringt Trost und verändert Beziehungen. Diese Stärke lässt sich positiv als soziale Handlungsmacht lesen. Kritisch kann man fragen, warum gerade ein Mädchen dafür zuständig erscheint, das Leben anderer zu verbessern. Wird das Kind als eigenständige Person ernst genommen oder an seiner Nützlichkeit für Erwachsene gemessen?</w:t>
      </w:r>
    </w:p>
    <w:p>
      <w:r>
        <w:t>Auch Rottenmeier verdient eine differenzierte Untersuchung. Eine Bearbeitung kann sie zur blossen Gegenspielerin machen oder zeigen, wie sehr sie selbst an gesellschaftliche Erwartungen gebunden ist. Für eine Analyse reichen Sympathie und Antipathie nicht: Zu betrachten sind Aufgaben, Machtmittel, Spielräume und Erzählperspektive.</w:t>
      </w:r>
    </w:p>
    <w:p>
      <w:pPr>
        <w:pStyle w:val="Heading2"/>
      </w:pPr>
      <w:r>
        <w:t>Klara und die Erzählung von Heilung</w:t>
      </w:r>
    </w:p>
    <w:p>
      <w:r>
        <w:t>Klaras Gehenlernen gehört zu den bekanntesten Handlungselementen. Als literarisches Motiv verbindet es Hoffnung, Gemeinschaft und einen Ortswechsel. Aus heutiger Perspektive lässt sich jedoch kritisch fragen, ob das glückliche Ende an einen nichtbehinderten Körper gebunden wird. Welche Lebensmöglichkeiten hätte Klara, wenn sie weiterhin einen Rollstuhl benutzte? [P]</w:t>
      </w:r>
    </w:p>
    <w:p>
      <w:r>
        <w:t>Eine Analyse sollte die erzählte Genesung von Aussagen über reale Behinderungen trennen. Der Roman ist kein medizinischer Beleg dafür, dass Natur, Willenskraft oder Zuwendung jede körperliche Einschränkung überwinden. Als Gegenentwurf können Lernende eine Szene verfassen, in der Teilhabe durch Zugänglichkeit und gleichberechtigte Beziehungen entsteht.</w:t>
      </w:r>
    </w:p>
    <w:p>
      <w:pPr>
        <w:pStyle w:val="Heading2"/>
      </w:pPr>
      <w:r>
        <w:t>Heimat und gesellschaftliche Ordnung</w:t>
      </w:r>
    </w:p>
    <w:p>
      <w:r>
        <w:t>Heimat erscheint als Verbindung von Menschen, vertrauten Handlungen und Landschaft. Darin liegt ein möglicher Zugang für heutige Erfahrungen von Umzug oder Migration. Zugleich bleiben materielle Unterschiede bestehen: Hilfe und Grosszügigkeit mildern Not, ohne die gesellschaftliche Ordnung grundlegend zu verändern. Eine kritische Lesart fragt daher, ob der Roman soziale Verhältnisse hinterfragt oder vor allem versöhnt. [P]</w:t>
      </w:r>
    </w:p>
    <w:p>
      <w:r>
        <w:t>Für die Wirkungsgeschichte lautet die Anschlussfrage: Welche dieser Spannungen bewahrt eine Bearbeitung, und welche löst sie zugunsten einer leicht verständlichen Botschaft auf?</w:t>
      </w:r>
    </w:p>
    <w:p>
      <w:r>
        <w:br w:type="page"/>
      </w:r>
    </w:p>
    <w:p>
      <w:pPr>
        <w:pStyle w:val="Heading1"/>
      </w:pPr>
      <w:r>
        <w:t>6 Parodie und digitale Aneignung</w:t>
      </w:r>
    </w:p>
    <w:p>
      <w:pPr>
        <w:pStyle w:val="Heading2"/>
      </w:pPr>
      <w:r>
        <w:t>Mad Heidi und die Umkehrung der Idylle</w:t>
      </w:r>
    </w:p>
    <w:p>
      <w:r>
        <w:t>«Mad Heidi» von 2022 verwandelt die vertraute Figur in eine erwachsene Kämpferin. Die Filmwebsite beschreibt eine dystopische Schweiz unter der Herrschaft eines Käsemagnaten und bezeichnet das Werk als «Swissploitation». Alpine und nationale Zeichen werden in eine übersteigerte Action- und Horrorkomödie überführt. [8]</w:t>
      </w:r>
    </w:p>
    <w:p>
      <w:r>
        <w:t>Als Interpretation lässt sich die Parodie auf zwei Ebenen lesen. Sie richtet sich gegen die friedliche Oberfläche des Schweizklischees und nutzt gleichzeitig dessen Bekanntheit als Verkaufsargument. Die Kritik bleibt damit Teil des Marktes, den sie verspottet. Nicht jede Übertreibung ist schon eine präzise politische Aussage; im Unterricht muss gefragt werden, worauf sich der Spott konkret richtet.</w:t>
      </w:r>
    </w:p>
    <w:p>
      <w:r>
        <w:t>Für die Arbeit mit Jugendlichen eignen sich eine geprüfte Inhaltsbeschreibung oder ausgewählte Standbilder eher als eine ungeprüfte Vorführung: Die Produktion enthält explizite Gewalt. Der Vergleich kann sich auf die Verwandlung von Symbolen beschränken – etwa darauf, wie aus einem Zeichen von Gemütlichkeit ein Herrschaftssymbol wird.</w:t>
      </w:r>
    </w:p>
    <w:p>
      <w:pPr>
        <w:pStyle w:val="Heading2"/>
      </w:pPr>
      <w:r>
        <w:t>Karpi und der unheimliche KI Trailer</w:t>
      </w:r>
    </w:p>
    <w:p>
      <w:r>
        <w:t>Der Schweizer Komiker und Filmemacher Karpi veröffentlichte 2023 einen KI-generierten Heidi-Trailer. In seinem begleitenden Beitrag beschreibt er das Ergebnis als verstörend. Dieser Beitrag belegt die Veröffentlichung eines solchen Experiments; er ist kein Nachweis für eine vollständige Heidi-Verfilmung oder eine bestimmte Ausstellung. [10]</w:t>
      </w:r>
    </w:p>
    <w:p>
      <w:r>
        <w:t>Das Beispiel eröffnet eine Frage an digitale Bildkultur: Wie wenige Zeichen reichen aus, damit wir «Heidi» erkennen? Denkbar sind Berge, ein Kind, ein Grossvater und eine bestimmte Stimmung. Wenn die Bilder körperlich oder räumlich unstimmig werden, kann die vertraute Idylle ins Unheimliche kippen. Diese Deutung ist am tatsächlich betrachteten Ausschnitt zu überprüfen.</w:t>
      </w:r>
    </w:p>
    <w:p>
      <w:r>
        <w:t>Ein solches Experiment verändert auch die Rolle des Publikums. Die Vorlage wird nicht mehr nur gelesen oder angesehen, sondern als Material für neue Kurzformen verwendet. Für die Analyse sollte dokumentiert werden, wer das Beispiel veröffentlicht hat, in welchem Zusammenhang es steht und ob es als Kunst, Scherz oder vermeintlich echte Filmankündigung präsentiert wird.</w:t>
      </w:r>
    </w:p>
    <w:p>
      <w:pPr>
        <w:pStyle w:val="Heading2"/>
      </w:pPr>
      <w:r>
        <w:t>Bewahrung und Neuinterpretation</w:t>
      </w:r>
    </w:p>
    <w:p>
      <w:r>
        <w:t>2023 wurden die Heidi- und Johanna-Spyri-Archive in das UNESCO-Register «Memory of the World» aufgenommen. Gemeint sind die dokumentarischen Bestände; das ist keine Ernennung des Heididorfs zum UNESCO-Welterbe. [1] Archive ermöglichen es, die Veränderungen der Figur anhand von Ausgaben, Bildern und weiteren Zeugnissen nachzuvollziehen.</w:t>
      </w:r>
    </w:p>
    <w:p>
      <w:r>
        <w:t>Die Spannung zwischen Bewahren und Verändern muss nicht aufgelöst werden. Ein Klassiker kann sorgfältig ediert und zugleich radikal umgeschrieben werden. Entscheidend ist, dass Original, Bearbeitung und Kommentar unterscheidbar bleiben. Gerade dadurch wird sichtbar, was eine Zeit an Heidi sucht und was sie nicht mehr übernehmen will.</w:t>
      </w:r>
    </w:p>
    <w:p>
      <w:r>
        <w:br w:type="page"/>
      </w:r>
    </w:p>
    <w:p>
      <w:pPr>
        <w:pStyle w:val="Heading1"/>
      </w:pPr>
      <w:r>
        <w:t>7 Untersuchungsaufträge für den Unterricht</w:t>
      </w:r>
    </w:p>
    <w:p>
      <w:r>
        <w:t>Die Aufgaben lassen sich einzeln oder in Gruppen bearbeiten. Jede Gruppe legt offen, welche Ausgabe, welcher Filmabschnitt oder welche Website untersucht wurde. Bei Filmen gehören Zeitangaben, bei Websites Abrufdatum und Bildschirmaufnahme zum Nachweis.</w:t>
      </w:r>
    </w:p>
    <w:p>
      <w:pPr>
        <w:pStyle w:val="Heading2"/>
      </w:pPr>
      <w:r>
        <w:t>A Eine Figur in drei Medien</w:t>
      </w:r>
    </w:p>
    <w:p>
      <w:r>
        <w:t>Vergleichen Sie den ersten Aufenthalt beim Grossvater im Roman, in einem Realfilm und in der Serie von 1974. Erfassen Sie Heidis Handlungsmöglichkeiten, die Darstellung des Grossvaters und die Bedeutung der Landschaft. Ergebnis: eine Vergleichstabelle und eine These von 150 Wörtern, gestützt auf drei konkrete Beobachtungen.</w:t>
      </w:r>
    </w:p>
    <w:p>
      <w:pPr>
        <w:pStyle w:val="Heading2"/>
      </w:pPr>
      <w:r>
        <w:t>B Das Versprechen der Tourismuswerbung</w:t>
      </w:r>
    </w:p>
    <w:p>
      <w:r>
        <w:t>Untersuchen Sie die Seite «Faszination Heidi» des Heididorfs. Markieren Sie Aussagen über die Romanfigur, Aussagen über die Schweiz und Versprechen an Gäste. Prüfen Sie anschliessend, welche Konflikte des Originals fehlen. Ergebnis: ein kommentiertes Werbebeispiel mit einer begründeten Einschätzung seiner Kulturvermittlung.</w:t>
      </w:r>
    </w:p>
    <w:p>
      <w:pPr>
        <w:pStyle w:val="Heading2"/>
      </w:pPr>
      <w:r>
        <w:t>C Eine pädagogische Fallkonferenz</w:t>
      </w:r>
    </w:p>
    <w:p>
      <w:r>
        <w:t>Diskutieren Sie Heidis Aufenthalt in Frankfurt aus den Perspektiven von Heidi, Dete, Rottenmeier, Klara und dem Arzt. Jede Person muss zwei Beobachtungen aus dem Roman einbringen. Entwickeln Sie danach einen Vorschlag, der Heidis Wünsche berücksichtigt. Ergebnis: ein kurzes Protokoll, das zwischen historischen Rahmenbedingungen und heutigen Massstäben unterscheidet.</w:t>
      </w:r>
    </w:p>
    <w:p>
      <w:pPr>
        <w:pStyle w:val="Heading2"/>
      </w:pPr>
      <w:r>
        <w:t>D Ein anderes Ende für Klara</w:t>
      </w:r>
    </w:p>
    <w:p>
      <w:r>
        <w:t>Schreiben Sie eine Szene von 300 bis 400 Wörtern, in der Klara auf der Alp glücklich wird, ohne gehen zu lernen. Erläutern Sie anschliessend in 150 Wörtern, welche Vorstellung von Glück und Teilhabe Sie verändert haben. Vergleichen Sie die Wirkung Ihrer Fassung mit dem Original, ohne dessen historischen Kontext auszublenden.</w:t>
      </w:r>
    </w:p>
    <w:p>
      <w:pPr>
        <w:pStyle w:val="Heading2"/>
      </w:pPr>
      <w:r>
        <w:t>E Eine Parodie verstehen</w:t>
      </w:r>
    </w:p>
    <w:p>
      <w:r>
        <w:t>Analysieren Sie ein freigegebenes Plakat oder einen geeigneten Ausschnitt aus «Mad Heidi» oder Karpis KI-Trailer. Welche bekannten Zeichen werden gebraucht? Was wird übertrieben oder gestört? Ergebnis: ein Audio- oder Videokommentar von zwei Minuten mit einer belegten Deutung und einer möglichen Gegenlesart.</w:t>
      </w:r>
    </w:p>
    <w:p>
      <w:pPr>
        <w:pStyle w:val="Heading2"/>
      </w:pPr>
      <w:r>
        <w:t>F Eine kleine Ausstellung zur Wirkungsgeschichte</w:t>
      </w:r>
    </w:p>
    <w:p>
      <w:r>
        <w:t>Stellen Sie fünf Stationen zusammen: Originalausgabe, Übersetzung oder Illustration, Film, touristische Werbung und kritische Neubearbeitung. Jede Station erhält einen Kommentar von etwa 100 Wörtern: Was wurde übernommen, was verändert, für welches Publikum? Die Ausstellung endet mit einer begründeten Antwort auf die Leitfrage des Dossiers.</w:t>
      </w:r>
    </w:p>
    <w:p>
      <w:pPr>
        <w:pStyle w:val="Heading2"/>
      </w:pPr>
      <w:r>
        <w:t>Kriterien für gute Ergebnisse</w:t>
      </w:r>
    </w:p>
    <w:p>
      <w:r>
        <w:t>Bewertet werden die Genauigkeit der Beobachtungen, die Unterscheidung von Original und Bearbeitung, nachvollziehbare Belege und die Qualität der Deutung. Eine starke Arbeit erklärt auch, welche alternative Interpretation möglich ist und wo die untersuchten Beispiele keine allgemeine Aussage erlauben.</w:t>
      </w:r>
    </w:p>
    <w:p>
      <w:r>
        <w:br w:type="page"/>
      </w:r>
    </w:p>
    <w:p>
      <w:pPr>
        <w:pStyle w:val="Heading1"/>
      </w:pPr>
      <w:r>
        <w:t>8 Quellen und weiterführende Literatur</w:t>
      </w:r>
    </w:p>
    <w:p>
      <w:r>
        <w:t>Abrufdatum der Onlinequellen: 19. September 2026. Die Quellenziffern beziehen sich auf die folgenden Einträge. Die Filmlexika dienen der Kontrolle von Produktionsdaten; die Interpretationen im Dossier sind eigenständige Analyseangebote.</w:t>
      </w:r>
    </w:p>
    <w:p>
      <w:r>
        <w:t>[P] Johanna Spyri: Heidis Lehr- und Wanderjahre. Gotha: Friedrich Andreas Perthes, 1880. Dies.: Heidi kann brauchen, was es gelernt hat. Gotha: Friedrich Andreas Perthes, 1881. Primärtexte für Handlung und Textanalyse. Digitalisate historischer Ausgaben sind über den SIKJM-Bestand verlinkt; Seitenzahlen hängen von der verwendeten Ausgabe ab.</w:t>
      </w:r>
    </w:p>
    <w:p>
      <w:hyperlink r:id="rId11">
        <w:r>
          <w:t>[1] UNESCO · Heidi and Johanna Spyri Archives</w:t>
        </w:r>
      </w:hyperlink>
    </w:p>
    <w:p>
      <w:hyperlink r:id="rId12">
        <w:r>
          <w:t>[2] SIKJM · Bestand des Johanna Spyri Archivs</w:t>
        </w:r>
      </w:hyperlink>
    </w:p>
    <w:p>
      <w:hyperlink r:id="rId13">
        <w:r>
          <w:t>[3] Wikipedia · Heidi 1937 · Produktionsdaten</w:t>
        </w:r>
      </w:hyperlink>
    </w:p>
    <w:p>
      <w:hyperlink r:id="rId14">
        <w:r>
          <w:t>[4] Wikipedia · Heidi 1952 · Produktionsdaten</w:t>
        </w:r>
      </w:hyperlink>
    </w:p>
    <w:p>
      <w:hyperlink r:id="rId15">
        <w:r>
          <w:t>[5] Wikipedia · Heidi und Peter · Produktionsdaten</w:t>
        </w:r>
      </w:hyperlink>
    </w:p>
    <w:p>
      <w:hyperlink r:id="rId16">
        <w:r>
          <w:t>[6] Wikipedia · Heidi Girl of the Alps · Produktionsdaten</w:t>
        </w:r>
      </w:hyperlink>
    </w:p>
    <w:p>
      <w:hyperlink r:id="rId17">
        <w:r>
          <w:t>[7] Wikipedia · Heidi 2015 · Produktionsdaten</w:t>
        </w:r>
      </w:hyperlink>
    </w:p>
    <w:p>
      <w:hyperlink r:id="rId18">
        <w:r>
          <w:t>[8] Mad Heidi · Offizielle Filmwebsite</w:t>
        </w:r>
      </w:hyperlink>
    </w:p>
    <w:p>
      <w:hyperlink r:id="rId19">
        <w:r>
          <w:t>[9] Heididorf · Faszination Heidi · Touristische Selbstdarstellung</w:t>
        </w:r>
      </w:hyperlink>
    </w:p>
    <w:p>
      <w:hyperlink r:id="rId20">
        <w:r>
          <w:t>[10] Karpi · Beitrag zum KI Trailer vom Juli 2023</w:t>
        </w:r>
      </w:hyperlink>
    </w:p>
    <w:p>
      <w:r>
        <w:br w:type="page"/>
      </w:r>
    </w:p>
    <w:p>
      <w:pPr>
        <w:pStyle w:val="Heading1"/>
      </w:pPr>
      <w:r>
        <w:t>8 Nachweise zu den eingearbeiteten PDFs</w:t>
      </w:r>
    </w:p>
    <w:p>
      <w:r>
        <w:t>Die folgenden Aufsätze stammen aus: Schweizerisches Institut für Kinder- und Jugendmedien (Hrsg.): Johanna Spyri und ihr Werk – Lesarten. Mit einem Anhang «Briefe von Johanna Spyri an Verwandte und Bekannte». Arbeitsberichte des SIKJM 27. Zürich: Chronos, 2004. Bereitgestellte Datei: Spyri_Lesarten.pdf. Die Seitenangaben folgen der gedruckten Paginierung.</w:t>
      </w:r>
    </w:p>
    <w:p>
      <w:r>
        <w:t>[11] Emer O’Sullivan: The little Swiss girl from the mountains: Heidi in englischen Übersetzungen. S. 139–162. Ausgewertet wurden insbesondere die Abschnitte zu Anrede, Landschaft, Illustration und Schlussfolgerungen, S. 151–157.</w:t>
      </w:r>
    </w:p>
    <w:p>
      <w:r>
        <w:t>[12] Isabelle Nières-Chevrel: Heidi en France: un rendez-vous manqué. S. 117–138. Herangezogen ist die Kritik an Bearbeitungen und Charles Trittens Fortsetzungen, besonders S. 127–128.</w:t>
      </w:r>
    </w:p>
    <w:p>
      <w:r>
        <w:t>[13] Yumiko Bando Saito: Heidi in Japan. S. 183–187. Herangezogen sind die Darstellung früher japanischer Ausgaben und die Einordnung der Nachkriegsrezeption, S. 184–187. Die im Beitrag enthaltenen Auflagenzahlen werden hier nicht als aktuelle Zahlen übernommen.</w:t>
      </w:r>
    </w:p>
    <w:p>
      <w:r>
        <w:t>[14] Isao Takahata: Making of the TV Series “Heidi, the Girl of the Alps”. S. 189–204. Herangezogen sind seine Ausführungen zu international veränderten Fassungen, gesellschaftlichem Kontext, Erzähltempo und Eingriffen in den Roman. Eine Selbstauskunft zur Produktion, keine unabhängige Publikumsstudie.</w:t>
      </w:r>
    </w:p>
    <w:p>
      <w:r>
        <w:t>[15] Ingrid Tomkowiak: Die Schweizer «Heidi»-Filme der 50er Jahre. S. 205–222. Herangezogen sind die Passagen zu kultureller Selbstbehauptung, zeitgenössischer Filmkritik, Heimatfilm und touristischem Schweizbild. Von ihr zitierte ältere Pressestimmen und Bichsels Position werden im Dossier als durch ihren Beitrag vermittelte Quellen behandelt.</w:t>
      </w:r>
    </w:p>
    <w:p>
      <w:r>
        <w:t>[16] Rudolf Walther: Typisch! Wie ein Schweizer sein Land den Deutschen erklärt. DIE ZEIT, 17. Dezember 2009. Bereitgestellte Datei: CH-Rudolf-Walther.pdf, 3 Seiten. Für den Heidi-Bezug besonders PDF-S. 1; für die Einordnung als persönlicher und polemischer Essay auch S. 2–3.</w:t>
      </w:r>
    </w:p>
    <w:p>
      <w:pPr>
        <w:pStyle w:val="Heading2"/>
      </w:pPr>
      <w:r>
        <w:t>Zusätzlicher Auftrag zur Arbeit mit Forschung</w:t>
      </w:r>
    </w:p>
    <w:p>
      <w:r>
        <w:t>Vergleichen Sie Takahatas Erklärung der Veränderungen an Rottenmeier mit Walthers These über ihre nationale Fernwirkung. Was will der Regisseur mit der Figur erreichen, und welche gesellschaftliche Wirkung vermutet der Essayist? Belegen Sie die beiden Positionen und formulieren Sie, welche zusätzliche Untersuchung nötig wäre, um eine tatsächliche Wirkung auf das Publikum nachzuweisen.</w:t>
      </w:r>
    </w:p>
    <w:p>
      <w:pPr>
        <w:pStyle w:val="Heading2"/>
      </w:pPr>
      <w:r>
        <w:t>Weiterführende Literatur</w:t>
      </w:r>
    </w:p>
    <w:p>
      <w:r>
        <w:t>Schweizerisches Institut für Kinder- und Jugendmedien (Hrsg.): Johanna Spyri und ihr Werk – Lesarten. Mit einem Anhang Briefe von Johanna Spyri an Verwandte und Bekannte. Zürich: Chronos, 2004. Forschungsbeiträge aus einem internationalen Kolloquium; die für dieses Dossier ausgewerteten Beiträge und Passagen sind oben einzeln nachgewiesen.</w:t>
      </w:r>
    </w:p>
    <w:p>
      <w:r>
        <w:t>Regine Schindler (Hrsg.): Johanna Spyri (1827–1901). Neue Entdeckungen und unbekannte Briefe. Zürich: NZZ Libro, 2015. Ergänzung zur historischen Einordnung der Autorin; ebenfalls als weiterführende Literatur angegeben.</w:t>
      </w:r>
    </w:p>
    <w:p>
      <w:hyperlink r:id="rId21">
        <w:r>
          <w:t>SIKJM · Nachweise und weitere Publikationen</w:t>
        </w:r>
      </w:hyperlink>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Wirkungsgeschichte von Heidi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JOHANNA SPYRI     •     LITERATUR UND KULTURGESCHICHTE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esco.org/en/memory-world/heidi-and-johanna-spyri-archives" TargetMode="External"/><Relationship Id="rId12" Type="http://schemas.openxmlformats.org/officeDocument/2006/relationships/hyperlink" Target="https://sikjm.ch/forschung-bibliothek/johanna-spyri-archiv/bestand/" TargetMode="External"/><Relationship Id="rId13" Type="http://schemas.openxmlformats.org/officeDocument/2006/relationships/hyperlink" Target="https://en.wikipedia.org/wiki/Heidi_(1937_film)" TargetMode="External"/><Relationship Id="rId14" Type="http://schemas.openxmlformats.org/officeDocument/2006/relationships/hyperlink" Target="https://de.wikipedia.org/wiki/Heidi_(1952)" TargetMode="External"/><Relationship Id="rId15" Type="http://schemas.openxmlformats.org/officeDocument/2006/relationships/hyperlink" Target="https://de.wikipedia.org/wiki/Heidi_und_Peter" TargetMode="External"/><Relationship Id="rId16" Type="http://schemas.openxmlformats.org/officeDocument/2006/relationships/hyperlink" Target="https://en.wikipedia.org/wiki/Heidi,_Girl_of_the_Alps" TargetMode="External"/><Relationship Id="rId17" Type="http://schemas.openxmlformats.org/officeDocument/2006/relationships/hyperlink" Target="https://de.wikipedia.org/wiki/Heidi_(2015)" TargetMode="External"/><Relationship Id="rId18" Type="http://schemas.openxmlformats.org/officeDocument/2006/relationships/hyperlink" Target="https://www.madheidi.com/" TargetMode="External"/><Relationship Id="rId19" Type="http://schemas.openxmlformats.org/officeDocument/2006/relationships/hyperlink" Target="https://www.heididorf.ch/willkommen/faszination-heidi/" TargetMode="External"/><Relationship Id="rId20" Type="http://schemas.openxmlformats.org/officeDocument/2006/relationships/hyperlink" Target="https://x.com/karpi/status/1678321009638637568" TargetMode="External"/><Relationship Id="rId21" Type="http://schemas.openxmlformats.org/officeDocument/2006/relationships/hyperlink" Target="https://sikjm.ch/forschung-bibliothek/johanna-spyri-archiv/forschung-zu-spy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