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Aristotle — primary substance and relatives</w:t>
      </w:r>
    </w:p>
    <w:p>
      <w:pPr>
        <w:pStyle w:val="Subtitle"/>
      </w:pPr>
      <w:r>
        <w:t>Controlled source-resistance regression dossier · Aristotle · -350</w:t>
      </w:r>
    </w:p>
    <w:p>
      <w:pPr>
        <w:pStyle w:val="Heading1"/>
      </w:pPr>
      <w:r>
        <w:t>Primary source passages</w:t>
      </w:r>
    </w:p>
    <w:p>
      <w:pPr>
        <w:pStyle w:val="Quote"/>
      </w:pPr>
      <w:r>
        <w:rPr>
          <w:b/>
        </w:rPr>
        <w:t xml:space="preserve">[Categories 2b] </w:t>
      </w:r>
      <w:r>
        <w:t>“Substance, in the truest and primary and most definite sense, is that which is neither predicable of a subject nor present in a subject.”</w:t>
      </w:r>
    </w:p>
    <w:p>
      <w:pPr>
        <w:pStyle w:val="Quote"/>
      </w:pPr>
      <w:r>
        <w:rPr>
          <w:b/>
        </w:rPr>
        <w:t xml:space="preserve">[Categories 2b] </w:t>
      </w:r>
      <w:r>
        <w:t>“Everything except primary substances is either predicable of a primary substance or present in a primary substance.”</w:t>
      </w:r>
    </w:p>
    <w:p>
      <w:pPr>
        <w:pStyle w:val="Quote"/>
      </w:pPr>
      <w:r>
        <w:rPr>
          <w:b/>
        </w:rPr>
        <w:t xml:space="preserve">[Categories 2b] </w:t>
      </w:r>
      <w:r>
        <w:t>“If these primary substances did not exist, it would be impossible for anything else to exist.”</w:t>
      </w:r>
    </w:p>
    <w:p>
      <w:pPr>
        <w:pStyle w:val="Quote"/>
      </w:pPr>
      <w:r>
        <w:rPr>
          <w:b/>
        </w:rPr>
        <w:t xml:space="preserve">[Categories 6a] </w:t>
      </w:r>
      <w:r>
        <w:t>“Those things are called relative which are explained by reference to something else.”</w:t>
      </w:r>
    </w:p>
    <w:p>
      <w:pPr>
        <w:pStyle w:val="Quote"/>
      </w:pPr>
      <w:r>
        <w:rPr>
          <w:b/>
        </w:rPr>
        <w:t xml:space="preserve">[Categories 6a] </w:t>
      </w:r>
      <w:r>
        <w:t>“Knowledge is knowledge of something, and attitude is the attitude of something.”</w:t>
      </w:r>
    </w:p>
    <w:p>
      <w:pPr>
        <w:pStyle w:val="Quote"/>
      </w:pPr>
      <w:r>
        <w:rPr>
          <w:b/>
        </w:rPr>
        <w:t xml:space="preserve">[Categories 6a] </w:t>
      </w:r>
      <w:r>
        <w:t>“That which is called similar must be similar to something else.”</w:t>
      </w:r>
    </w:p>
    <w:p>
      <w:pPr>
        <w:pStyle w:val="Quote"/>
      </w:pPr>
      <w:r>
        <w:rPr>
          <w:b/>
        </w:rPr>
        <w:t xml:space="preserve">[Categories 6a] </w:t>
      </w:r>
      <w:r>
        <w:t>“The nature of relatives is explained by reference to something else.”</w:t>
      </w:r>
    </w:p>
    <w:p>
      <w:pPr>
        <w:pStyle w:val="Heading1"/>
      </w:pPr>
      <w:r>
        <w:t>Source-bounded reconstruction</w:t>
      </w:r>
    </w:p>
    <w:p>
      <w:pPr/>
      <w:r>
        <w:t>Reconstruction: the corpus contains at least two local regimes: primary-substance priority and a category of relatives whose intelligibility explicitly refers to another.</w:t>
      </w:r>
    </w:p>
    <w:p>
      <w:pPr/>
      <w:r>
        <w:t>Reconstruction: forcing one global relation ontology across both regimes would erase the text’s own categorical differentiation.</w:t>
      </w:r>
    </w:p>
    <w:p>
      <w:pPr>
        <w:pStyle w:val="Heading1"/>
      </w:pPr>
      <w:r>
        <w:t>Project theses for regression</w:t>
      </w:r>
    </w:p>
    <w:p>
      <w:r>
        <w:t>Наш проект предлагает проверить thesis: LOCAL_MODE_VARIATION — the same corpus requires a primary-substance profile in one region and a reference-to-another profile for relatives.</w:t>
      </w:r>
    </w:p>
    <w:p>
      <w:r>
        <w:t>Наш проект предлагает проверить thesis: GLOBAL_RELATION_FIRST — all categories are constituted relation-first in the same sense.</w:t>
      </w:r>
    </w:p>
    <w:p>
      <w:pPr>
        <w:pStyle w:val="Heading1"/>
      </w:pPr>
      <w:r>
        <w:t>Rival / objection layer</w:t>
      </w:r>
    </w:p>
    <w:p>
      <w:r>
        <w:t>Rival objection: Relatives do not license promotion of relation-first structure to primary substance.</w:t>
      </w:r>
    </w:p>
    <w:p>
      <w:r>
        <w:t>Rival objection: Primary-substance priority does not make the category of relatives non-relational.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