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Descartes — cogito and thinking thing</w:t>
      </w:r>
    </w:p>
    <w:p>
      <w:pPr>
        <w:pStyle w:val="Subtitle"/>
      </w:pPr>
      <w:r>
        <w:t>Controlled source-resistance regression dossier · René Descartes · 1641</w:t>
      </w:r>
    </w:p>
    <w:p>
      <w:pPr>
        <w:pStyle w:val="Heading1"/>
      </w:pPr>
      <w:r>
        <w:t>Primary source passages</w:t>
      </w:r>
    </w:p>
    <w:p>
      <w:pPr>
        <w:pStyle w:val="Quote"/>
      </w:pPr>
      <w:r>
        <w:rPr>
          <w:b/>
        </w:rPr>
        <w:t xml:space="preserve">[Meditation II] </w:t>
      </w:r>
      <w:r>
        <w:t>“Whenever this sentence I am, I exist, is spoken or thought of by me, it is necessarily true.”</w:t>
      </w:r>
    </w:p>
    <w:p>
      <w:pPr>
        <w:pStyle w:val="Quote"/>
      </w:pPr>
      <w:r>
        <w:rPr>
          <w:b/>
        </w:rPr>
        <w:t xml:space="preserve">[Meditation II] </w:t>
      </w:r>
      <w:r>
        <w:t>“It is my Thought; this alone cannot be separated from Me; I am, I exist.”</w:t>
      </w:r>
    </w:p>
    <w:p>
      <w:pPr>
        <w:pStyle w:val="Quote"/>
      </w:pPr>
      <w:r>
        <w:rPr>
          <w:b/>
        </w:rPr>
        <w:t xml:space="preserve">[Meditation II] </w:t>
      </w:r>
      <w:r>
        <w:t>“I am only a thinking thing, that is to say, a mind, or a soul, or understanding, or Reason.”</w:t>
      </w:r>
    </w:p>
    <w:p>
      <w:pPr>
        <w:pStyle w:val="Quote"/>
      </w:pPr>
      <w:r>
        <w:rPr>
          <w:b/>
        </w:rPr>
        <w:t xml:space="preserve">[Meditation II] </w:t>
      </w:r>
      <w:r>
        <w:t>“I am sure that I exist; I ask who I am whom I thus know.”</w:t>
      </w:r>
    </w:p>
    <w:p>
      <w:pPr>
        <w:pStyle w:val="Quote"/>
      </w:pPr>
      <w:r>
        <w:rPr>
          <w:b/>
        </w:rPr>
        <w:t xml:space="preserve">[Meditation II] </w:t>
      </w:r>
      <w:r>
        <w:t>“What I am? A Thinking Thing: a thing doubting, understanding, affirming, denying, willing, imagining and sensitive.”</w:t>
      </w:r>
    </w:p>
    <w:p>
      <w:pPr>
        <w:pStyle w:val="Quote"/>
      </w:pPr>
      <w:r>
        <w:rPr>
          <w:b/>
        </w:rPr>
        <w:t xml:space="preserve">[Meditation II] </w:t>
      </w:r>
      <w:r>
        <w:t>“The knowledge of me precisely so taken depends not on those things whose existence I am yet ignorant of.”</w:t>
      </w:r>
    </w:p>
    <w:p>
      <w:pPr>
        <w:pStyle w:val="Quote"/>
      </w:pPr>
      <w:r>
        <w:rPr>
          <w:b/>
        </w:rPr>
        <w:t xml:space="preserve">[Meditation II] </w:t>
      </w:r>
      <w:r>
        <w:t>“I must carefully withdraw my mind from those things that it may more distinctly perceive its own Nature.”</w:t>
      </w:r>
    </w:p>
    <w:p>
      <w:pPr>
        <w:pStyle w:val="Heading1"/>
      </w:pPr>
      <w:r>
        <w:t>Source-bounded reconstruction</w:t>
      </w:r>
    </w:p>
    <w:p>
      <w:pPr/>
      <w:r>
        <w:t>Reconstruction: the local argumentative pressure concerns certainty, thinking, existence and the characterization of the self, not a source-forced problem of relation-genesis among co-dependent relata.</w:t>
      </w:r>
    </w:p>
    <w:p>
      <w:pPr/>
      <w:r>
        <w:t>Reconstruction: the benchmark uses this dossier as a negative control against a relation-genesis operator that fires merely because every philosophical text contains relations.</w:t>
      </w:r>
    </w:p>
    <w:p>
      <w:pPr>
        <w:pStyle w:val="Heading1"/>
      </w:pPr>
      <w:r>
        <w:t>Project theses for regression</w:t>
      </w:r>
    </w:p>
    <w:p>
      <w:r>
        <w:t>Наш проект предлагает проверить thesis: COGITO_LOCAL — the local passage ties certainty of existence to the occurrence of thinking.</w:t>
      </w:r>
    </w:p>
    <w:p>
      <w:r>
        <w:t>Наш проект предлагает проверить thesis: RELATION_GENESIS_OVERFIT — the passage requires a relation-first or co-constitutive ontology to become intelligible.</w:t>
      </w:r>
    </w:p>
    <w:p>
      <w:pPr>
        <w:pStyle w:val="Heading1"/>
      </w:pPr>
      <w:r>
        <w:t>Rival / objection layer</w:t>
      </w:r>
    </w:p>
    <w:p>
      <w:r>
        <w:t>Rival objection: A relation-genesis mutation here would indicate operator inflation rather than source-driven necessity.</w:t>
      </w:r>
    </w:p>
    <w:p>
      <w:r>
        <w:t>Rival objection: The existence of dependence language in a sentence does not by itself make relation genesis the explanandum.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