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Spinoza — substance, mode, dependence</w:t>
      </w:r>
    </w:p>
    <w:p>
      <w:pPr>
        <w:pStyle w:val="Subtitle"/>
      </w:pPr>
      <w:r>
        <w:t>Controlled source-resistance regression dossier · Benedictus de Spinoza · 1677</w:t>
      </w:r>
    </w:p>
    <w:p>
      <w:pPr>
        <w:pStyle w:val="Heading1"/>
      </w:pPr>
      <w:r>
        <w:t>Primary source passages</w:t>
      </w:r>
    </w:p>
    <w:p>
      <w:pPr>
        <w:pStyle w:val="Quote"/>
      </w:pPr>
      <w:r>
        <w:rPr>
          <w:b/>
        </w:rPr>
        <w:t xml:space="preserve">[Ethics I, Def. III] </w:t>
      </w:r>
      <w:r>
        <w:t>“By substance, I mean that which is in itself, and is conceived through itself.”</w:t>
      </w:r>
    </w:p>
    <w:p>
      <w:pPr>
        <w:pStyle w:val="Quote"/>
      </w:pPr>
      <w:r>
        <w:rPr>
          <w:b/>
        </w:rPr>
        <w:t xml:space="preserve">[Ethics I, Def. V] </w:t>
      </w:r>
      <w:r>
        <w:t>“By mode, I mean the modifications of substance, or that which exists in, and is conceived through, something other than itself.”</w:t>
      </w:r>
    </w:p>
    <w:p>
      <w:pPr>
        <w:pStyle w:val="Quote"/>
      </w:pPr>
      <w:r>
        <w:rPr>
          <w:b/>
        </w:rPr>
        <w:t xml:space="preserve">[Ethics I, Axiom I] </w:t>
      </w:r>
      <w:r>
        <w:t>“Everything which exists, exists either in itself or in something else.”</w:t>
      </w:r>
    </w:p>
    <w:p>
      <w:pPr>
        <w:pStyle w:val="Quote"/>
      </w:pPr>
      <w:r>
        <w:rPr>
          <w:b/>
        </w:rPr>
        <w:t xml:space="preserve">[Ethics I, Axiom II] </w:t>
      </w:r>
      <w:r>
        <w:t>“That which cannot be conceived through anything else must be conceived through itself.”</w:t>
      </w:r>
    </w:p>
    <w:p>
      <w:pPr>
        <w:pStyle w:val="Quote"/>
      </w:pPr>
      <w:r>
        <w:rPr>
          <w:b/>
        </w:rPr>
        <w:t xml:space="preserve">[Ethics I, Prop. I] </w:t>
      </w:r>
      <w:r>
        <w:t>“Substance is by nature prior to its modifications.”</w:t>
      </w:r>
    </w:p>
    <w:p>
      <w:pPr>
        <w:pStyle w:val="Quote"/>
      </w:pPr>
      <w:r>
        <w:rPr>
          <w:b/>
        </w:rPr>
        <w:t xml:space="preserve">[Ethics I, Prop. II] </w:t>
      </w:r>
      <w:r>
        <w:t>“Two substances, whose attributes are different, have nothing in common.”</w:t>
      </w:r>
    </w:p>
    <w:p>
      <w:pPr>
        <w:pStyle w:val="Quote"/>
      </w:pPr>
      <w:r>
        <w:rPr>
          <w:b/>
        </w:rPr>
        <w:t xml:space="preserve">[Ethics I, Prop. III] </w:t>
      </w:r>
      <w:r>
        <w:t>“Things which have nothing in common cannot be one the cause of the other.”</w:t>
      </w:r>
    </w:p>
    <w:p>
      <w:pPr>
        <w:pStyle w:val="Heading1"/>
      </w:pPr>
      <w:r>
        <w:t>Source-bounded reconstruction</w:t>
      </w:r>
    </w:p>
    <w:p>
      <w:pPr/>
      <w:r>
        <w:t>Reconstruction: substance and mode are explicitly differentiated by asymmetric conditions of being-in and conception-through; dependence is source-central but not reciprocal.</w:t>
      </w:r>
    </w:p>
    <w:p>
      <w:pPr/>
      <w:r>
        <w:t>Reconstruction: a relation-genesis profile may be useful here only if it can represent asymmetry and priority without converting dependence into co-constitution.</w:t>
      </w:r>
    </w:p>
    <w:p>
      <w:pPr>
        <w:pStyle w:val="Heading1"/>
      </w:pPr>
      <w:r>
        <w:t>Project theses for regression</w:t>
      </w:r>
    </w:p>
    <w:p>
      <w:r>
        <w:t>Наш проект предлагает проверить thesis: ASYMMETRIC_DEPENDENCE — modes are conceived through and exist in something other, while substance is conceived through itself and is declared prior to modifications.</w:t>
      </w:r>
    </w:p>
    <w:p>
      <w:r>
        <w:t>Наш проект предлагает проверить thesis: RELATION_FIRST_STRONG — relation is ontologically prior to substance itself.</w:t>
      </w:r>
    </w:p>
    <w:p>
      <w:pPr>
        <w:pStyle w:val="Heading1"/>
      </w:pPr>
      <w:r>
        <w:t>Rival / objection layer</w:t>
      </w:r>
    </w:p>
    <w:p>
      <w:r>
        <w:t>Rival objection: A model imported from Geviert would overfit if it inferred reciprocal co-constitution from the mere fact of dependence.</w:t>
      </w:r>
    </w:p>
    <w:p>
      <w:r>
        <w:t>Rival objection: The source itself supplies a priority asymmetry that any operator ecology must preserve.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