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suppositions. I shall say that I know with certainty that he is not to put his hand into the fire and hold it there till it be consumed: And this event, I think I can foretell with the same assurance, as that, if he throw himself out at the window, and meet with no obstruction, he will not remain a moment suspended in the air. No suspicion of an unknown frenzy can give the least possibility to the former event, which is so contrary to all the known principles of human nature. A man who at noon leaves his purse full of gold on the pavement at Charing-Cross, may as well expect that it will fly away like a feather, as that he will find it untouched an hour after. Above one half of human reasonings contain inferences of a similar nature, attended with more or less degrees of certainty proportioned to our experience of the usual conduct of mankind in such particular situations.</w:t>
      </w:r>
    </w:p>
    <w:p>
      <w:r>
        <w:t>71. I have frequently considered, what could possibly be the reason why all mankind, though they have ever, without hesitation, acknowledged the doctrine of necessity in their whole practice and reasoning, have yet discovered such a reluctance to acknowledge it in words, and have rather shown a propensity, in all ages, to profess the contrary opinion. The matter, I think, may be accounted for after the following manner. If we examine the operations of body, and the production of effects from their causes, we shall find that all our faculties can never carry us farther in our knowledge of this relation than barely to observe that particular objects are _constantly conjoined_ together, and that the mind is carried, by a _customary transition,_ from the appearance of one to the belief of the other. But though this conclusion concerning human ignorance be the result of the strictest scrutiny of this subject, men still entertain a strong propensity to believe that they penetrate farther into the powers of nature, and perceive something like a necessary connexion between the cause and the effect. When again they turn their reflections towards the operations of their own minds, and _feel_ no such connexion of the motive and the action; they are thence apt to suppose, that there is a difference between the effects which result from material force, and those which arise from thought and intelligence. But being once convinced that we know nothing farther of causation of any kind than merely the _constant conjunction_ of objects, and the consequent _inference_ of the mind from one to another, and finding that these two circumstances are universally allowed to have place in voluntary actions; we may be more easily led to own the same necessity common to all causes. And though this reasoning may contradict the systems of many philosophers, in ascribing necessity to the determinations of the will, we shall find, upon reflection, that they dissent from it in words only, not in their real sentiment. Necessity, according to the sense in which it is here taken, has never yet been rejected, nor can ever, I think, be rejected by any philosopher. It may only, perhaps, be pretended that the mind can perceive, in the operations of matter, some farther connexion between the cause and effect; and connexion that has not place in voluntary actions of intelligent beings. Now whether it be so or not, can only appear upon examination; and it is incumbent on these philosophers to make good their assertion, by defining or describing that necessity, and pointing it out to us in the operations of material causes.</w:t>
      </w:r>
    </w:p>
    <w:p>
      <w:r>
        <w:t>72. It would seem, indeed, that men begin at the wrong end of this question concerning liberty and necessity, when they enter upon it by examining the faculties of the soul, the influence of the understanding, and the operations of the will. Let them first discuss a more simple question, namely, the operations of body and of brute unintelligent matter; and try whether they can there form any idea of causation and necessity, except that of a constant conjunction of objects, and subsequent inference of the mind from one to another. If these circumstances form, in reality, the whole of that necessity, which we conceive in matter, and if these circumstances be also universally acknowledged to take place in the operations of the mind, the dispute is at an end; at least, must be owned to be thenceforth merely verbal. But as long as we will rashly suppose, that we have some farther idea of necessity and causation in the operations of external objects; at the same time, that we can find nothing farther in the voluntary actions of the mind; there is no possibility of bringing the question to any determinate issue, while we proceed upon so erroneous a supposition. The only method of undeceiving us is to mount up higher; to examine the narrow extent of science when applied to material causes; and to convince ourselves that all we know of them is the constant conjunction and inference above mentioned. We may, perhaps, find that it is with difficulty we are induced to fix such narrow limits to human understanding: But we can afterwards find no difficulty when we come to apply this doctrine to the actions of the will. For as it is evident that these have a regular conjunction with motives and circumstances and characters, and as we always draw inferences from one to the other, we must be obliged to acknowledge in words that necessity, which we have already avowed, in every deliberation of our lives, and in every step of our conduct and behaviour.[17]</w:t>
      </w:r>
    </w:p>
    <w:p>
      <w:r>
        <w:t>[17] The prevalence of the doctrine of liberty may be accounted for, from another cause, viz. a false sensation or seeming experience which we have, or may have, of liberty or indifference, in many of our actions. The necessity of any action, whether of matter or of mind, is not, properly speaking, a quality in the agent, but in any thinking or intelligent being, who may consider the action; and it consists chiefly in the determination of his thoughts to infer the existence of that action from some preceding objects; as liberty, when opposed to necessity, is nothing but the want of that determination, and a certain looseness or indifference, which we feel, in passing, or not passing, from the idea of one object to that of any succeeding one. Now we may observe, that, though, in _reflecting_ on human actions, we seldom feel such a looseness, or indifference, but are commonly able to infer them with considerable certainty from their motives, and from the dispositions of the agent; yet it frequently happens, that, in _performing_ the actions themselves, we are sensible of something like it: And as all resembling objects are readily taken for each other, this has been employed as a demonstrative and even intuitive proof of human liberty. We feel, that our actions are subject to our will, on most occasions; and imagine we feel, that the will itself is subject to nothing, because, when by a denial of it we are provoked to try, we feel, that it moves easily every way, and produces an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