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inferred from the unity of the reciprocal relation existing between the parts of the world, as portions of an artistic edifice—an inference which all our observation favours, and all principles of analogy support.</w:t>
      </w:r>
    </w:p>
    <w:p>
      <w:r>
        <w:t>In the above argument, it is inferred from the analogy of certain products of nature with those of human art, when it compels Nature to bend herself to its purposes, as in the case of a house, a ship, or a watch, that the same kind of causality—namely, understanding and will—resides in nature. It is also declared that the internal possibility of this freely-acting nature (which is the source of all art, and perhaps also of human reason) is derivable from another and superhuman art—a conclusion which would perhaps be found incapable of standing the test of subtle transcendental criticism. But to neither of these opinions shall we at present object. We shall only remark that it must be confessed that, if we are to discuss the subject of cause at all, we cannot proceed more securely than with the guidance of the analogy subsisting between nature and such products of design—these being the only products whose causes and modes of organization are completely known to us. Reason would be unable to satisfy her own requirements, if she passed from a causality which she does know, to obscure and indemonstrable principles of explanation which she does not know.</w:t>
      </w:r>
    </w:p>
    <w:p>
      <w:r>
        <w:t>According to the physico-theological argument, the connection and harmony existing in the world evidence the contingency of the form merely, but not of the matter, that is, of the substance of the world. To establish the truth of the latter opinion, it would be necessary to prove that all things would be in themselves incapable of this harmony and order, unless they were, even as regards their substance, the product of a supreme wisdom. But this would require very different grounds of proof from those presented by the analogy with human art. This proof can at most, therefore, demonstrate the existence of an architect of the world, whose efforts are limited by the capabilities of the material with which he works, but not of a creator of the world, to whom all things are subject. Thus this argument is utterly insufficient for the task before us—a demonstration of the existence of an all-sufficient being. If we wish to prove the contingency of matter, we must have recourse to a transcendental argument, which the physico-theological was constructed expressly to avoid.</w:t>
      </w:r>
    </w:p>
    <w:p>
      <w:r>
        <w:t>We infer, from the order and design visible in the universe, as a disposition of a thoroughly contingent character, the existence of a cause proportionate thereto. The conception of this cause must contain certain determinate qualities, and it must therefore be regarded as the conception of a being which possesses all power, wisdom, and so on, in one word, all perfection—the conception, that is, of an all-sufficient being. For the predicates of very great, astonishing, or immeasurable power and excellence, give us no determinate conception of the thing, nor do they inform us what the thing may be in itself. They merely indicate the relation existing between the magnitude of the object and the observer, who compares it with himself and with his own power of comprehension, and are mere expressions of praise and reverence, by which the object is either magnified, or the observing subject depreciated in relation to the object. Where we have to do with the magnitude (of the perfection) of a thing, we can discover no determinate conception, except that which comprehends all possible perfection or completeness, and it is only the total (omnitudo) of reality which is completely determined in and through its conception alone.</w:t>
      </w:r>
    </w:p>
    <w:p>
      <w:r>
        <w:t>Now it cannot be expected that any one will be bold enough to declare that he has a perfect insight into the relation which the magnitude of the world he contemplates bears (in its extent as well as in its content) to omnipotence, into that of the order and design in the world to the highest wisdom, and that of the unity of the world to the absolute unity of a Supreme Being. Physico-theology is therefore incapable of presenting a determinate conception of a supreme cause of the world, and is therefore insufficient as a principle of theology—a theology which is itself to be the basis of religion.</w:t>
      </w:r>
    </w:p>
    <w:p>
      <w:r>
        <w:t>The attainment of absolute totality is completely impossible on the path of empiricism. And yet this is the path pursued in the physico-theological argument. What means shall we employ to bridge the abyss?</w:t>
      </w:r>
    </w:p>
    <w:p>
      <w:r>
        <w:t>After elevating ourselves to admiration of the magnitude of the power, wisdom, and other attributes of the author of the world, and finding we can advance no further, we leave the argument on empirical grounds, and proceed to infer the contingency of the world from the order and conformity to aims that are observable in it. From this contingency we infer, by the help of transcendental conceptions alone, the existence of something absolutely necessary; and, still advancing, proceed from the conception of the absolute necessity of the first cause to the completely determined or determining conception thereof—the conception of an all-embracing reality. Thus the physico-theological, failing in its undertaking, recurs in its embarrassment to the cosmological argument; and, as this is merely the ontological argument in disguise, it executes its design solely by the aid of pure reason, although it at first professed to have no connection with this faculty and to base its entire procedure upon experience alone.</w:t>
      </w:r>
    </w:p>
    <w:p>
      <w:r>
        <w:t>The physico-theologians have therefore no reason to regard with such contempt the transcendental mode of argument, and to look down upon it, with the conceit of clear-sighted observers of nature, as the brain-cobweb of obscure speculatists. For, if they reflect upon and examine their own arguments, they will find that, after following for some time the path of nature and experience, and discovering themselves no nearer their object, they suddenly leave this path and pass into the region of pure possibility, where they hope to reach upon the wings of ideas what had eluded all their empirical investigations. Gaining, as they think, a firm footing after this immense leap, they extend their determinate conception—into the possession of which they have come, they know not how—over the whole sphere of creation, and explain their ideal, which is entirely a product of pure reason, by illustrations drawn from experience—though in a degree miserably unworthy of the grandeur of the object, while they refuse to acknowledge that they have arrived at this cognition or hypothesis by a very different road from that of experience.</w:t>
      </w:r>
    </w:p>
    <w:p>
      <w:r>
        <w:t>Thus the physico-theological is based upon the cosmological, and this upon the ontological proof of the existence of a Supreme Being; and as besides these three there is no other path open to speculative reason, the ontological proof, on the ground of pure conceptions of reason, is the only possible one, if any proof of a proposition so far transcending the empirical exercise of the understanding is possible at all.</w:t>
      </w:r>
    </w:p>
    <w:p>
      <w:r>
        <w:t>Section VII. Critique of all Theology based upon Speculative Principles of Reason</w:t>
      </w:r>
    </w:p>
    <w:p>
      <w:r>
        <w:t>If by the term theology I understand the cognition of a primal being, that cognition is based either upon reason alone (theologia rationalis) or upon revelation (theologia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