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the prevailing opinion: against the unprevailing they may not only be used without general disapproval, but will be likely to obtain for him who uses them the praise of honest zeal and righteous indignation. Yet whatever mischief arises from their use, is greatest when they are employed against the comparatively defenceless; and whatever unfair advantage can be derived by any opinion from this mode of asserting it, accrues almost exclusively to received opinions. The worst offence of this kind which can be committed by a polemic, is to stigmatise those who hold the contrary opinion as bad and immoral men. To calumny of this sort, those who hold any unpopular opinion are peculiarly exposed, because they are in general few and uninfluential, and nobody but themselves feel much interest in seeing justice done them; but this weapon is, from the nature of the case, denied to those who attack a prevailing opinion: they can neither use it with safety to themselves, nor, if they could, would it do anything but recoil on their own cause. In general, opinions contrary to those commonly received can only obtain a hearing by studied moderation of language, and the most cautious avoidance of unnecessary offence, from which they hardly ever deviate even in a slight degree without losing ground: while unmeasured vituperation employed on the side of the prevailing opinion, really does deter people from professing contrary opinions, and from listening to those who profess them. For the interest, therefore, of truth and justice, it is far more important to restrain this employment of vituperative language than the other; and, for example, if it were necessary to choose, there would be much more need to discourage offensive attacks on infidelity, than on religion. It is, however, obvious that law and authority have no business with restraining either, while opinion ought, in every instance, to determine its verdict by the circumstances of the individual case; condemning every one, on whichever side of the argument he places himself, in whose mode of advocacy either want of candour, or malignity, bigotry, or intolerance of feeling manifest themselves; but not inferring these vices from the side which a person takes, though it be the contrary side of the question to our own: and giving merited honour to every one, whatever opinion he may hold, who has calmness to see and honesty to state what his opponents and their opinions really are, exaggerating nothing to their discredit, keeping nothing back which tells, or can be supposed to tell, in their favour. This is the real morality of public discussion; and if often violated, I am happy to think that there are many controversialists who to a great extent observe it, and a still greater number who conscientiously strive towards it.</w:t>
      </w:r>
    </w:p>
    <w:p>
      <w:r>
        <w:t>FOOTNOTES:</w:t>
      </w:r>
    </w:p>
    <w:p>
      <w:r>
        <w:t>[6] These words had scarcely been written, when, as if to give them an emphatic contradiction, occurred the Government Press Prosecutions of 1858. That ill-judged interference with the liberty of public discussion has not, however, induced me to alter a single word in the text, nor has it at all weakened my conviction that, moments of panic excepted, the era of pains and penalties for political discussion has, in our own country, passed away. For, in the first place, the prosecutions were not persisted in; and, in the second, they were never, properly speaking, political prosecutions. The offence charged was not that of criticising institutions, or the acts or persons of rulers, but of circulating what was deemed an immoral doctrine, the lawfulness of Tyrannicide.</w:t>
      </w:r>
    </w:p>
    <w:p>
      <w:r>
        <w:t>If the arguments of the present chapter are of any validity, there ought to exist the fullest liberty of professing and discussing, as a matter of ethical conviction, any doctrine, however immoral it may be considered. It would, therefore, be irrelevant and out of place to examine here, whether the doctrine of Tyrannicide deserves that title. I shall content myself with saying, that the subject has been at all times one of the open questions of morals; that the act of a private citizen in striking down a criminal, who, by raising himself above the law, has placed himself beyond the reach of legal punishment or control, has been accounted by whole nations, and by some of the best and wisest of men, not a crime, but an act of exalted virtue; and that, right or wrong, it is not of the nature of assassination, but of civil war. As such, I hold that the instigation to it, in a specific case, may be a proper subject of punishment, but only if an overt act has followed, and at least a probable connection can be established between the act and the instigation. Even then, it is not a foreign government, but the very government assailed, which alone, in the exercise of self-defence, can legitimately punish attacks directed against its own existence.</w:t>
      </w:r>
    </w:p>
    <w:p>
      <w:r>
        <w:t>[7] Thomas Pooley, Bodmin Assizes, July 31, 1857. In December following, he received a free pardon from the Crown.</w:t>
      </w:r>
    </w:p>
    <w:p>
      <w:r>
        <w:t>[8] George Jacob Holyoake, August 17, 1857; Edward Truelove, July, 1857.</w:t>
      </w:r>
    </w:p>
    <w:p>
      <w:r>
        <w:t>[9] Baron de Gleichen, Marlborough-Street Police Court, August 4, 1857.</w:t>
      </w:r>
    </w:p>
    <w:p>
      <w:r>
        <w:t>[10] Ample warning may be drawn from the large infusion of the passions of a persecutor, which mingled with the general display of the worst parts of our national character on the occasion of the Sepoy insurrection. The ravings of fanatics or charlatans from the pulpit may be unworthy of notice; but the heads of the Evangelical party have announced as their principle, for the government of Hindoos and Mahomedans, that no schools be supported by public money in which the Bible is not taught, and by necessary consequence that no public employment be given to any but real or pretended Christians. An Under-Secretary of State, in a speech delivered to his constituents on the 12th of November, 1857, is reported to have said: "Toleration of their faith" (the faith of a hundred millions of British subjects), "the superstition which they called religion, by the British Government, had had the effect of retarding the ascendency of the British name, and preventing the salutary growth of Christianity.... Toleration was the great corner-stone of the religious liberties of this country; but do not let them abuse that precious word toleration. As he understood it, it meant the complete liberty to all, freedom of worship, _among Christians, who worshipped upon the same foundation_. It meant toleration of all sects and denominations of _Christians who believed in the one mediation_." I desire to call attention to the fact, that a man who has been deemed fit to fill a high office in the government of this country, under a liberal Ministry, maintains the doctrine that all who do not believe in the divinity of Christ are beyond the pale of toleration. Who, after this imbecile display, can indulge the illusion that religious persecution has passed away, never to return?</w:t>
      </w:r>
    </w:p>
    <w:p>
      <w:r>
        <w:t>CHAPTER III.</w:t>
      </w:r>
    </w:p>
    <w:p>
      <w:r>
        <w:t>OF INDIVIDUALITY, AS ONE OF THE ELEMENTS OF WELL-BEING.</w:t>
      </w:r>
    </w:p>
    <w:p>
      <w:r>
        <w:t>Such being the reasons which make it imperative that human beings should be free to form opinions, and to express their opinions without reserve; and such the baneful consequences to the intellectual, and through that to the moral nature of man, unless this liberty is either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