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Destruktion 4.0 — Independent-family micro-local ecology benchmark</w:t>
      </w:r>
    </w:p>
    <w:p>
      <w:r>
        <w:t>Controlled synthetic method benchmark · 0.10</w:t>
      </w:r>
    </w:p>
    <w:p>
      <w:pPr>
        <w:pStyle w:val="Heading1"/>
      </w:pPr>
      <w:r>
        <w:t>W1 — Temporal enactment</w:t>
      </w:r>
    </w:p>
    <w:p>
      <w:pPr>
        <w:pStyle w:val="Quote"/>
      </w:pPr>
      <w:r>
        <w:t>Expectation changes present conduct: waiting is enacted through repeated practice rather than represented as a detached future object.</w:t>
      </w:r>
    </w:p>
    <w:p>
      <w:pPr>
        <w:pStyle w:val="Quote"/>
      </w:pPr>
      <w:r>
        <w:t>Temporal orientation is lived through anticipation, repeated enactment and practical conduct in the present.</w:t>
      </w:r>
    </w:p>
    <w:p>
      <w:pPr>
        <w:pStyle w:val="Heading1"/>
      </w:pPr>
      <w:r>
        <w:t>W2 — Practice and material mediation</w:t>
      </w:r>
    </w:p>
    <w:p>
      <w:pPr>
        <w:pStyle w:val="Quote"/>
      </w:pPr>
      <w:r>
        <w:t>A ritual is enacted through repeated gestures, bodily conduct, material objects and a specific place.</w:t>
      </w:r>
    </w:p>
    <w:p>
      <w:pPr>
        <w:pStyle w:val="Quote"/>
      </w:pPr>
      <w:r>
        <w:t>Practice is mediated by artifact, community and repetition; the material medium changes how the enactment occurs.</w:t>
      </w:r>
    </w:p>
    <w:p>
      <w:pPr>
        <w:pStyle w:val="Heading1"/>
      </w:pPr>
      <w:r>
        <w:t>W3 — Absence and trace</w:t>
      </w:r>
    </w:p>
    <w:p>
      <w:pPr>
        <w:pStyle w:val="Quote"/>
      </w:pPr>
      <w:r>
        <w:t>Absence is disclosed through a trace without the trace proving what caused the withdrawal.</w:t>
      </w:r>
    </w:p>
    <w:p>
      <w:pPr>
        <w:pStyle w:val="Quote"/>
      </w:pPr>
      <w:r>
        <w:t>A hint can make withdrawal manifest while hiddenness remains weaker than existence or causal proof.</w:t>
      </w:r>
    </w:p>
    <w:p>
      <w:pPr>
        <w:pStyle w:val="Heading1"/>
      </w:pPr>
      <w:r>
        <w:t>W4 — Geviert-style relation control</w:t>
      </w:r>
    </w:p>
    <w:p>
      <w:pPr>
        <w:pStyle w:val="Quote"/>
      </w:pPr>
      <w:r>
        <w:t>The gathering keeps the four mutually belonging while nearness preserves distance and the terms remain differentiated.</w:t>
      </w:r>
    </w:p>
    <w:p>
      <w:pPr>
        <w:pStyle w:val="Quote"/>
      </w:pPr>
      <w:r>
        <w:t>Reciprocal gathering preserves distance among differentiated terms and makes mutual belonging locally salient.</w:t>
      </w:r>
    </w:p>
    <w:p>
      <w:pPr>
        <w:pStyle w:val="Heading1"/>
      </w:pPr>
      <w:r>
        <w:t>W5 — Cross-family composition</w:t>
      </w:r>
    </w:p>
    <w:p>
      <w:pPr>
        <w:pStyle w:val="Quote"/>
      </w:pPr>
      <w:r>
        <w:t>A repeated practice gathers participants into mutual belonging while nearness preserves their differentiation and temporal expectation reorganizes the present enactment.</w:t>
      </w:r>
    </w:p>
    <w:p>
      <w:pPr>
        <w:pStyle w:val="Quote"/>
      </w:pPr>
      <w:r>
        <w:t>Reciprocal gathering preserves distance, while repetition, waiting and enactment also constitute the temporal practical profile.</w:t>
      </w:r>
    </w:p>
    <w:p>
      <w:pPr>
        <w:pStyle w:val="Heading1"/>
      </w:pPr>
      <w:r>
        <w:t>W6 — Descriptive negative control</w:t>
      </w:r>
    </w:p>
    <w:p>
      <w:pPr>
        <w:pStyle w:val="Quote"/>
      </w:pPr>
      <w:r>
        <w:t>A sentence is recorded as true and a speaker is described as thinking.</w:t>
      </w:r>
    </w:p>
    <w:p>
      <w:pPr>
        <w:pStyle w:val="Quote"/>
      </w:pPr>
      <w:r>
        <w:t>The passage offers a direct description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