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Absence disclosure — independent family origin</w:t>
      </w:r>
    </w:p>
    <w:p>
      <w:pPr>
        <w:pStyle w:val="Subtitle"/>
      </w:pPr>
      <w:r>
        <w:t>Controlled synthetic source · 0.10</w:t>
      </w:r>
    </w:p>
    <w:p>
      <w:pPr>
        <w:pStyle w:val="Heading1"/>
      </w:pPr>
      <w:r>
        <w:t>Controlled source passages</w:t>
      </w:r>
    </w:p>
    <w:p>
      <w:pPr>
        <w:pStyle w:val="Quote"/>
      </w:pPr>
      <w:r>
        <w:t>Absence is disclosed through a trace without the trace proving what caused the absence.</w:t>
      </w:r>
    </w:p>
    <w:p>
      <w:pPr>
        <w:pStyle w:val="Quote"/>
      </w:pPr>
      <w:r>
        <w:t>Withdrawal can become manifest as a hint, a loss or a concealed absence while remaining ontologically unresolved.</w:t>
      </w:r>
    </w:p>
    <w:p>
      <w:pPr>
        <w:pStyle w:val="Quote"/>
      </w:pPr>
      <w:r>
        <w:t>The trace shows a missing or withdrawn field, but disclosure is weaker than causal proof and weaker than existence proof.</w:t>
      </w:r>
    </w:p>
    <w:p>
      <w:pPr>
        <w:pStyle w:val="Quote"/>
      </w:pPr>
      <w:r>
        <w:t>Repeated signs of withdrawal can organize an interpretation of absence without converting hiddenness into positive evidence.</w:t>
      </w:r>
    </w:p>
    <w:p>
      <w:pPr>
        <w:pStyle w:val="Quote"/>
      </w:pPr>
      <w:r>
        <w:t>Absence, trace, hint and disclosure form a local problem-space whose epistemic ceiling remains below proof of the absent object.</w:t>
      </w:r>
    </w:p>
    <w:p>
      <w:pPr>
        <w:pStyle w:val="Heading1"/>
      </w:pPr>
      <w:r>
        <w:t>Developer note</w:t>
      </w:r>
    </w:p>
    <w:p>
      <w:r>
        <w:t>This is a controlled synthetic regression corpus for method behavior. It is not a primary philosophical source and cannot validate any authorial or ontological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