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mediation — independent family origin</w:t>
      </w:r>
    </w:p>
    <w:p>
      <w:pPr>
        <w:pStyle w:val="Subtitle"/>
      </w:pPr>
      <w:r>
        <w:t>Controlled synthetic source · 0.10</w:t>
      </w:r>
    </w:p>
    <w:p>
      <w:pPr>
        <w:pStyle w:val="Heading1"/>
      </w:pPr>
      <w:r>
        <w:t>Controlled source passages</w:t>
      </w:r>
    </w:p>
    <w:p>
      <w:pPr>
        <w:pStyle w:val="Quote"/>
      </w:pPr>
      <w:r>
        <w:t>A ritual is enacted through repeated gestures, bodily conduct, material objects and a specific place.</w:t>
      </w:r>
    </w:p>
    <w:p>
      <w:pPr>
        <w:pStyle w:val="Quote"/>
      </w:pPr>
      <w:r>
        <w:t>Practice is mediated by text, artifact, community and bodily repetition; the medium changes how the enactment can occur.</w:t>
      </w:r>
    </w:p>
    <w:p>
      <w:pPr>
        <w:pStyle w:val="Quote"/>
      </w:pPr>
      <w:r>
        <w:t>Repeated performance is not a report about practice but the practice itself as materially mediated conduct.</w:t>
      </w:r>
    </w:p>
    <w:p>
      <w:pPr>
        <w:pStyle w:val="Quote"/>
      </w:pPr>
      <w:r>
        <w:t>Objects, place and body participate in the mediation of the ritual without thereby becoming proof of any doctrine.</w:t>
      </w:r>
    </w:p>
    <w:p>
      <w:pPr>
        <w:pStyle w:val="Quote"/>
      </w:pPr>
      <w:r>
        <w:t>The practical profile persists through repetition, communal performance and material mediation rather than through a detached description alone.</w:t>
      </w:r>
    </w:p>
    <w:p>
      <w:pPr>
        <w:pStyle w:val="Heading1"/>
      </w:pPr>
      <w:r>
        <w:t>Developer note</w:t>
      </w:r>
    </w:p>
    <w:p>
      <w:r>
        <w:t>This is a controlled synthetic regression corpus for method behavior. It is not a primary philosophical source and cannot validate any authorial or ontological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