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3456"/>
        <w:gridCol w:w="3456"/>
        <w:gridCol w:w="3456"/>
      </w:tblGrid>
      <w:tr>
        <w:tc>
          <w:tcPr>
            <w:tcW w:type="dxa" w:w="3168"/>
            <w:shd w:fill="0F172A"/>
            <w:tcMar>
              <w:top w:w="40" w:type="dxa"/>
              <w:bottom w:w="40" w:type="dxa"/>
              <w:left w:w="40" w:type="dxa"/>
              <w:right w:w="40" w:type="dxa"/>
            </w:tcMar>
            <w:tcBorders>
              <w:top w:val="none"/>
              <w:left w:val="none"/>
              <w:bottom w:val="none"/>
              <w:right w:val="none"/>
            </w:tcBorders>
          </w:tcPr>
          <w:p>
            <w:pPr>
              <w:jc w:val="center"/>
            </w:pPr>
            <w:r>
              <w:rPr>
                <w:rFonts w:ascii="Segoe UI Symbol" w:hAnsi="Segoe UI Symbol"/>
                <w:color w:val="94A3B8"/>
                <w:sz w:val="17"/>
              </w:rPr>
              <w:t>❖ ❖ ❖ ❖ ❖ ❖ ❖ ❖ ❖</w:t>
            </w:r>
          </w:p>
        </w:tc>
        <w:tc>
          <w:tcPr>
            <w:tcW w:type="dxa" w:w="3888"/>
            <w:shd w:fill="0F172A"/>
            <w:tcMar>
              <w:top w:w="40" w:type="dxa"/>
              <w:bottom w:w="40" w:type="dxa"/>
              <w:left w:w="40" w:type="dxa"/>
              <w:right w:w="40" w:type="dxa"/>
            </w:tcMar>
            <w:tcBorders>
              <w:top w:val="none"/>
              <w:left w:val="none"/>
              <w:bottom w:val="none"/>
              <w:right w:val="none"/>
            </w:tcBorders>
          </w:tcPr>
          <w:p>
            <w:pPr>
              <w:jc w:val="center"/>
            </w:pPr>
            <w:r>
              <w:rPr>
                <w:rFonts w:ascii="Calibri" w:hAnsi="Calibri"/>
                <w:b/>
                <w:color w:val="FFFFFF"/>
                <w:sz w:val="19"/>
              </w:rPr>
              <w:t>✦  C O D E F E S T   2 0 2 6  ✦</w:t>
            </w:r>
          </w:p>
        </w:tc>
        <w:tc>
          <w:tcPr>
            <w:tcW w:type="dxa" w:w="3168"/>
            <w:shd w:fill="0F172A"/>
            <w:tcMar>
              <w:top w:w="40" w:type="dxa"/>
              <w:bottom w:w="40" w:type="dxa"/>
              <w:left w:w="40" w:type="dxa"/>
              <w:right w:w="40" w:type="dxa"/>
            </w:tcMar>
            <w:tcBorders>
              <w:top w:val="none"/>
              <w:left w:val="none"/>
              <w:bottom w:val="none"/>
              <w:right w:val="none"/>
            </w:tcBorders>
          </w:tcPr>
          <w:p>
            <w:pPr>
              <w:jc w:val="center"/>
            </w:pPr>
            <w:r>
              <w:rPr>
                <w:rFonts w:ascii="Segoe UI Symbol" w:hAnsi="Segoe UI Symbol"/>
                <w:color w:val="94A3B8"/>
                <w:sz w:val="17"/>
              </w:rPr>
              <w:t>❖ ❖ ❖ ❖ ❖ ❖ ❖ ❖ ❖</w:t>
            </w:r>
          </w:p>
        </w:tc>
      </w:tr>
    </w:tbl>
    <w:p>
      <w:pPr>
        <w:spacing w:after="40"/>
      </w:pPr>
    </w:p>
    <w:tbl>
      <w:tblPr>
        <w:tblW w:type="auto" w:w="0"/>
        <w:jc w:val="center"/>
        <w:tblLook w:firstColumn="1" w:firstRow="1" w:lastColumn="0" w:lastRow="0" w:noHBand="0" w:noVBand="1" w:val="04A0"/>
      </w:tblPr>
      <w:tblGrid>
        <w:gridCol w:w="10368"/>
      </w:tblGrid>
      <w:tr>
        <w:tc>
          <w:tcPr>
            <w:tcW w:type="dxa" w:w="10224"/>
            <w:shd w:fill="F8FAFC"/>
            <w:tcMar>
              <w:top w:w="80" w:type="dxa"/>
              <w:bottom w:w="80" w:type="dxa"/>
              <w:left w:w="120" w:type="dxa"/>
              <w:right w:w="120" w:type="dxa"/>
            </w:tcMar>
            <w:tcBorders>
              <w:top w:val="single" w:sz="4" w:space="0" w:color="E2E8F0"/>
              <w:left w:val="none"/>
              <w:bottom w:val="single" w:sz="4" w:space="0" w:color="E2E8F0"/>
              <w:right w:val="none"/>
            </w:tcBorders>
          </w:tcPr>
          <w:p>
            <w:pPr>
              <w:jc w:val="center"/>
            </w:pPr>
            <w:r>
              <w:rPr>
                <w:rFonts w:ascii="Calibri" w:hAnsi="Calibri"/>
                <w:color w:val="475569"/>
                <w:sz w:val="19"/>
              </w:rPr>
              <w:t>STI College San Pablo</w:t>
              <w:br/>
              <w:t>Information Technology Department</w:t>
              <w:br/>
              <w:t>NEXI Network | Club of Programmers</w:t>
              <w:br/>
            </w:r>
            <w:r>
              <w:rPr>
                <w:rFonts w:ascii="Calibri" w:hAnsi="Calibri"/>
                <w:b/>
                <w:color w:val="0F172A"/>
                <w:sz w:val="22"/>
              </w:rPr>
              <w:t>CODEFEST 2026: Micro-Retail &amp; Community Resilience</w:t>
              <w:br/>
              <w:t>Local Level Hack Day — 6-Hour Simulation</w:t>
            </w:r>
          </w:p>
        </w:tc>
      </w:tr>
    </w:tbl>
    <w:p>
      <w:pPr>
        <w:spacing w:after="40"/>
      </w:pPr>
    </w:p>
    <w:p>
      <w:pPr>
        <w:keepNext/>
        <w:spacing w:before="120" w:after="20"/>
      </w:pPr>
      <w:r>
        <w:rPr>
          <w:rFonts w:ascii="Calibri" w:hAnsi="Calibri"/>
          <w:b/>
          <w:color w:val="1E3A8A"/>
          <w:sz w:val="22"/>
        </w:rPr>
        <w:t>Local Competition</w:t>
      </w:r>
    </w:p>
    <w:p>
      <w:pPr>
        <w:spacing w:before="10" w:after="30" w:line="276" w:lineRule="auto"/>
      </w:pPr>
      <w:r>
        <w:rPr>
          <w:rFonts w:ascii="Calibri" w:hAnsi="Calibri"/>
          <w:color w:val="334155"/>
          <w:sz w:val="19"/>
        </w:rPr>
        <w:t>CODEFEST is a team competition that challenges students' skills in critical thinking, app designing, and communication as they develop and pitch innovative Android mobile applications that address a given business case. Competing teams are required to solve a business case by developing a mobile application within a certain time frame.</w:t>
      </w:r>
    </w:p>
    <w:p>
      <w:pPr>
        <w:keepNext/>
        <w:spacing w:before="120" w:after="20"/>
      </w:pPr>
      <w:r>
        <w:rPr>
          <w:rFonts w:ascii="Calibri" w:hAnsi="Calibri"/>
          <w:b/>
          <w:color w:val="1E3A8A"/>
          <w:sz w:val="21"/>
        </w:rPr>
        <w:t>Competition Requirements</w:t>
      </w:r>
    </w:p>
    <w:p>
      <w:pPr>
        <w:spacing w:before="10" w:after="30" w:line="276" w:lineRule="auto"/>
      </w:pPr>
      <w:r>
        <w:rPr>
          <w:rFonts w:ascii="Calibri" w:hAnsi="Calibri"/>
          <w:color w:val="334155"/>
          <w:sz w:val="19"/>
        </w:rPr>
        <w:t>Each team shall:</w:t>
      </w:r>
    </w:p>
    <w:p>
      <w:pPr>
        <w:pStyle w:val="ListBullet"/>
        <w:spacing w:before="10" w:after="30" w:line="276" w:lineRule="auto"/>
        <w:ind w:left="360"/>
      </w:pPr>
      <w:r>
        <w:rPr>
          <w:rFonts w:ascii="Calibri" w:hAnsi="Calibri"/>
          <w:color w:val="334155"/>
          <w:sz w:val="19"/>
        </w:rPr>
        <w:t>Develop a working application that is compliant with the specifications provided within the allotted six (6) hours;</w:t>
      </w:r>
    </w:p>
    <w:p>
      <w:pPr>
        <w:pStyle w:val="ListBullet"/>
        <w:spacing w:before="10" w:after="30" w:line="276" w:lineRule="auto"/>
        <w:ind w:left="360"/>
      </w:pPr>
      <w:r>
        <w:rPr>
          <w:rFonts w:ascii="Calibri" w:hAnsi="Calibri"/>
          <w:color w:val="334155"/>
          <w:sz w:val="19"/>
        </w:rPr>
        <w:t>Only use the native Android platform (Android Studio + Kotlin/Java + Room SQLite);</w:t>
      </w:r>
    </w:p>
    <w:p>
      <w:pPr>
        <w:pStyle w:val="ListBullet"/>
        <w:spacing w:before="10" w:after="30" w:line="276" w:lineRule="auto"/>
        <w:ind w:left="360"/>
      </w:pPr>
      <w:r>
        <w:rPr>
          <w:rFonts w:ascii="Calibri" w:hAnsi="Calibri"/>
          <w:color w:val="334155"/>
          <w:sz w:val="19"/>
        </w:rPr>
        <w:t>Ensure that the size of the application to be developed does NOT EXCEED 3GB; and</w:t>
      </w:r>
    </w:p>
    <w:p>
      <w:pPr>
        <w:pStyle w:val="ListBullet"/>
        <w:spacing w:before="10" w:after="30" w:line="276" w:lineRule="auto"/>
        <w:ind w:left="360"/>
      </w:pPr>
      <w:r>
        <w:rPr>
          <w:rFonts w:ascii="Calibri" w:hAnsi="Calibri"/>
          <w:color w:val="334155"/>
          <w:sz w:val="19"/>
        </w:rPr>
        <w:t>Only the team captain shall be the official representative of the team.</w:t>
      </w:r>
    </w:p>
    <w:p>
      <w:pPr>
        <w:keepNext/>
        <w:spacing w:before="120" w:after="20"/>
      </w:pPr>
      <w:r>
        <w:rPr>
          <w:rFonts w:ascii="Calibri" w:hAnsi="Calibri"/>
          <w:b/>
          <w:color w:val="1E3A8A"/>
          <w:sz w:val="21"/>
        </w:rPr>
        <w:t>Computing Environment</w:t>
      </w:r>
    </w:p>
    <w:p>
      <w:pPr>
        <w:spacing w:before="10" w:after="30" w:line="276" w:lineRule="auto"/>
      </w:pPr>
      <w:r>
        <w:rPr>
          <w:rFonts w:ascii="Calibri" w:hAnsi="Calibri"/>
          <w:color w:val="334155"/>
          <w:sz w:val="19"/>
        </w:rPr>
        <w:t>Each team will be provided with two (2) workstations. They shall use the emulators installed on each workstation to test and present their respective applications. The following are the development specifications and hardware:</w:t>
      </w:r>
    </w:p>
    <w:tbl>
      <w:tblPr>
        <w:tblW w:type="auto" w:w="0"/>
        <w:jc w:val="center"/>
        <w:tblLook w:firstColumn="1" w:firstRow="1" w:lastColumn="0" w:lastRow="0" w:noHBand="0" w:noVBand="1" w:val="04A0"/>
      </w:tblPr>
      <w:tblGrid>
        <w:gridCol w:w="5184"/>
        <w:gridCol w:w="5184"/>
      </w:tblGrid>
      <w:tr>
        <w:tc>
          <w:tcPr>
            <w:tcW w:type="dxa" w:w="3744"/>
            <w:tcMar>
              <w:top w:w="25" w:type="dxa"/>
              <w:bottom w:w="25" w:type="dxa"/>
              <w:left w:w="60" w:type="dxa"/>
              <w:right w:w="60" w:type="dxa"/>
            </w:tcMar>
            <w:shd w:fill="F1F5F9"/>
            <w:tcBorders>
              <w:top w:val="single" w:sz="4" w:space="0" w:color="E2E8F0"/>
              <w:left w:val="none"/>
              <w:bottom w:val="single" w:sz="4" w:space="0" w:color="E2E8F0"/>
              <w:right w:val="none"/>
            </w:tcBorders>
          </w:tcPr>
          <w:p>
            <w:r>
              <w:rPr>
                <w:rFonts w:ascii="Calibri" w:hAnsi="Calibri"/>
                <w:b/>
                <w:sz w:val="17"/>
              </w:rPr>
              <w:t>Workstation Operating System</w:t>
            </w:r>
          </w:p>
        </w:tc>
        <w:tc>
          <w:tcPr>
            <w:tcW w:type="dxa" w:w="6480"/>
            <w:tcMar>
              <w:top w:w="25" w:type="dxa"/>
              <w:bottom w:w="25" w:type="dxa"/>
              <w:left w:w="60" w:type="dxa"/>
              <w:right w:w="60" w:type="dxa"/>
            </w:tcMar>
            <w:shd w:fill="F8FAFC"/>
            <w:tcBorders>
              <w:top w:val="single" w:sz="4" w:space="0" w:color="E2E8F0"/>
              <w:left w:val="none"/>
              <w:bottom w:val="single" w:sz="4" w:space="0" w:color="E2E8F0"/>
              <w:right w:val="none"/>
            </w:tcBorders>
          </w:tcPr>
          <w:p>
            <w:r>
              <w:rPr>
                <w:rFonts w:ascii="Calibri" w:hAnsi="Calibri"/>
                <w:sz w:val="17"/>
              </w:rPr>
              <w:t>Windows 10 (64-bit)</w:t>
            </w:r>
          </w:p>
        </w:tc>
      </w:tr>
      <w:tr>
        <w:tc>
          <w:tcPr>
            <w:tcW w:type="dxa" w:w="3744"/>
            <w:tcMar>
              <w:top w:w="25" w:type="dxa"/>
              <w:bottom w:w="25" w:type="dxa"/>
              <w:left w:w="60" w:type="dxa"/>
              <w:right w:w="60" w:type="dxa"/>
            </w:tcMar>
            <w:shd w:fill="FFFFFF"/>
            <w:tcBorders>
              <w:top w:val="single" w:sz="4" w:space="0" w:color="E2E8F0"/>
              <w:left w:val="none"/>
              <w:bottom w:val="single" w:sz="4" w:space="0" w:color="E2E8F0"/>
              <w:right w:val="none"/>
            </w:tcBorders>
          </w:tcPr>
          <w:p>
            <w:r>
              <w:rPr>
                <w:rFonts w:ascii="Calibri" w:hAnsi="Calibri"/>
                <w:b/>
                <w:sz w:val="17"/>
              </w:rPr>
              <w:t>Android Operating System</w:t>
            </w:r>
          </w:p>
        </w:tc>
        <w:tc>
          <w:tcPr>
            <w:tcW w:type="dxa" w:w="6480"/>
            <w:tcMar>
              <w:top w:w="25" w:type="dxa"/>
              <w:bottom w:w="25" w:type="dxa"/>
              <w:left w:w="60" w:type="dxa"/>
              <w:right w:w="60" w:type="dxa"/>
            </w:tcMar>
            <w:shd w:fill="FFFFFF"/>
            <w:tcBorders>
              <w:top w:val="single" w:sz="4" w:space="0" w:color="E2E8F0"/>
              <w:left w:val="none"/>
              <w:bottom w:val="single" w:sz="4" w:space="0" w:color="E2E8F0"/>
              <w:right w:val="none"/>
            </w:tcBorders>
          </w:tcPr>
          <w:p>
            <w:r>
              <w:rPr>
                <w:rFonts w:ascii="Calibri" w:hAnsi="Calibri"/>
                <w:sz w:val="17"/>
              </w:rPr>
              <w:t>Android 7.0 (Nougat)</w:t>
            </w:r>
          </w:p>
        </w:tc>
      </w:tr>
      <w:tr>
        <w:tc>
          <w:tcPr>
            <w:tcW w:type="dxa" w:w="3744"/>
            <w:tcMar>
              <w:top w:w="25" w:type="dxa"/>
              <w:bottom w:w="25" w:type="dxa"/>
              <w:left w:w="60" w:type="dxa"/>
              <w:right w:w="60" w:type="dxa"/>
            </w:tcMar>
            <w:shd w:fill="F1F5F9"/>
            <w:tcBorders>
              <w:top w:val="single" w:sz="4" w:space="0" w:color="E2E8F0"/>
              <w:left w:val="none"/>
              <w:bottom w:val="single" w:sz="4" w:space="0" w:color="E2E8F0"/>
              <w:right w:val="none"/>
            </w:tcBorders>
          </w:tcPr>
          <w:p>
            <w:r>
              <w:rPr>
                <w:rFonts w:ascii="Calibri" w:hAnsi="Calibri"/>
                <w:b/>
                <w:sz w:val="17"/>
              </w:rPr>
              <w:t>Integrated Development Environment</w:t>
            </w:r>
          </w:p>
        </w:tc>
        <w:tc>
          <w:tcPr>
            <w:tcW w:type="dxa" w:w="6480"/>
            <w:tcMar>
              <w:top w:w="25" w:type="dxa"/>
              <w:bottom w:w="25" w:type="dxa"/>
              <w:left w:w="60" w:type="dxa"/>
              <w:right w:w="60" w:type="dxa"/>
            </w:tcMar>
            <w:shd w:fill="F8FAFC"/>
            <w:tcBorders>
              <w:top w:val="single" w:sz="4" w:space="0" w:color="E2E8F0"/>
              <w:left w:val="none"/>
              <w:bottom w:val="single" w:sz="4" w:space="0" w:color="E2E8F0"/>
              <w:right w:val="none"/>
            </w:tcBorders>
          </w:tcPr>
          <w:p>
            <w:r>
              <w:rPr>
                <w:rFonts w:ascii="Calibri" w:hAnsi="Calibri"/>
                <w:sz w:val="17"/>
              </w:rPr>
              <w:t>Android Studio 2.2.3 (or newer)</w:t>
            </w:r>
          </w:p>
        </w:tc>
      </w:tr>
      <w:tr>
        <w:tc>
          <w:tcPr>
            <w:tcW w:type="dxa" w:w="3744"/>
            <w:tcMar>
              <w:top w:w="25" w:type="dxa"/>
              <w:bottom w:w="25" w:type="dxa"/>
              <w:left w:w="60" w:type="dxa"/>
              <w:right w:w="60" w:type="dxa"/>
            </w:tcMar>
            <w:shd w:fill="FFFFFF"/>
            <w:tcBorders>
              <w:top w:val="single" w:sz="4" w:space="0" w:color="E2E8F0"/>
              <w:left w:val="none"/>
              <w:bottom w:val="single" w:sz="4" w:space="0" w:color="E2E8F0"/>
              <w:right w:val="none"/>
            </w:tcBorders>
          </w:tcPr>
          <w:p>
            <w:r>
              <w:rPr>
                <w:rFonts w:ascii="Calibri" w:hAnsi="Calibri"/>
                <w:b/>
                <w:sz w:val="17"/>
              </w:rPr>
              <w:t>Programming Language</w:t>
            </w:r>
          </w:p>
        </w:tc>
        <w:tc>
          <w:tcPr>
            <w:tcW w:type="dxa" w:w="6480"/>
            <w:tcMar>
              <w:top w:w="25" w:type="dxa"/>
              <w:bottom w:w="25" w:type="dxa"/>
              <w:left w:w="60" w:type="dxa"/>
              <w:right w:w="60" w:type="dxa"/>
            </w:tcMar>
            <w:shd w:fill="FFFFFF"/>
            <w:tcBorders>
              <w:top w:val="single" w:sz="4" w:space="0" w:color="E2E8F0"/>
              <w:left w:val="none"/>
              <w:bottom w:val="single" w:sz="4" w:space="0" w:color="E2E8F0"/>
              <w:right w:val="none"/>
            </w:tcBorders>
          </w:tcPr>
          <w:p>
            <w:r>
              <w:rPr>
                <w:rFonts w:ascii="Calibri" w:hAnsi="Calibri"/>
                <w:sz w:val="17"/>
              </w:rPr>
              <w:t>Java (JDK 21) or Kotlin</w:t>
            </w:r>
          </w:p>
        </w:tc>
      </w:tr>
      <w:tr>
        <w:tc>
          <w:tcPr>
            <w:tcW w:type="dxa" w:w="3744"/>
            <w:tcMar>
              <w:top w:w="25" w:type="dxa"/>
              <w:bottom w:w="25" w:type="dxa"/>
              <w:left w:w="60" w:type="dxa"/>
              <w:right w:w="60" w:type="dxa"/>
            </w:tcMar>
            <w:shd w:fill="F1F5F9"/>
            <w:tcBorders>
              <w:top w:val="single" w:sz="4" w:space="0" w:color="E2E8F0"/>
              <w:left w:val="none"/>
              <w:bottom w:val="single" w:sz="4" w:space="0" w:color="E2E8F0"/>
              <w:right w:val="none"/>
            </w:tcBorders>
          </w:tcPr>
          <w:p>
            <w:r>
              <w:rPr>
                <w:rFonts w:ascii="Calibri" w:hAnsi="Calibri"/>
                <w:b/>
                <w:sz w:val="17"/>
              </w:rPr>
              <w:t>Application Display Size</w:t>
            </w:r>
          </w:p>
        </w:tc>
        <w:tc>
          <w:tcPr>
            <w:tcW w:type="dxa" w:w="6480"/>
            <w:tcMar>
              <w:top w:w="25" w:type="dxa"/>
              <w:bottom w:w="25" w:type="dxa"/>
              <w:left w:w="60" w:type="dxa"/>
              <w:right w:w="60" w:type="dxa"/>
            </w:tcMar>
            <w:shd w:fill="F8FAFC"/>
            <w:tcBorders>
              <w:top w:val="single" w:sz="4" w:space="0" w:color="E2E8F0"/>
              <w:left w:val="none"/>
              <w:bottom w:val="single" w:sz="4" w:space="0" w:color="E2E8F0"/>
              <w:right w:val="none"/>
            </w:tcBorders>
          </w:tcPr>
          <w:p>
            <w:r>
              <w:rPr>
                <w:rFonts w:ascii="Calibri" w:hAnsi="Calibri"/>
                <w:sz w:val="17"/>
              </w:rPr>
              <w:t>1080 x 2400 pixels</w:t>
            </w:r>
          </w:p>
        </w:tc>
      </w:tr>
    </w:tbl>
    <w:p>
      <w:pPr>
        <w:spacing w:after="40"/>
      </w:pPr>
    </w:p>
    <w:p>
      <w:pPr>
        <w:keepNext/>
        <w:spacing w:before="120" w:after="20"/>
      </w:pPr>
      <w:r>
        <w:rPr>
          <w:rFonts w:ascii="Calibri" w:hAnsi="Calibri"/>
          <w:b/>
          <w:color w:val="1E3A8A"/>
          <w:sz w:val="21"/>
        </w:rPr>
        <w:t>Evaluation Criteria</w:t>
      </w:r>
    </w:p>
    <w:p>
      <w:pPr>
        <w:spacing w:before="10" w:after="30" w:line="276" w:lineRule="auto"/>
      </w:pPr>
      <w:r>
        <w:rPr>
          <w:rFonts w:ascii="Calibri" w:hAnsi="Calibri"/>
          <w:color w:val="334155"/>
          <w:sz w:val="19"/>
        </w:rPr>
        <w:t>Functional mobile applications will be evaluated based on the following metrics:</w:t>
      </w:r>
    </w:p>
    <w:tbl>
      <w:tblPr>
        <w:tblW w:type="auto" w:w="0"/>
        <w:jc w:val="center"/>
        <w:tblLook w:firstColumn="1" w:firstRow="1" w:lastColumn="0" w:lastRow="0" w:noHBand="0" w:noVBand="1" w:val="04A0"/>
      </w:tblPr>
      <w:tblGrid>
        <w:gridCol w:w="5184"/>
        <w:gridCol w:w="5184"/>
      </w:tblGrid>
      <w:tr>
        <w:tc>
          <w:tcPr>
            <w:tcW w:type="dxa" w:w="8352"/>
            <w:tcMar>
              <w:top w:w="30" w:type="dxa"/>
              <w:bottom w:w="30" w:type="dxa"/>
              <w:left w:w="60" w:type="dxa"/>
              <w:right w:w="60" w:type="dxa"/>
            </w:tcMar>
            <w:shd w:fill="1E1B4B"/>
          </w:tcPr>
          <w:p>
            <w:pPr>
              <w:spacing w:before="20" w:after="20"/>
            </w:pPr>
            <w:r>
              <w:rPr>
                <w:rFonts w:ascii="Calibri" w:hAnsi="Calibri"/>
                <w:b/>
                <w:color w:val="FFFFFF"/>
                <w:sz w:val="19"/>
              </w:rPr>
              <w:t>MOBILE APPLICATION</w:t>
            </w:r>
          </w:p>
        </w:tc>
        <w:tc>
          <w:tcPr>
            <w:tcW w:type="dxa" w:w="1872"/>
            <w:tcMar>
              <w:top w:w="30" w:type="dxa"/>
              <w:bottom w:w="30" w:type="dxa"/>
              <w:left w:w="60" w:type="dxa"/>
              <w:right w:w="60" w:type="dxa"/>
            </w:tcMar>
            <w:shd w:fill="1E1B4B"/>
          </w:tcPr>
          <w:p>
            <w:pPr>
              <w:spacing w:before="20" w:after="20"/>
              <w:jc w:val="right"/>
            </w:pPr>
            <w:r>
              <w:rPr>
                <w:rFonts w:ascii="Calibri" w:hAnsi="Calibri"/>
                <w:b/>
                <w:color w:val="FFFFFF"/>
                <w:sz w:val="19"/>
              </w:rPr>
              <w:t>100 pts</w:t>
            </w:r>
          </w:p>
        </w:tc>
      </w:tr>
      <w:tr>
        <w:tc>
          <w:tcPr>
            <w:tcW w:type="dxa" w:w="8352"/>
            <w:tcMar>
              <w:top w:w="30" w:type="dxa"/>
              <w:bottom w:w="30" w:type="dxa"/>
              <w:left w:w="60" w:type="dxa"/>
              <w:right w:w="60" w:type="dxa"/>
            </w:tcMar>
            <w:shd w:fill="FFFFFF"/>
          </w:tcPr>
          <w:p>
            <w:pPr>
              <w:spacing w:before="20" w:after="20"/>
            </w:pPr>
            <w:r>
              <w:rPr>
                <w:rFonts w:ascii="Calibri" w:hAnsi="Calibri"/>
                <w:b w:val="0"/>
                <w:color w:val="0F172A"/>
                <w:sz w:val="17"/>
              </w:rPr>
              <w:t>Functionality</w:t>
              <w:br/>
              <w:t>Completeness and correctness of the CRUD functions, live change calculation, stock deduction, and low-stock alert logic.</w:t>
            </w:r>
          </w:p>
        </w:tc>
        <w:tc>
          <w:tcPr>
            <w:tcW w:type="dxa" w:w="1872"/>
            <w:tcMar>
              <w:top w:w="30" w:type="dxa"/>
              <w:bottom w:w="30" w:type="dxa"/>
              <w:left w:w="60" w:type="dxa"/>
              <w:right w:w="60" w:type="dxa"/>
            </w:tcMar>
            <w:shd w:fill="FFFFFF"/>
          </w:tcPr>
          <w:p>
            <w:pPr>
              <w:spacing w:before="20" w:after="20"/>
              <w:jc w:val="right"/>
            </w:pPr>
            <w:r>
              <w:rPr>
                <w:rFonts w:ascii="Calibri" w:hAnsi="Calibri"/>
                <w:b/>
                <w:color w:val="0D9488"/>
                <w:sz w:val="17"/>
              </w:rPr>
              <w:t>40 pts</w:t>
            </w:r>
          </w:p>
        </w:tc>
      </w:tr>
      <w:tr>
        <w:tc>
          <w:tcPr>
            <w:tcW w:type="dxa" w:w="8352"/>
            <w:tcMar>
              <w:top w:w="30" w:type="dxa"/>
              <w:bottom w:w="30" w:type="dxa"/>
              <w:left w:w="60" w:type="dxa"/>
              <w:right w:w="60" w:type="dxa"/>
            </w:tcMar>
            <w:shd w:fill="F8FAFC"/>
          </w:tcPr>
          <w:p>
            <w:pPr>
              <w:spacing w:before="20" w:after="20"/>
            </w:pPr>
            <w:r>
              <w:rPr>
                <w:rFonts w:ascii="Calibri" w:hAnsi="Calibri"/>
                <w:b w:val="0"/>
                <w:color w:val="0F172A"/>
                <w:sz w:val="17"/>
              </w:rPr>
              <w:t>General Appeal</w:t>
              <w:br/>
              <w:t>Quality of the user experience, appeal to the target audience, look of the design, and excitement about the app.</w:t>
            </w:r>
          </w:p>
        </w:tc>
        <w:tc>
          <w:tcPr>
            <w:tcW w:type="dxa" w:w="1872"/>
            <w:tcMar>
              <w:top w:w="30" w:type="dxa"/>
              <w:bottom w:w="30" w:type="dxa"/>
              <w:left w:w="60" w:type="dxa"/>
              <w:right w:w="60" w:type="dxa"/>
            </w:tcMar>
            <w:shd w:fill="F8FAFC"/>
          </w:tcPr>
          <w:p>
            <w:pPr>
              <w:spacing w:before="20" w:after="20"/>
              <w:jc w:val="right"/>
            </w:pPr>
            <w:r>
              <w:rPr>
                <w:rFonts w:ascii="Calibri" w:hAnsi="Calibri"/>
                <w:b/>
                <w:color w:val="0D9488"/>
                <w:sz w:val="17"/>
              </w:rPr>
              <w:t>35 pts</w:t>
            </w:r>
          </w:p>
        </w:tc>
      </w:tr>
      <w:tr>
        <w:tc>
          <w:tcPr>
            <w:tcW w:type="dxa" w:w="8352"/>
            <w:tcMar>
              <w:top w:w="30" w:type="dxa"/>
              <w:bottom w:w="30" w:type="dxa"/>
              <w:left w:w="60" w:type="dxa"/>
              <w:right w:w="60" w:type="dxa"/>
            </w:tcMar>
            <w:shd w:fill="FFFFFF"/>
          </w:tcPr>
          <w:p>
            <w:pPr>
              <w:spacing w:before="20" w:after="20"/>
            </w:pPr>
            <w:r>
              <w:rPr>
                <w:rFonts w:ascii="Calibri" w:hAnsi="Calibri"/>
                <w:b w:val="0"/>
                <w:color w:val="0F172A"/>
                <w:sz w:val="17"/>
              </w:rPr>
              <w:t>Performance</w:t>
              <w:br/>
              <w:t>Speed of loading and reloading times of components and their interactions.</w:t>
            </w:r>
          </w:p>
        </w:tc>
        <w:tc>
          <w:tcPr>
            <w:tcW w:type="dxa" w:w="1872"/>
            <w:tcMar>
              <w:top w:w="30" w:type="dxa"/>
              <w:bottom w:w="30" w:type="dxa"/>
              <w:left w:w="60" w:type="dxa"/>
              <w:right w:w="60" w:type="dxa"/>
            </w:tcMar>
            <w:shd w:fill="FFFFFF"/>
          </w:tcPr>
          <w:p>
            <w:pPr>
              <w:spacing w:before="20" w:after="20"/>
              <w:jc w:val="right"/>
            </w:pPr>
            <w:r>
              <w:rPr>
                <w:rFonts w:ascii="Calibri" w:hAnsi="Calibri"/>
                <w:b/>
                <w:color w:val="0D9488"/>
                <w:sz w:val="17"/>
              </w:rPr>
              <w:t>25 pts</w:t>
            </w:r>
          </w:p>
        </w:tc>
      </w:tr>
    </w:tbl>
    <w:p>
      <w:pPr>
        <w:spacing w:after="60"/>
      </w:pPr>
    </w:p>
    <w:tbl>
      <w:tblPr>
        <w:tblW w:type="auto" w:w="0"/>
        <w:jc w:val="center"/>
        <w:tblLook w:firstColumn="1" w:firstRow="1" w:lastColumn="0" w:lastRow="0" w:noHBand="0" w:noVBand="1" w:val="04A0"/>
      </w:tblPr>
      <w:tblGrid>
        <w:gridCol w:w="3456"/>
        <w:gridCol w:w="3456"/>
        <w:gridCol w:w="3456"/>
      </w:tblGrid>
      <w:tr>
        <w:tc>
          <w:tcPr>
            <w:tcW w:type="dxa" w:w="3168"/>
            <w:shd w:fill="0F172A"/>
            <w:tcMar>
              <w:top w:w="40" w:type="dxa"/>
              <w:bottom w:w="40" w:type="dxa"/>
              <w:left w:w="40" w:type="dxa"/>
              <w:right w:w="40" w:type="dxa"/>
            </w:tcMar>
            <w:tcBorders>
              <w:top w:val="none"/>
              <w:left w:val="none"/>
              <w:bottom w:val="none"/>
              <w:right w:val="none"/>
            </w:tcBorders>
          </w:tcPr>
          <w:p>
            <w:pPr>
              <w:jc w:val="center"/>
            </w:pPr>
            <w:r>
              <w:rPr>
                <w:rFonts w:ascii="Segoe UI Symbol" w:hAnsi="Segoe UI Symbol"/>
                <w:color w:val="94A3B8"/>
                <w:sz w:val="17"/>
              </w:rPr>
              <w:t>❖ ❖ ❖ ❖ ❖ ❖ ❖ ❖ ❖</w:t>
            </w:r>
          </w:p>
        </w:tc>
        <w:tc>
          <w:tcPr>
            <w:tcW w:type="dxa" w:w="3888"/>
            <w:shd w:fill="0F172A"/>
            <w:tcMar>
              <w:top w:w="40" w:type="dxa"/>
              <w:bottom w:w="40" w:type="dxa"/>
              <w:left w:w="40" w:type="dxa"/>
              <w:right w:w="40" w:type="dxa"/>
            </w:tcMar>
            <w:tcBorders>
              <w:top w:val="none"/>
              <w:left w:val="none"/>
              <w:bottom w:val="none"/>
              <w:right w:val="none"/>
            </w:tcBorders>
          </w:tcPr>
          <w:p>
            <w:pPr>
              <w:jc w:val="center"/>
            </w:pPr>
            <w:r>
              <w:rPr>
                <w:rFonts w:ascii="Calibri" w:hAnsi="Calibri"/>
                <w:b/>
                <w:color w:val="FFFFFF"/>
                <w:sz w:val="19"/>
              </w:rPr>
              <w:t>✦  C O D E F E S T   2 0 2 6  ✦</w:t>
            </w:r>
          </w:p>
        </w:tc>
        <w:tc>
          <w:tcPr>
            <w:tcW w:type="dxa" w:w="3168"/>
            <w:shd w:fill="0F172A"/>
            <w:tcMar>
              <w:top w:w="40" w:type="dxa"/>
              <w:bottom w:w="40" w:type="dxa"/>
              <w:left w:w="40" w:type="dxa"/>
              <w:right w:w="40" w:type="dxa"/>
            </w:tcMar>
            <w:tcBorders>
              <w:top w:val="none"/>
              <w:left w:val="none"/>
              <w:bottom w:val="none"/>
              <w:right w:val="none"/>
            </w:tcBorders>
          </w:tcPr>
          <w:p>
            <w:pPr>
              <w:jc w:val="center"/>
            </w:pPr>
            <w:r>
              <w:rPr>
                <w:rFonts w:ascii="Segoe UI Symbol" w:hAnsi="Segoe UI Symbol"/>
                <w:color w:val="94A3B8"/>
                <w:sz w:val="17"/>
              </w:rPr>
              <w:t>❖ ❖ ❖ ❖ ❖ ❖ ❖ ❖ ❖</w:t>
            </w:r>
          </w:p>
        </w:tc>
      </w:tr>
    </w:tbl>
    <w:p>
      <w:pPr>
        <w:spacing w:after="40"/>
      </w:pPr>
    </w:p>
    <w:tbl>
      <w:tblPr>
        <w:tblW w:type="auto" w:w="0"/>
        <w:jc w:val="center"/>
        <w:tblLook w:firstColumn="1" w:firstRow="1" w:lastColumn="0" w:lastRow="0" w:noHBand="0" w:noVBand="1" w:val="04A0"/>
      </w:tblPr>
      <w:tblGrid>
        <w:gridCol w:w="3456"/>
        <w:gridCol w:w="3456"/>
        <w:gridCol w:w="3456"/>
      </w:tblGrid>
      <w:tr>
        <w:tc>
          <w:tcPr>
            <w:tcW w:type="dxa" w:w="3168"/>
            <w:shd w:fill="0F172A"/>
            <w:tcMar>
              <w:top w:w="40" w:type="dxa"/>
              <w:bottom w:w="40" w:type="dxa"/>
              <w:left w:w="40" w:type="dxa"/>
              <w:right w:w="40" w:type="dxa"/>
            </w:tcMar>
            <w:tcBorders>
              <w:top w:val="none"/>
              <w:left w:val="none"/>
              <w:bottom w:val="none"/>
              <w:right w:val="none"/>
            </w:tcBorders>
          </w:tcPr>
          <w:p>
            <w:pPr>
              <w:jc w:val="center"/>
            </w:pPr>
            <w:r>
              <w:rPr>
                <w:rFonts w:ascii="Segoe UI Symbol" w:hAnsi="Segoe UI Symbol"/>
                <w:color w:val="94A3B8"/>
                <w:sz w:val="17"/>
              </w:rPr>
              <w:t>❖ ❖ ❖ ❖ ❖ ❖ ❖ ❖ ❖</w:t>
            </w:r>
          </w:p>
        </w:tc>
        <w:tc>
          <w:tcPr>
            <w:tcW w:type="dxa" w:w="3888"/>
            <w:shd w:fill="0F172A"/>
            <w:tcMar>
              <w:top w:w="40" w:type="dxa"/>
              <w:bottom w:w="40" w:type="dxa"/>
              <w:left w:w="40" w:type="dxa"/>
              <w:right w:w="40" w:type="dxa"/>
            </w:tcMar>
            <w:tcBorders>
              <w:top w:val="none"/>
              <w:left w:val="none"/>
              <w:bottom w:val="none"/>
              <w:right w:val="none"/>
            </w:tcBorders>
          </w:tcPr>
          <w:p>
            <w:pPr>
              <w:jc w:val="center"/>
            </w:pPr>
            <w:r>
              <w:rPr>
                <w:rFonts w:ascii="Calibri" w:hAnsi="Calibri"/>
                <w:b/>
                <w:color w:val="FFFFFF"/>
                <w:sz w:val="19"/>
              </w:rPr>
              <w:t>✦  C O D E F E S T   2 0 2 6  ✦</w:t>
            </w:r>
          </w:p>
        </w:tc>
        <w:tc>
          <w:tcPr>
            <w:tcW w:type="dxa" w:w="3168"/>
            <w:shd w:fill="0F172A"/>
            <w:tcMar>
              <w:top w:w="40" w:type="dxa"/>
              <w:bottom w:w="40" w:type="dxa"/>
              <w:left w:w="40" w:type="dxa"/>
              <w:right w:w="40" w:type="dxa"/>
            </w:tcMar>
            <w:tcBorders>
              <w:top w:val="none"/>
              <w:left w:val="none"/>
              <w:bottom w:val="none"/>
              <w:right w:val="none"/>
            </w:tcBorders>
          </w:tcPr>
          <w:p>
            <w:pPr>
              <w:jc w:val="center"/>
            </w:pPr>
            <w:r>
              <w:rPr>
                <w:rFonts w:ascii="Segoe UI Symbol" w:hAnsi="Segoe UI Symbol"/>
                <w:color w:val="94A3B8"/>
                <w:sz w:val="17"/>
              </w:rPr>
              <w:t>❖ ❖ ❖ ❖ ❖ ❖ ❖ ❖ ❖</w:t>
            </w:r>
          </w:p>
        </w:tc>
      </w:tr>
    </w:tbl>
    <w:p>
      <w:pPr>
        <w:spacing w:after="40"/>
      </w:pPr>
    </w:p>
    <w:p>
      <w:pPr>
        <w:keepNext/>
        <w:spacing w:before="120" w:after="20"/>
      </w:pPr>
      <w:r>
        <w:rPr>
          <w:rFonts w:ascii="Calibri" w:hAnsi="Calibri"/>
          <w:b/>
          <w:color w:val="1E3A8A"/>
          <w:sz w:val="22"/>
        </w:rPr>
        <w:t>Challenge Overview</w:t>
      </w:r>
    </w:p>
    <w:p>
      <w:pPr>
        <w:spacing w:before="10" w:after="30" w:line="276" w:lineRule="auto"/>
      </w:pPr>
      <w:r>
        <w:rPr>
          <w:rFonts w:ascii="Calibri" w:hAnsi="Calibri"/>
          <w:color w:val="334155"/>
          <w:sz w:val="19"/>
        </w:rPr>
        <w:t>In the bustling neighborhood of Barangay San Isidro, Aling Nena's sari-sari store serves as the daily lifeline for local families, selling everyday essentials like canned goods, noodles, rice, and hygiene products. However, Aling Nena still relies on an old paper notebook ('kwaderno') to track her stock and customer debts ('utang'). When the notebook gets lost or damaged, disputes arise, stock runs out without warning, and the store loses vital revenue.</w:t>
      </w:r>
    </w:p>
    <w:p>
      <w:pPr>
        <w:spacing w:before="10" w:after="30" w:line="276" w:lineRule="auto"/>
      </w:pPr>
      <w:r>
        <w:rPr>
          <w:rFonts w:ascii="Calibri" w:hAnsi="Calibri"/>
          <w:color w:val="334155"/>
          <w:sz w:val="19"/>
        </w:rPr>
        <w:t>Teams must develop a mobile-based full-stack offline micro-retail and customer debt ledger application that transforms manual notebook record-keeping into a fast, reliable, and visually engaging digital store management system. The system must support persistent storage and implement core CRUD features but is encouraged to innovate beyond the base system.</w:t>
      </w:r>
    </w:p>
    <w:p>
      <w:pPr>
        <w:keepNext/>
        <w:spacing w:before="120" w:after="20"/>
      </w:pPr>
      <w:r>
        <w:rPr>
          <w:rFonts w:ascii="Calibri" w:hAnsi="Calibri"/>
          <w:b/>
          <w:color w:val="1E3A8A"/>
          <w:sz w:val="22"/>
        </w:rPr>
        <w:t>Application Specifications (MVP)</w:t>
      </w:r>
    </w:p>
    <w:tbl>
      <w:tblPr>
        <w:tblW w:type="auto" w:w="0"/>
        <w:jc w:val="center"/>
        <w:tblLook w:firstColumn="1" w:firstRow="1" w:lastColumn="0" w:lastRow="0" w:noHBand="0" w:noVBand="1" w:val="04A0"/>
      </w:tblPr>
      <w:tblGrid>
        <w:gridCol w:w="10368"/>
      </w:tblGrid>
      <w:tr>
        <w:tc>
          <w:tcPr>
            <w:tcW w:type="dxa" w:w="10224"/>
            <w:shd w:fill="0D9488"/>
            <w:tcMar>
              <w:top w:w="50" w:type="dxa"/>
              <w:bottom w:w="50" w:type="dxa"/>
              <w:left w:w="100" w:type="dxa"/>
              <w:right w:w="100" w:type="dxa"/>
            </w:tcMar>
          </w:tcPr>
          <w:p>
            <w:pPr>
              <w:jc w:val="center"/>
            </w:pPr>
            <w:r>
              <w:rPr>
                <w:rFonts w:ascii="Calibri" w:hAnsi="Calibri"/>
                <w:b/>
                <w:color w:val="FFFFFF"/>
                <w:sz w:val="23"/>
              </w:rPr>
              <w:t>TindaTrack</w:t>
              <w:br/>
            </w:r>
            <w:r>
              <w:rPr>
                <w:rFonts w:ascii="Calibri" w:hAnsi="Calibri"/>
                <w:i/>
                <w:color w:val="CCFBF1"/>
                <w:sz w:val="19"/>
              </w:rPr>
              <w:t>"Smart Neighborhood Retail &amp; Credit Ledger"</w:t>
            </w:r>
          </w:p>
        </w:tc>
      </w:tr>
    </w:tbl>
    <w:p>
      <w:pPr>
        <w:spacing w:after="40"/>
      </w:pPr>
    </w:p>
    <w:p>
      <w:pPr>
        <w:spacing w:before="10" w:after="30" w:line="276" w:lineRule="auto"/>
      </w:pPr>
      <w:r>
        <w:rPr>
          <w:rFonts w:ascii="Calibri" w:hAnsi="Calibri"/>
          <w:color w:val="334155"/>
          <w:sz w:val="19"/>
        </w:rPr>
        <w:t>The team is tasked to create a full-stack Sari-Sari Store Inventory &amp; Credit Application, designed for offline micro-retail and community credit tracking. Aside from the graphical user interface (GUI), the application should be able to execute the following features along with persistent data:</w:t>
      </w:r>
    </w:p>
    <w:p>
      <w:pPr>
        <w:spacing w:before="10" w:after="30" w:line="276" w:lineRule="auto"/>
      </w:pPr>
      <w:r>
        <w:rPr>
          <w:rFonts w:ascii="Calibri" w:hAnsi="Calibri"/>
          <w:b/>
          <w:color w:val="0F172A"/>
          <w:sz w:val="19"/>
        </w:rPr>
        <w:t xml:space="preserve">NOTE: </w:t>
      </w:r>
      <w:r>
        <w:rPr>
          <w:rFonts w:ascii="Calibri" w:hAnsi="Calibri"/>
          <w:color w:val="334155"/>
          <w:sz w:val="19"/>
        </w:rPr>
        <w:t>These are just the base data and operations needed; feel free to add or upgrade based on your best discretion.</w:t>
      </w:r>
    </w:p>
    <w:p>
      <w:pPr>
        <w:keepNext/>
        <w:spacing w:before="120" w:after="20"/>
      </w:pPr>
      <w:r>
        <w:rPr>
          <w:rFonts w:ascii="Calibri" w:hAnsi="Calibri"/>
          <w:b/>
          <w:color w:val="1E3A8A"/>
          <w:sz w:val="20"/>
        </w:rPr>
        <w:t>1.  Store Inventory &amp; Stock Management</w:t>
      </w:r>
    </w:p>
    <w:p>
      <w:pPr>
        <w:spacing w:before="10" w:after="30" w:line="276" w:lineRule="auto"/>
      </w:pPr>
      <w:r>
        <w:rPr>
          <w:rFonts w:ascii="Calibri" w:hAnsi="Calibri"/>
          <w:color w:val="334155"/>
          <w:sz w:val="19"/>
        </w:rPr>
        <w:t>a.  Add Product Item</w:t>
      </w:r>
    </w:p>
    <w:p>
      <w:pPr>
        <w:spacing w:before="10" w:after="30" w:line="276" w:lineRule="auto"/>
        <w:ind w:left="360"/>
      </w:pPr>
      <w:r>
        <w:rPr>
          <w:rFonts w:ascii="Calibri" w:hAnsi="Calibri"/>
          <w:color w:val="334155"/>
          <w:sz w:val="19"/>
        </w:rPr>
        <w:t>i.    Product Name (e.g., Corned Beef, Sinandomeng Rice, Instant Noodles, Coffee Sachet)</w:t>
      </w:r>
    </w:p>
    <w:p>
      <w:pPr>
        <w:spacing w:before="10" w:after="30" w:line="276" w:lineRule="auto"/>
        <w:ind w:left="360"/>
      </w:pPr>
      <w:r>
        <w:rPr>
          <w:rFonts w:ascii="Calibri" w:hAnsi="Calibri"/>
          <w:color w:val="334155"/>
          <w:sz w:val="19"/>
        </w:rPr>
        <w:t>ii.   Category (Canned &amp; Packaged, Rice &amp; Grains, Beverages &amp; Dairy, Snacks &amp; Personal Care)</w:t>
      </w:r>
    </w:p>
    <w:p>
      <w:pPr>
        <w:spacing w:before="10" w:after="30" w:line="276" w:lineRule="auto"/>
        <w:ind w:left="360"/>
      </w:pPr>
      <w:r>
        <w:rPr>
          <w:rFonts w:ascii="Calibri" w:hAnsi="Calibri"/>
          <w:color w:val="334155"/>
          <w:sz w:val="19"/>
        </w:rPr>
        <w:t>iii.  Selling Price (e.g., 22.0, 55.0, 14.0)</w:t>
      </w:r>
    </w:p>
    <w:p>
      <w:pPr>
        <w:spacing w:before="10" w:after="30" w:line="276" w:lineRule="auto"/>
        <w:ind w:left="360"/>
      </w:pPr>
      <w:r>
        <w:rPr>
          <w:rFonts w:ascii="Calibri" w:hAnsi="Calibri"/>
          <w:color w:val="334155"/>
          <w:sz w:val="19"/>
        </w:rPr>
        <w:t>iv.   Stock Quantity (e.g., 20, 15, 0)</w:t>
      </w:r>
    </w:p>
    <w:p>
      <w:pPr>
        <w:spacing w:before="10" w:after="30" w:line="276" w:lineRule="auto"/>
        <w:ind w:left="360"/>
      </w:pPr>
      <w:r>
        <w:rPr>
          <w:rFonts w:ascii="Calibri" w:hAnsi="Calibri"/>
          <w:color w:val="334155"/>
          <w:sz w:val="19"/>
        </w:rPr>
        <w:t>v.    Low-Stock Minimum Threshold (e.g., 5 — a product is Low Stock when its stock is at or below this value)</w:t>
      </w:r>
    </w:p>
    <w:p>
      <w:pPr>
        <w:spacing w:before="10" w:after="30" w:line="276" w:lineRule="auto"/>
        <w:ind w:left="360"/>
      </w:pPr>
      <w:r>
        <w:rPr>
          <w:rFonts w:ascii="Calibri" w:hAnsi="Calibri"/>
          <w:color w:val="334155"/>
          <w:sz w:val="19"/>
        </w:rPr>
        <w:t>vi.   Unit (pcs, kg, sachets, cans — stock is counted in whole units)</w:t>
      </w:r>
    </w:p>
    <w:p>
      <w:pPr>
        <w:spacing w:before="10" w:after="30" w:line="276" w:lineRule="auto"/>
      </w:pPr>
      <w:r>
        <w:rPr>
          <w:rFonts w:ascii="Calibri" w:hAnsi="Calibri"/>
          <w:color w:val="334155"/>
          <w:sz w:val="19"/>
        </w:rPr>
        <w:t>b.  View, Search &amp; Filter Product List</w:t>
      </w:r>
    </w:p>
    <w:p>
      <w:pPr>
        <w:spacing w:before="10" w:after="30" w:line="276" w:lineRule="auto"/>
      </w:pPr>
      <w:r>
        <w:rPr>
          <w:rFonts w:ascii="Calibri" w:hAnsi="Calibri"/>
          <w:color w:val="334155"/>
          <w:sz w:val="19"/>
        </w:rPr>
        <w:t>c.  Stock Health State (every product is In Stock, Low Stock, or Out of Stock; all three states must be visibly distinct)</w:t>
      </w:r>
    </w:p>
    <w:p>
      <w:pPr>
        <w:spacing w:before="10" w:after="30" w:line="276" w:lineRule="auto"/>
      </w:pPr>
      <w:r>
        <w:rPr>
          <w:rFonts w:ascii="Calibri" w:hAnsi="Calibri"/>
          <w:color w:val="334155"/>
          <w:sz w:val="19"/>
        </w:rPr>
        <w:t>d.  Edit / Delete Product</w:t>
      </w:r>
    </w:p>
    <w:p>
      <w:pPr>
        <w:keepNext/>
        <w:spacing w:before="120" w:after="20"/>
      </w:pPr>
      <w:r>
        <w:rPr>
          <w:rFonts w:ascii="Calibri" w:hAnsi="Calibri"/>
          <w:b/>
          <w:color w:val="1E3A8A"/>
          <w:sz w:val="20"/>
        </w:rPr>
        <w:t>2.  Quick Point-of-Sale (POS) &amp; Customer Debt ("Utang") Ledger</w:t>
      </w:r>
    </w:p>
    <w:p>
      <w:pPr>
        <w:spacing w:before="10" w:after="30" w:line="276" w:lineRule="auto"/>
      </w:pPr>
      <w:r>
        <w:rPr>
          <w:rFonts w:ascii="Calibri" w:hAnsi="Calibri"/>
          <w:color w:val="334155"/>
          <w:sz w:val="19"/>
        </w:rPr>
        <w:t>a.  Record Sale or Utang Entry</w:t>
      </w:r>
    </w:p>
    <w:p>
      <w:pPr>
        <w:spacing w:before="10" w:after="30" w:line="276" w:lineRule="auto"/>
        <w:ind w:left="360"/>
      </w:pPr>
      <w:r>
        <w:rPr>
          <w:rFonts w:ascii="Calibri" w:hAnsi="Calibri"/>
          <w:color w:val="334155"/>
          <w:sz w:val="19"/>
        </w:rPr>
        <w:t>i.    Customer Name (e.g., Walk-in Cash, Aling Nena, Mang Kanor)</w:t>
      </w:r>
    </w:p>
    <w:p>
      <w:pPr>
        <w:spacing w:before="10" w:after="30" w:line="276" w:lineRule="auto"/>
        <w:ind w:left="360"/>
      </w:pPr>
      <w:r>
        <w:rPr>
          <w:rFonts w:ascii="Calibri" w:hAnsi="Calibri"/>
          <w:color w:val="334155"/>
          <w:sz w:val="19"/>
        </w:rPr>
        <w:t>ii.   Product (must be an existing inventory item)</w:t>
      </w:r>
    </w:p>
    <w:p>
      <w:pPr>
        <w:spacing w:before="10" w:after="30" w:line="276" w:lineRule="auto"/>
        <w:ind w:left="360"/>
      </w:pPr>
      <w:r>
        <w:rPr>
          <w:rFonts w:ascii="Calibri" w:hAnsi="Calibri"/>
          <w:color w:val="334155"/>
          <w:sz w:val="19"/>
        </w:rPr>
        <w:t>iii.  Transaction Type (Cash vs Utang)</w:t>
      </w:r>
    </w:p>
    <w:p>
      <w:pPr>
        <w:spacing w:before="10" w:after="30" w:line="276" w:lineRule="auto"/>
        <w:ind w:left="360"/>
      </w:pPr>
      <w:r>
        <w:rPr>
          <w:rFonts w:ascii="Calibri" w:hAnsi="Calibri"/>
          <w:color w:val="334155"/>
          <w:sz w:val="19"/>
        </w:rPr>
        <w:t>iv.   Quantity Sold (cannot exceed the available stock)</w:t>
      </w:r>
    </w:p>
    <w:p>
      <w:pPr>
        <w:spacing w:before="10" w:after="30" w:line="276" w:lineRule="auto"/>
        <w:ind w:left="360"/>
      </w:pPr>
      <w:r>
        <w:rPr>
          <w:rFonts w:ascii="Calibri" w:hAnsi="Calibri"/>
          <w:color w:val="334155"/>
          <w:sz w:val="19"/>
        </w:rPr>
        <w:t>v.    Total Amount (PHP — auto-computed, not typed in by the user)</w:t>
      </w:r>
    </w:p>
    <w:p>
      <w:pPr>
        <w:spacing w:before="10" w:after="30" w:line="276" w:lineRule="auto"/>
        <w:ind w:left="360"/>
      </w:pPr>
      <w:r>
        <w:rPr>
          <w:rFonts w:ascii="Calibri" w:hAnsi="Calibri"/>
          <w:color w:val="334155"/>
          <w:sz w:val="19"/>
        </w:rPr>
        <w:t>vi.   Cash Received &amp; Change Due (PHP — Cash only; cash received cannot be less than the total)</w:t>
      </w:r>
    </w:p>
    <w:p>
      <w:pPr>
        <w:spacing w:before="10" w:after="30" w:line="276" w:lineRule="auto"/>
        <w:ind w:left="360"/>
      </w:pPr>
      <w:r>
        <w:rPr>
          <w:rFonts w:ascii="Calibri" w:hAnsi="Calibri"/>
          <w:color w:val="334155"/>
          <w:sz w:val="19"/>
        </w:rPr>
        <w:t>vii.  Due Date (target payment date via DatePickerDialog, Utang only; cannot be earlier than the sale date)</w:t>
      </w:r>
    </w:p>
    <w:p>
      <w:pPr>
        <w:spacing w:before="10" w:after="30" w:line="276" w:lineRule="auto"/>
      </w:pPr>
      <w:r>
        <w:rPr>
          <w:rFonts w:ascii="Calibri" w:hAnsi="Calibri"/>
          <w:color w:val="334155"/>
          <w:sz w:val="19"/>
        </w:rPr>
        <w:t>b.  Fast Sell Action &amp; Stock Deduction (change updates live as the cash amount is entered, sold quantity is deducted from stock, and an alert is raised when a product reaches Low or Out of Stock)</w:t>
      </w:r>
    </w:p>
    <w:p>
      <w:pPr>
        <w:spacing w:before="10" w:after="30" w:line="276" w:lineRule="auto"/>
      </w:pPr>
      <w:r>
        <w:rPr>
          <w:rFonts w:ascii="Calibri" w:hAnsi="Calibri"/>
          <w:color w:val="334155"/>
          <w:sz w:val="19"/>
        </w:rPr>
        <w:t>c.  View Debt List &amp; Settle ("Bayad" fully settles an utang; unpaid utang past its due date shows an OVERDUE red badge)</w:t>
      </w:r>
    </w:p>
    <w:p>
      <w:pPr>
        <w:spacing w:before="10" w:after="30" w:line="276" w:lineRule="auto"/>
      </w:pPr>
      <w:r>
        <w:rPr>
          <w:rFonts w:ascii="Calibri" w:hAnsi="Calibri"/>
          <w:color w:val="334155"/>
          <w:sz w:val="19"/>
        </w:rPr>
        <w:t>d.  Edit / Remove Debt Record (stock levels and totals must stay correct after any edit or removal)</w:t>
      </w:r>
    </w:p>
    <w:p>
      <w:pPr>
        <w:keepNext/>
        <w:spacing w:before="120" w:after="20"/>
      </w:pPr>
      <w:r>
        <w:rPr>
          <w:rFonts w:ascii="Calibri" w:hAnsi="Calibri"/>
          <w:b/>
          <w:color w:val="1E3A8A"/>
          <w:sz w:val="20"/>
        </w:rPr>
        <w:t>3.  Store Analytics, Cash Drawer &amp; Bento Pager</w:t>
      </w:r>
    </w:p>
    <w:p>
      <w:pPr>
        <w:spacing w:before="10" w:after="30" w:line="276" w:lineRule="auto"/>
      </w:pPr>
      <w:r>
        <w:rPr>
          <w:rFonts w:ascii="Calibri" w:hAnsi="Calibri"/>
          <w:color w:val="334155"/>
          <w:sz w:val="19"/>
        </w:rPr>
        <w:t>a.  Category Stock Health Pager (4 Category Progress Bars)</w:t>
      </w:r>
    </w:p>
    <w:p>
      <w:pPr>
        <w:spacing w:before="10" w:after="30" w:line="276" w:lineRule="auto"/>
        <w:ind w:left="360"/>
      </w:pPr>
      <w:r>
        <w:rPr>
          <w:rFonts w:ascii="Calibri" w:hAnsi="Calibri"/>
          <w:color w:val="334155"/>
          <w:sz w:val="19"/>
        </w:rPr>
        <w:t>i.    In Stock vs Low / Out of Stock count per category</w:t>
      </w:r>
    </w:p>
    <w:p>
      <w:pPr>
        <w:spacing w:before="10" w:after="30" w:line="276" w:lineRule="auto"/>
        <w:ind w:left="360"/>
      </w:pPr>
      <w:r>
        <w:rPr>
          <w:rFonts w:ascii="Calibri" w:hAnsi="Calibri"/>
          <w:color w:val="334155"/>
          <w:sz w:val="19"/>
        </w:rPr>
        <w:t>ii.   Category Health Percentage (share of the category's products that are In Stock) &amp; visual indicator</w:t>
      </w:r>
    </w:p>
    <w:p>
      <w:pPr>
        <w:spacing w:before="10" w:after="30" w:line="276" w:lineRule="auto"/>
      </w:pPr>
      <w:r>
        <w:rPr>
          <w:rFonts w:ascii="Calibri" w:hAnsi="Calibri"/>
          <w:color w:val="334155"/>
          <w:sz w:val="19"/>
        </w:rPr>
        <w:t>b.  Daily Cash &amp; Credit Summary</w:t>
      </w:r>
    </w:p>
    <w:p>
      <w:pPr>
        <w:spacing w:before="10" w:after="30" w:line="276" w:lineRule="auto"/>
        <w:ind w:left="360"/>
      </w:pPr>
      <w:r>
        <w:rPr>
          <w:rFonts w:ascii="Calibri" w:hAnsi="Calibri"/>
          <w:color w:val="334155"/>
          <w:sz w:val="19"/>
        </w:rPr>
        <w:t>i.    Total Cash in Drawer Today (₱) — cash sales made today plus utang settled today</w:t>
      </w:r>
    </w:p>
    <w:p>
      <w:pPr>
        <w:spacing w:before="10" w:after="30" w:line="276" w:lineRule="auto"/>
        <w:ind w:left="360"/>
      </w:pPr>
      <w:r>
        <w:rPr>
          <w:rFonts w:ascii="Calibri" w:hAnsi="Calibri"/>
          <w:color w:val="334155"/>
          <w:sz w:val="19"/>
        </w:rPr>
        <w:t>ii.   Total Uncollected Utang (₱) — all unsettled utang</w:t>
      </w:r>
    </w:p>
    <w:p>
      <w:pPr>
        <w:spacing w:before="10" w:after="30" w:line="276" w:lineRule="auto"/>
        <w:ind w:left="360"/>
      </w:pPr>
      <w:r>
        <w:rPr>
          <w:rFonts w:ascii="Calibri" w:hAnsi="Calibri"/>
          <w:color w:val="334155"/>
          <w:sz w:val="19"/>
        </w:rPr>
        <w:t>iii.  Items Requiring Reorder Count — products that are Low Stock or Out of Stock</w:t>
      </w:r>
    </w:p>
    <w:p>
      <w:pPr>
        <w:spacing w:before="10" w:after="30" w:line="276" w:lineRule="auto"/>
      </w:pPr>
      <w:r>
        <w:rPr>
          <w:rFonts w:ascii="Calibri" w:hAnsi="Calibri"/>
          <w:color w:val="334155"/>
          <w:sz w:val="19"/>
        </w:rPr>
        <w:t>c.  Recent Transactions Feed</w:t>
      </w:r>
    </w:p>
    <w:p>
      <w:pPr>
        <w:spacing w:before="10" w:after="30" w:line="276" w:lineRule="auto"/>
        <w:ind w:left="360"/>
      </w:pPr>
      <w:r>
        <w:rPr>
          <w:rFonts w:ascii="Calibri" w:hAnsi="Calibri"/>
          <w:color w:val="334155"/>
          <w:sz w:val="19"/>
        </w:rPr>
        <w:t>i.    The 4 latest transactions, newest first, with Green "+" (Cash) or Orange "Credit" (Utang) badges</w:t>
      </w:r>
    </w:p>
    <w:p>
      <w:pPr>
        <w:keepNext/>
        <w:spacing w:before="120" w:after="20"/>
      </w:pPr>
      <w:r>
        <w:rPr>
          <w:rFonts w:ascii="Calibri" w:hAnsi="Calibri"/>
          <w:b/>
          <w:color w:val="1E3A8A"/>
          <w:sz w:val="20"/>
        </w:rPr>
        <w:t>4.  Innovation Layer (Developer Feature)</w:t>
      </w:r>
    </w:p>
    <w:p>
      <w:pPr>
        <w:spacing w:before="10" w:after="30" w:line="276" w:lineRule="auto"/>
      </w:pPr>
      <w:r>
        <w:rPr>
          <w:rFonts w:ascii="Calibri" w:hAnsi="Calibri"/>
          <w:color w:val="334155"/>
          <w:sz w:val="19"/>
        </w:rPr>
        <w:t>a.  Any feature coherent to the application while providing micro-retail innovation (e.g. 1-tap Customer Phone Dialer, Undo Delete Snackbar, Low-Stock Notification).</w:t>
      </w:r>
    </w:p>
    <w:p>
      <w:pPr>
        <w:spacing w:before="10" w:after="30" w:line="276" w:lineRule="auto"/>
      </w:pPr>
      <w:r>
        <w:rPr>
          <w:rFonts w:ascii="Calibri" w:hAnsi="Calibri"/>
          <w:color w:val="334155"/>
          <w:sz w:val="19"/>
        </w:rPr>
        <w:t>b.  CRUD operations are expected but not heavily required.</w:t>
      </w:r>
    </w:p>
    <w:p>
      <w:pPr>
        <w:keepNext/>
        <w:spacing w:before="120" w:after="20"/>
      </w:pPr>
      <w:r>
        <w:rPr>
          <w:rFonts w:ascii="Calibri" w:hAnsi="Calibri"/>
          <w:b/>
          <w:color w:val="1E3A8A"/>
          <w:sz w:val="20"/>
        </w:rPr>
        <w:t>5.  Validation &amp; Data Integrity</w:t>
      </w:r>
    </w:p>
    <w:p>
      <w:pPr>
        <w:spacing w:before="10" w:after="30" w:line="276" w:lineRule="auto"/>
      </w:pPr>
      <w:r>
        <w:rPr>
          <w:rFonts w:ascii="Calibri" w:hAnsi="Calibri"/>
          <w:color w:val="334155"/>
          <w:sz w:val="19"/>
        </w:rPr>
        <w:t>a.  Required fields must not be saved when empty; prices and quantities must be numeric, and quantities must be greater than zero.</w:t>
      </w:r>
    </w:p>
    <w:p>
      <w:pPr>
        <w:spacing w:before="10" w:after="30" w:line="276" w:lineRule="auto"/>
      </w:pPr>
      <w:r>
        <w:rPr>
          <w:rFonts w:ascii="Calibri" w:hAnsi="Calibri"/>
          <w:color w:val="334155"/>
          <w:sz w:val="19"/>
        </w:rPr>
        <w:t>b.  Invalid input must show a clear message and must never crash the application.</w:t>
      </w:r>
    </w:p>
    <w:p>
      <w:pPr>
        <w:spacing w:before="10" w:after="30" w:line="276" w:lineRule="auto"/>
      </w:pPr>
      <w:r>
        <w:rPr>
          <w:rFonts w:ascii="Calibri" w:hAnsi="Calibri"/>
          <w:color w:val="334155"/>
          <w:sz w:val="19"/>
        </w:rPr>
        <w:t>c.  Removing a product must not erase past transactions from the ledger.</w:t>
      </w:r>
    </w:p>
    <w:p>
      <w:pPr>
        <w:spacing w:before="10" w:after="30" w:line="276" w:lineRule="auto"/>
      </w:pPr>
      <w:r>
        <w:rPr>
          <w:rFonts w:ascii="Calibri" w:hAnsi="Calibri"/>
          <w:color w:val="334155"/>
          <w:sz w:val="19"/>
        </w:rPr>
        <w:t>d.  All dashboard and analytics figures must be computed from saved records (no hard-coded totals) and must update right after any add, edit, settle, or delete.</w:t>
      </w:r>
    </w:p>
    <w:p>
      <w:pPr>
        <w:spacing w:before="10" w:after="30" w:line="276" w:lineRule="auto"/>
      </w:pPr>
      <w:r>
        <w:rPr>
          <w:rFonts w:ascii="Calibri" w:hAnsi="Calibri"/>
          <w:color w:val="334155"/>
          <w:sz w:val="19"/>
        </w:rPr>
        <w:t>e.  All data must remain after the app is closed and reopened.</w:t>
      </w:r>
    </w:p>
    <w:p>
      <w:pPr>
        <w:spacing w:before="10" w:after="30" w:line="276" w:lineRule="auto"/>
      </w:pPr>
      <w:r>
        <w:rPr>
          <w:rFonts w:ascii="Calibri" w:hAnsi="Calibri"/>
          <w:color w:val="334155"/>
          <w:sz w:val="19"/>
        </w:rPr>
        <w:t>f.  A single store operator is assumed; user accounts / login are optional.</w:t>
      </w:r>
    </w:p>
    <w:p>
      <w:pPr>
        <w:keepNext/>
        <w:spacing w:before="120" w:after="20"/>
      </w:pPr>
      <w:r>
        <w:rPr>
          <w:rFonts w:ascii="Calibri" w:hAnsi="Calibri"/>
          <w:b/>
          <w:color w:val="0D9488"/>
          <w:sz w:val="20"/>
        </w:rPr>
        <w:t>Asset Requirement Notice:</w:t>
      </w:r>
    </w:p>
    <w:tbl>
      <w:tblPr>
        <w:tblW w:type="auto" w:w="0"/>
        <w:jc w:val="center"/>
        <w:tblLook w:firstColumn="1" w:firstRow="1" w:lastColumn="0" w:lastRow="0" w:noHBand="0" w:noVBand="1" w:val="04A0"/>
      </w:tblPr>
      <w:tblGrid>
        <w:gridCol w:w="10368"/>
      </w:tblGrid>
      <w:tr>
        <w:tc>
          <w:tcPr>
            <w:tcW w:type="dxa" w:w="10224"/>
            <w:shd w:fill="F1F5F9"/>
            <w:tcMar>
              <w:top w:w="40" w:type="dxa"/>
              <w:bottom w:w="4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rFonts w:ascii="Calibri" w:hAnsi="Calibri"/>
                <w:b/>
                <w:color w:val="0F172A"/>
                <w:sz w:val="19"/>
              </w:rPr>
              <w:t>ZERO EXTERNAL ASSETS MANDATE — NO ASSETS REQUIRED</w:t>
              <w:br/>
            </w:r>
            <w:r>
              <w:rPr>
                <w:rFonts w:ascii="Calibri" w:hAnsi="Calibri"/>
                <w:color w:val="475569"/>
                <w:sz w:val="17"/>
              </w:rPr>
              <w:t>This simulation requires NO downloaded PNG/JPG image assets. Teams shall rely exclusively on Material Design 3 components, XML shapes/colors (Red/Orange/Green borders), Vector Drawables, and built-in Android system icons (android.R.drawable.*).</w:t>
            </w:r>
          </w:p>
        </w:tc>
      </w:tr>
    </w:tbl>
    <w:p>
      <w:pPr>
        <w:spacing w:after="40"/>
      </w:pPr>
    </w:p>
    <w:tbl>
      <w:tblPr>
        <w:tblW w:type="auto" w:w="0"/>
        <w:jc w:val="center"/>
        <w:tblLook w:firstColumn="1" w:firstRow="1" w:lastColumn="0" w:lastRow="0" w:noHBand="0" w:noVBand="1" w:val="04A0"/>
      </w:tblPr>
      <w:tblGrid>
        <w:gridCol w:w="3456"/>
        <w:gridCol w:w="3456"/>
        <w:gridCol w:w="3456"/>
      </w:tblGrid>
      <w:tr>
        <w:tc>
          <w:tcPr>
            <w:tcW w:type="dxa" w:w="3168"/>
            <w:shd w:fill="0F172A"/>
            <w:tcMar>
              <w:top w:w="40" w:type="dxa"/>
              <w:bottom w:w="40" w:type="dxa"/>
              <w:left w:w="40" w:type="dxa"/>
              <w:right w:w="40" w:type="dxa"/>
            </w:tcMar>
            <w:tcBorders>
              <w:top w:val="none"/>
              <w:left w:val="none"/>
              <w:bottom w:val="none"/>
              <w:right w:val="none"/>
            </w:tcBorders>
          </w:tcPr>
          <w:p>
            <w:pPr>
              <w:jc w:val="center"/>
            </w:pPr>
            <w:r>
              <w:rPr>
                <w:rFonts w:ascii="Segoe UI Symbol" w:hAnsi="Segoe UI Symbol"/>
                <w:color w:val="94A3B8"/>
                <w:sz w:val="17"/>
              </w:rPr>
              <w:t>❖ ❖ ❖ ❖ ❖ ❖ ❖ ❖ ❖</w:t>
            </w:r>
          </w:p>
        </w:tc>
        <w:tc>
          <w:tcPr>
            <w:tcW w:type="dxa" w:w="3888"/>
            <w:shd w:fill="0F172A"/>
            <w:tcMar>
              <w:top w:w="40" w:type="dxa"/>
              <w:bottom w:w="40" w:type="dxa"/>
              <w:left w:w="40" w:type="dxa"/>
              <w:right w:w="40" w:type="dxa"/>
            </w:tcMar>
            <w:tcBorders>
              <w:top w:val="none"/>
              <w:left w:val="none"/>
              <w:bottom w:val="none"/>
              <w:right w:val="none"/>
            </w:tcBorders>
          </w:tcPr>
          <w:p>
            <w:pPr>
              <w:jc w:val="center"/>
            </w:pPr>
            <w:r>
              <w:rPr>
                <w:rFonts w:ascii="Calibri" w:hAnsi="Calibri"/>
                <w:b/>
                <w:color w:val="FFFFFF"/>
                <w:sz w:val="19"/>
              </w:rPr>
              <w:t>✦  C O D E F E S T   2 0 2 6  ✦</w:t>
            </w:r>
          </w:p>
        </w:tc>
        <w:tc>
          <w:tcPr>
            <w:tcW w:type="dxa" w:w="3168"/>
            <w:shd w:fill="0F172A"/>
            <w:tcMar>
              <w:top w:w="40" w:type="dxa"/>
              <w:bottom w:w="40" w:type="dxa"/>
              <w:left w:w="40" w:type="dxa"/>
              <w:right w:w="40" w:type="dxa"/>
            </w:tcMar>
            <w:tcBorders>
              <w:top w:val="none"/>
              <w:left w:val="none"/>
              <w:bottom w:val="none"/>
              <w:right w:val="none"/>
            </w:tcBorders>
          </w:tcPr>
          <w:p>
            <w:pPr>
              <w:jc w:val="center"/>
            </w:pPr>
            <w:r>
              <w:rPr>
                <w:rFonts w:ascii="Segoe UI Symbol" w:hAnsi="Segoe UI Symbol"/>
                <w:color w:val="94A3B8"/>
                <w:sz w:val="17"/>
              </w:rPr>
              <w:t>❖ ❖ ❖ ❖ ❖ ❖ ❖ ❖ ❖</w:t>
            </w:r>
          </w:p>
        </w:tc>
      </w:tr>
    </w:tbl>
    <w:p>
      <w:pPr>
        <w:spacing w:after="40"/>
      </w:pP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