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360"/>
        <w:gridCol w:w="3360"/>
        <w:gridCol w:w="3360"/>
      </w:tblGrid>
      <w:tr>
        <w:tc>
          <w:tcPr>
            <w:tcW w:type="dxa" w:w="3312"/>
            <w:shd w:fill="0F172A"/>
            <w:tcMar>
              <w:top w:w="35" w:type="dxa"/>
              <w:bottom w:w="35" w:type="dxa"/>
              <w:left w:w="60" w:type="dxa"/>
              <w:right w:w="60" w:type="dxa"/>
            </w:tcMar>
          </w:tcPr>
          <w:p>
            <w:pPr>
              <w:spacing w:before="0" w:after="0"/>
              <w:jc w:val="center"/>
            </w:pPr>
            <w:r>
              <w:rPr>
                <w:b/>
                <w:color w:val="E2E8F0"/>
                <w:sz w:val="15"/>
              </w:rPr>
              <w:t>❖ ❖ ❖ ❖ ❖ ❖ ❖ ❖ ❖</w:t>
            </w:r>
          </w:p>
        </w:tc>
        <w:tc>
          <w:tcPr>
            <w:tcW w:type="dxa" w:w="3456"/>
            <w:shd w:fill="1E3A8A"/>
            <w:tcMar>
              <w:top w:w="35" w:type="dxa"/>
              <w:bottom w:w="35" w:type="dxa"/>
              <w:left w:w="60" w:type="dxa"/>
              <w:right w:w="60" w:type="dxa"/>
            </w:tcMar>
          </w:tcPr>
          <w:p>
            <w:pPr>
              <w:spacing w:before="0" w:after="0"/>
              <w:jc w:val="center"/>
            </w:pPr>
            <w:r>
              <w:rPr>
                <w:b/>
                <w:color w:val="E2E8F0"/>
                <w:sz w:val="15"/>
              </w:rPr>
              <w:t>✦  C O D E F E S T   2 0 2 6  ✦</w:t>
            </w:r>
          </w:p>
        </w:tc>
        <w:tc>
          <w:tcPr>
            <w:tcW w:type="dxa" w:w="3312"/>
            <w:shd w:fill="0F766E"/>
            <w:tcMar>
              <w:top w:w="35" w:type="dxa"/>
              <w:bottom w:w="35" w:type="dxa"/>
              <w:left w:w="60" w:type="dxa"/>
              <w:right w:w="60" w:type="dxa"/>
            </w:tcMar>
          </w:tcPr>
          <w:p>
            <w:pPr>
              <w:spacing w:before="0" w:after="0"/>
              <w:jc w:val="center"/>
            </w:pPr>
            <w:r>
              <w:rPr>
                <w:b/>
                <w:color w:val="E2E8F0"/>
                <w:sz w:val="15"/>
              </w:rPr>
              <w:t>❖ ❖ ❖ ❖ ❖ ❖ ❖ ❖ ❖</w:t>
            </w:r>
          </w:p>
        </w:tc>
      </w:tr>
    </w:tbl>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360"/>
        <w:gridCol w:w="3360"/>
        <w:gridCol w:w="3360"/>
      </w:tblGrid>
      <w:tr>
        <w:tc>
          <w:tcPr>
            <w:tcW w:type="dxa" w:w="1728"/>
            <w:vAlign w:val="center"/>
            <w:tcMar>
              <w:top w:w="80" w:type="dxa"/>
              <w:bottom w:w="40" w:type="dxa"/>
              <w:left w:w="40" w:type="dxa"/>
              <w:right w:w="40" w:type="dxa"/>
            </w:tcMar>
          </w:tcPr>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ic_storm_banner.png"/>
                          <pic:cNvPicPr/>
                        </pic:nvPicPr>
                        <pic:blipFill>
                          <a:blip r:embed="rId9"/>
                          <a:stretch>
                            <a:fillRect/>
                          </a:stretch>
                        </pic:blipFill>
                        <pic:spPr>
                          <a:xfrm>
                            <a:off x="0" y="0"/>
                            <a:ext cx="777240" cy="777240"/>
                          </a:xfrm>
                          <a:prstGeom prst="rect"/>
                        </pic:spPr>
                      </pic:pic>
                    </a:graphicData>
                  </a:graphic>
                </wp:inline>
              </w:drawing>
            </w:r>
          </w:p>
        </w:tc>
        <w:tc>
          <w:tcPr>
            <w:tcW w:type="dxa" w:w="6624"/>
            <w:vAlign w:val="center"/>
            <w:tcMar>
              <w:top w:w="80" w:type="dxa"/>
              <w:bottom w:w="40" w:type="dxa"/>
              <w:left w:w="40" w:type="dxa"/>
              <w:right w:w="40" w:type="dxa"/>
            </w:tcMar>
          </w:tcPr>
          <w:p>
            <w:pPr>
              <w:jc w:val="center"/>
            </w:pPr>
            <w:r>
              <w:rPr>
                <w:color w:val="334155"/>
                <w:sz w:val="22"/>
              </w:rPr>
              <w:t>STI College San Pablo</w:t>
              <w:br/>
            </w:r>
            <w:r>
              <w:rPr>
                <w:b/>
                <w:color w:val="0F172A"/>
                <w:sz w:val="27"/>
              </w:rPr>
              <w:t>Information Technology Department</w:t>
              <w:br/>
            </w:r>
            <w:r>
              <w:rPr>
                <w:b/>
                <w:color w:val="0F766E"/>
                <w:sz w:val="19"/>
              </w:rPr>
              <w:t>NEXI Network | Club of Programmers</w:t>
              <w:br/>
              <w:br/>
            </w:r>
            <w:r>
              <w:rPr>
                <w:b/>
                <w:color w:val="1E3A8A"/>
                <w:sz w:val="32"/>
              </w:rPr>
              <w:t>CODEFEST 2026: Hack Resiliency</w:t>
              <w:br/>
            </w:r>
            <w:r>
              <w:rPr>
                <w:b/>
                <w:color w:val="334155"/>
                <w:sz w:val="21"/>
              </w:rPr>
              <w:t>Local Level Hack Day</w:t>
            </w:r>
          </w:p>
        </w:tc>
        <w:tc>
          <w:tcPr>
            <w:tcW w:type="dxa" w:w="1728"/>
            <w:vAlign w:val="center"/>
            <w:tcMar>
              <w:top w:w="80" w:type="dxa"/>
              <w:bottom w:w="40" w:type="dxa"/>
              <w:left w:w="40" w:type="dxa"/>
              <w:right w:w="40" w:type="dxa"/>
            </w:tcMar>
          </w:tcPr>
          <w:p>
            <w:pPr>
              <w:jc w:val="center"/>
            </w:pPr>
            <w:r>
              <w:drawing>
                <wp:inline xmlns:a="http://schemas.openxmlformats.org/drawingml/2006/main" xmlns:pic="http://schemas.openxmlformats.org/drawingml/2006/picture">
                  <wp:extent cx="777240" cy="777240"/>
                  <wp:docPr id="2" name="Picture 2"/>
                  <wp:cNvGraphicFramePr>
                    <a:graphicFrameLocks noChangeAspect="1"/>
                  </wp:cNvGraphicFramePr>
                  <a:graphic>
                    <a:graphicData uri="http://schemas.openxmlformats.org/drawingml/2006/picture">
                      <pic:pic>
                        <pic:nvPicPr>
                          <pic:cNvPr id="0" name="rank_4_hero.png"/>
                          <pic:cNvPicPr/>
                        </pic:nvPicPr>
                        <pic:blipFill>
                          <a:blip r:embed="rId10"/>
                          <a:stretch>
                            <a:fillRect/>
                          </a:stretch>
                        </pic:blipFill>
                        <pic:spPr>
                          <a:xfrm>
                            <a:off x="0" y="0"/>
                            <a:ext cx="777240" cy="777240"/>
                          </a:xfrm>
                          <a:prstGeom prst="rect"/>
                        </pic:spPr>
                      </pic:pic>
                    </a:graphicData>
                  </a:graphic>
                </wp:inline>
              </w:drawing>
            </w:r>
          </w:p>
        </w:tc>
      </w:tr>
    </w:tbl>
    <w:p>
      <w:pPr>
        <w:spacing w:before="200" w:after="60"/>
        <w:pBdr>
          <w:bottom w:val="single" w:sz="8" w:space="2" w:color="1E3A8A"/>
        </w:pBdr>
      </w:pPr>
      <w:r>
        <w:rPr>
          <w:b/>
          <w:color w:val="0F172A"/>
          <w:sz w:val="24"/>
        </w:rPr>
        <w:t>Local Competition</w:t>
      </w:r>
    </w:p>
    <w:p>
      <w:pPr>
        <w:spacing w:after="120"/>
      </w:pPr>
      <w:r>
        <w:t>CODEFEST is a team competition that challenges students' skills in critical thinking, app designing, and communication as they develop and pitch innovative Android mobile applications that would address a given business case. Competing teams are required to solve a business case by developing a mobile application within a certain time frame.</w:t>
      </w:r>
    </w:p>
    <w:p>
      <w:pPr>
        <w:spacing w:before="80" w:after="40"/>
      </w:pPr>
      <w:r>
        <w:rPr>
          <w:b/>
          <w:color w:val="0F172A"/>
          <w:sz w:val="22"/>
        </w:rPr>
        <w:t>Competition Requirements</w:t>
      </w:r>
    </w:p>
    <w:p>
      <w:pPr>
        <w:spacing w:after="40"/>
      </w:pPr>
      <w:r>
        <w:t>Each team shall:</w:t>
      </w:r>
    </w:p>
    <w:p>
      <w:pPr>
        <w:spacing w:before="30" w:after="30"/>
        <w:ind w:left="432"/>
      </w:pPr>
      <w:r>
        <w:rPr>
          <w:b/>
          <w:color w:val="0F172A"/>
          <w:sz w:val="20"/>
        </w:rPr>
        <w:t xml:space="preserve">•  </w:t>
      </w:r>
      <w:r>
        <w:rPr>
          <w:color w:val="1E293B"/>
          <w:sz w:val="20"/>
        </w:rPr>
        <w:t xml:space="preserve">Develop a working application that is compliant with the specifications provided within the allotted </w:t>
      </w:r>
      <w:r>
        <w:rPr>
          <w:b/>
        </w:rPr>
        <w:t>six (6) hours;</w:t>
      </w:r>
    </w:p>
    <w:p>
      <w:pPr>
        <w:spacing w:before="30" w:after="30"/>
        <w:ind w:left="432"/>
      </w:pPr>
      <w:r>
        <w:rPr>
          <w:b/>
          <w:color w:val="0F172A"/>
          <w:sz w:val="20"/>
        </w:rPr>
        <w:t xml:space="preserve">•  </w:t>
      </w:r>
      <w:r>
        <w:rPr>
          <w:color w:val="1E293B"/>
          <w:sz w:val="20"/>
        </w:rPr>
        <w:t>Only use the native Android platform;</w:t>
      </w:r>
    </w:p>
    <w:p>
      <w:pPr>
        <w:spacing w:before="30" w:after="30"/>
        <w:ind w:left="432"/>
      </w:pPr>
      <w:r>
        <w:rPr>
          <w:b/>
          <w:color w:val="0F172A"/>
          <w:sz w:val="20"/>
        </w:rPr>
        <w:t xml:space="preserve">•  </w:t>
      </w:r>
      <w:r>
        <w:rPr>
          <w:color w:val="1E293B"/>
          <w:sz w:val="20"/>
        </w:rPr>
        <w:t>Ensure that the size of the application to be developed does NOT EXCEED 3GB; and</w:t>
      </w:r>
    </w:p>
    <w:p>
      <w:pPr>
        <w:spacing w:before="30" w:after="30"/>
        <w:ind w:left="432"/>
      </w:pPr>
      <w:r>
        <w:rPr>
          <w:b/>
          <w:color w:val="0F172A"/>
          <w:sz w:val="20"/>
        </w:rPr>
        <w:t xml:space="preserve">•  </w:t>
      </w:r>
      <w:r>
        <w:rPr>
          <w:color w:val="1E293B"/>
          <w:sz w:val="20"/>
        </w:rPr>
        <w:t>Only the team captain shall be the official representative of the team.</w:t>
      </w:r>
    </w:p>
    <w:p>
      <w:pPr>
        <w:spacing w:before="200" w:after="60"/>
        <w:pBdr>
          <w:bottom w:val="single" w:sz="8" w:space="2" w:color="1E3A8A"/>
        </w:pBdr>
      </w:pPr>
      <w:r>
        <w:rPr>
          <w:b/>
          <w:color w:val="0F172A"/>
          <w:sz w:val="24"/>
        </w:rPr>
        <w:t>Computing Environment</w:t>
      </w:r>
    </w:p>
    <w:p>
      <w:pPr>
        <w:spacing w:after="100"/>
      </w:pPr>
      <w:r>
        <w:t>Each team will be provided with two (2) workstations. They shall use the emulators installed on each workstation to test and present their respective applications. The following are the development specifications and hardware:</w:t>
      </w:r>
    </w:p>
    <w:tbl>
      <w:tblPr>
        <w:tblW w:type="auto" w:w="0"/>
        <w:jc w:val="center"/>
        <w:tblLook w:firstColumn="1" w:firstRow="1" w:lastColumn="0" w:lastRow="0" w:noHBand="0" w:noVBand="1" w:val="04A0"/>
        <w:tblBorders>
          <w:top w:val="single" w:sz="6" w:space="0" w:color="64748B"/>
          <w:left w:val="single" w:sz="6" w:space="0" w:color="64748B"/>
          <w:bottom w:val="single" w:sz="6" w:space="0" w:color="64748B"/>
          <w:right w:val="single" w:sz="6" w:space="0" w:color="64748B"/>
          <w:insideH w:val="single" w:sz="6" w:space="0" w:color="64748B"/>
          <w:insideV w:val="single" w:sz="6" w:space="0" w:color="64748B"/>
        </w:tblBorders>
      </w:tblPr>
      <w:tblGrid>
        <w:gridCol w:w="5040"/>
        <w:gridCol w:w="5040"/>
      </w:tblGrid>
      <w:tr>
        <w:tc>
          <w:tcPr>
            <w:tcW w:type="dxa" w:w="4752"/>
            <w:tcMar>
              <w:top w:w="55" w:type="dxa"/>
              <w:bottom w:w="55" w:type="dxa"/>
              <w:left w:w="110" w:type="dxa"/>
              <w:right w:w="110" w:type="dxa"/>
            </w:tcMar>
            <w:shd w:fill="F1F5F9"/>
          </w:tcPr>
          <w:p>
            <w:r>
              <w:rPr>
                <w:b/>
                <w:sz w:val="19"/>
              </w:rPr>
              <w:t>Workstation Operating System</w:t>
            </w:r>
          </w:p>
        </w:tc>
        <w:tc>
          <w:tcPr>
            <w:tcW w:type="dxa" w:w="5328"/>
            <w:tcMar>
              <w:top w:w="55" w:type="dxa"/>
              <w:bottom w:w="55" w:type="dxa"/>
              <w:left w:w="110" w:type="dxa"/>
              <w:right w:w="110" w:type="dxa"/>
            </w:tcMar>
            <w:shd w:fill="F8FAFC"/>
          </w:tcPr>
          <w:p>
            <w:r>
              <w:rPr>
                <w:sz w:val="19"/>
              </w:rPr>
              <w:t>Windows 10 (64-bit)</w:t>
            </w:r>
          </w:p>
        </w:tc>
      </w:tr>
      <w:tr>
        <w:tc>
          <w:tcPr>
            <w:tcW w:type="dxa" w:w="4752"/>
            <w:tcMar>
              <w:top w:w="55" w:type="dxa"/>
              <w:bottom w:w="55" w:type="dxa"/>
              <w:left w:w="110" w:type="dxa"/>
              <w:right w:w="110" w:type="dxa"/>
            </w:tcMar>
          </w:tcPr>
          <w:p>
            <w:r>
              <w:rPr>
                <w:b/>
                <w:sz w:val="19"/>
              </w:rPr>
              <w:t>Android Operating System</w:t>
            </w:r>
          </w:p>
        </w:tc>
        <w:tc>
          <w:tcPr>
            <w:tcW w:type="dxa" w:w="5328"/>
            <w:tcMar>
              <w:top w:w="55" w:type="dxa"/>
              <w:bottom w:w="55" w:type="dxa"/>
              <w:left w:w="110" w:type="dxa"/>
              <w:right w:w="110" w:type="dxa"/>
            </w:tcMar>
          </w:tcPr>
          <w:p>
            <w:r>
              <w:rPr>
                <w:sz w:val="19"/>
              </w:rPr>
              <w:t>Android 7.0 (Nougat)</w:t>
            </w:r>
          </w:p>
        </w:tc>
      </w:tr>
      <w:tr>
        <w:tc>
          <w:tcPr>
            <w:tcW w:type="dxa" w:w="4752"/>
            <w:tcMar>
              <w:top w:w="55" w:type="dxa"/>
              <w:bottom w:w="55" w:type="dxa"/>
              <w:left w:w="110" w:type="dxa"/>
              <w:right w:w="110" w:type="dxa"/>
            </w:tcMar>
            <w:shd w:fill="F1F5F9"/>
          </w:tcPr>
          <w:p>
            <w:r>
              <w:rPr>
                <w:b/>
                <w:sz w:val="19"/>
              </w:rPr>
              <w:t>Integrated Development Environment</w:t>
            </w:r>
          </w:p>
        </w:tc>
        <w:tc>
          <w:tcPr>
            <w:tcW w:type="dxa" w:w="5328"/>
            <w:tcMar>
              <w:top w:w="55" w:type="dxa"/>
              <w:bottom w:w="55" w:type="dxa"/>
              <w:left w:w="110" w:type="dxa"/>
              <w:right w:w="110" w:type="dxa"/>
            </w:tcMar>
            <w:shd w:fill="F8FAFC"/>
          </w:tcPr>
          <w:p>
            <w:r>
              <w:rPr>
                <w:sz w:val="19"/>
              </w:rPr>
              <w:t>Android Studio 2.2.3 (or newer)</w:t>
            </w:r>
          </w:p>
        </w:tc>
      </w:tr>
      <w:tr>
        <w:tc>
          <w:tcPr>
            <w:tcW w:type="dxa" w:w="4752"/>
            <w:tcMar>
              <w:top w:w="55" w:type="dxa"/>
              <w:bottom w:w="55" w:type="dxa"/>
              <w:left w:w="110" w:type="dxa"/>
              <w:right w:w="110" w:type="dxa"/>
            </w:tcMar>
          </w:tcPr>
          <w:p>
            <w:r>
              <w:rPr>
                <w:b/>
                <w:sz w:val="19"/>
              </w:rPr>
              <w:t>Programming Language</w:t>
            </w:r>
          </w:p>
        </w:tc>
        <w:tc>
          <w:tcPr>
            <w:tcW w:type="dxa" w:w="5328"/>
            <w:tcMar>
              <w:top w:w="55" w:type="dxa"/>
              <w:bottom w:w="55" w:type="dxa"/>
              <w:left w:w="110" w:type="dxa"/>
              <w:right w:w="110" w:type="dxa"/>
            </w:tcMar>
          </w:tcPr>
          <w:p>
            <w:r>
              <w:rPr>
                <w:sz w:val="19"/>
              </w:rPr>
              <w:t>Java (JDK 21) or Kotlin</w:t>
            </w:r>
          </w:p>
        </w:tc>
      </w:tr>
      <w:tr>
        <w:tc>
          <w:tcPr>
            <w:tcW w:type="dxa" w:w="4752"/>
            <w:tcMar>
              <w:top w:w="55" w:type="dxa"/>
              <w:bottom w:w="55" w:type="dxa"/>
              <w:left w:w="110" w:type="dxa"/>
              <w:right w:w="110" w:type="dxa"/>
            </w:tcMar>
            <w:shd w:fill="F1F5F9"/>
          </w:tcPr>
          <w:p>
            <w:r>
              <w:rPr>
                <w:b/>
                <w:sz w:val="19"/>
              </w:rPr>
              <w:t>Application Display Size</w:t>
            </w:r>
          </w:p>
        </w:tc>
        <w:tc>
          <w:tcPr>
            <w:tcW w:type="dxa" w:w="5328"/>
            <w:tcMar>
              <w:top w:w="55" w:type="dxa"/>
              <w:bottom w:w="55" w:type="dxa"/>
              <w:left w:w="110" w:type="dxa"/>
              <w:right w:w="110" w:type="dxa"/>
            </w:tcMar>
            <w:shd w:fill="F8FAFC"/>
          </w:tcPr>
          <w:p>
            <w:r>
              <w:rPr>
                <w:sz w:val="19"/>
              </w:rPr>
              <w:t>1080 x 2400 pixels</w:t>
            </w:r>
          </w:p>
        </w:tc>
      </w:tr>
    </w:tbl>
    <w:p>
      <w:pPr>
        <w:spacing w:before="200" w:after="60"/>
        <w:pBdr>
          <w:bottom w:val="single" w:sz="8" w:space="2" w:color="1E3A8A"/>
        </w:pBdr>
      </w:pPr>
      <w:r>
        <w:rPr>
          <w:b/>
          <w:color w:val="0F172A"/>
          <w:sz w:val="24"/>
        </w:rPr>
        <w:t>Evaluation Criteria</w:t>
      </w:r>
    </w:p>
    <w:p>
      <w:pPr>
        <w:spacing w:after="100"/>
      </w:pPr>
      <w:r>
        <w:t>Functional mobile applications will be evaluated based on the following metrics:</w:t>
      </w:r>
    </w:p>
    <w:tbl>
      <w:tblPr>
        <w:tblW w:type="auto" w:w="0"/>
        <w:jc w:val="center"/>
        <w:tblLook w:firstColumn="1" w:firstRow="1" w:lastColumn="0" w:lastRow="0" w:noHBand="0" w:noVBand="1" w:val="04A0"/>
        <w:tblBorders>
          <w:top w:val="single" w:sz="6" w:space="0" w:color="64748B"/>
          <w:left w:val="single" w:sz="6" w:space="0" w:color="64748B"/>
          <w:bottom w:val="single" w:sz="6" w:space="0" w:color="64748B"/>
          <w:right w:val="single" w:sz="6" w:space="0" w:color="64748B"/>
          <w:insideH w:val="single" w:sz="6" w:space="0" w:color="64748B"/>
          <w:insideV w:val="single" w:sz="6" w:space="0" w:color="64748B"/>
        </w:tblBorders>
      </w:tblPr>
      <w:tblGrid>
        <w:gridCol w:w="5040"/>
        <w:gridCol w:w="5040"/>
      </w:tblGrid>
      <w:tr>
        <w:tc>
          <w:tcPr>
            <w:tcW w:type="dxa" w:w="8064"/>
            <w:tcMar>
              <w:top w:w="60" w:type="dxa"/>
              <w:bottom w:w="60" w:type="dxa"/>
              <w:left w:w="110" w:type="dxa"/>
              <w:right w:w="110" w:type="dxa"/>
            </w:tcMar>
            <w:shd w:fill="0F172A"/>
          </w:tcPr>
          <w:p>
            <w:r>
              <w:rPr>
                <w:b/>
                <w:color w:val="FFFFFF"/>
                <w:sz w:val="20"/>
              </w:rPr>
              <w:t>MOBILE APPLICATION</w:t>
            </w:r>
          </w:p>
        </w:tc>
        <w:tc>
          <w:tcPr>
            <w:tcW w:type="dxa" w:w="2016"/>
            <w:tcMar>
              <w:top w:w="60" w:type="dxa"/>
              <w:bottom w:w="60" w:type="dxa"/>
              <w:left w:w="110" w:type="dxa"/>
              <w:right w:w="110" w:type="dxa"/>
            </w:tcMar>
            <w:shd w:fill="0F172A"/>
          </w:tcPr>
          <w:p>
            <w:pPr>
              <w:jc w:val="center"/>
            </w:pPr>
            <w:r>
              <w:rPr>
                <w:b/>
                <w:color w:val="FACC15"/>
                <w:sz w:val="20"/>
              </w:rPr>
              <w:t>100 pts</w:t>
            </w:r>
          </w:p>
        </w:tc>
      </w:tr>
      <w:tr>
        <w:tc>
          <w:tcPr>
            <w:tcW w:type="dxa" w:w="8064"/>
            <w:tcMar>
              <w:top w:w="60" w:type="dxa"/>
              <w:bottom w:w="60" w:type="dxa"/>
              <w:left w:w="110" w:type="dxa"/>
              <w:right w:w="110" w:type="dxa"/>
            </w:tcMar>
          </w:tcPr>
          <w:p>
            <w:r>
              <w:rPr>
                <w:b/>
                <w:sz w:val="20"/>
              </w:rPr>
              <w:t>Functionality</w:t>
              <w:br/>
            </w:r>
            <w:r>
              <w:rPr>
                <w:sz w:val="19"/>
              </w:rPr>
              <w:t>Completeness and correctness of the functions and features of the app, as well as the usability of the mobile application.</w:t>
            </w:r>
          </w:p>
        </w:tc>
        <w:tc>
          <w:tcPr>
            <w:tcW w:type="dxa" w:w="2016"/>
            <w:tcMar>
              <w:top w:w="60" w:type="dxa"/>
              <w:bottom w:w="60" w:type="dxa"/>
              <w:left w:w="110" w:type="dxa"/>
              <w:right w:w="110" w:type="dxa"/>
            </w:tcMar>
          </w:tcPr>
          <w:p>
            <w:pPr>
              <w:jc w:val="center"/>
            </w:pPr>
            <w:r>
              <w:rPr>
                <w:b/>
                <w:sz w:val="20"/>
              </w:rPr>
              <w:t>40 pts</w:t>
            </w:r>
          </w:p>
        </w:tc>
      </w:tr>
      <w:tr>
        <w:tc>
          <w:tcPr>
            <w:tcW w:type="dxa" w:w="8064"/>
            <w:tcMar>
              <w:top w:w="60" w:type="dxa"/>
              <w:bottom w:w="60" w:type="dxa"/>
              <w:left w:w="110" w:type="dxa"/>
              <w:right w:w="110" w:type="dxa"/>
            </w:tcMar>
            <w:shd w:fill="F8FAFC"/>
          </w:tcPr>
          <w:p>
            <w:r>
              <w:rPr>
                <w:b/>
                <w:sz w:val="20"/>
              </w:rPr>
              <w:t>General Appeal</w:t>
              <w:br/>
            </w:r>
            <w:r>
              <w:rPr>
                <w:sz w:val="19"/>
              </w:rPr>
              <w:t>Quality of the user experience, appeal to the target audience, look of the design, and excitement about the app.</w:t>
            </w:r>
          </w:p>
        </w:tc>
        <w:tc>
          <w:tcPr>
            <w:tcW w:type="dxa" w:w="2016"/>
            <w:tcMar>
              <w:top w:w="60" w:type="dxa"/>
              <w:bottom w:w="60" w:type="dxa"/>
              <w:left w:w="110" w:type="dxa"/>
              <w:right w:w="110" w:type="dxa"/>
            </w:tcMar>
            <w:shd w:fill="F8FAFC"/>
          </w:tcPr>
          <w:p>
            <w:pPr>
              <w:jc w:val="center"/>
            </w:pPr>
            <w:r>
              <w:rPr>
                <w:b/>
                <w:sz w:val="20"/>
              </w:rPr>
              <w:t>35 pts</w:t>
            </w:r>
          </w:p>
        </w:tc>
      </w:tr>
      <w:tr>
        <w:tc>
          <w:tcPr>
            <w:tcW w:type="dxa" w:w="8064"/>
            <w:tcMar>
              <w:top w:w="60" w:type="dxa"/>
              <w:bottom w:w="60" w:type="dxa"/>
              <w:left w:w="110" w:type="dxa"/>
              <w:right w:w="110" w:type="dxa"/>
            </w:tcMar>
          </w:tcPr>
          <w:p>
            <w:r>
              <w:rPr>
                <w:b/>
                <w:sz w:val="20"/>
              </w:rPr>
              <w:t>Performance</w:t>
              <w:br/>
            </w:r>
            <w:r>
              <w:rPr>
                <w:sz w:val="19"/>
              </w:rPr>
              <w:t>Speed of loading and reloading times of components and their interactions.</w:t>
            </w:r>
          </w:p>
        </w:tc>
        <w:tc>
          <w:tcPr>
            <w:tcW w:type="dxa" w:w="2016"/>
            <w:tcMar>
              <w:top w:w="60" w:type="dxa"/>
              <w:bottom w:w="60" w:type="dxa"/>
              <w:left w:w="110" w:type="dxa"/>
              <w:right w:w="110" w:type="dxa"/>
            </w:tcMar>
          </w:tcPr>
          <w:p>
            <w:pPr>
              <w:jc w:val="center"/>
            </w:pPr>
            <w:r>
              <w:rPr>
                <w:b/>
                <w:sz w:val="20"/>
              </w:rPr>
              <w:t>25 pts</w:t>
            </w:r>
          </w:p>
        </w:tc>
      </w:tr>
    </w:tbl>
    <w:p>
      <w:pPr>
        <w:spacing w:after="12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360"/>
        <w:gridCol w:w="3360"/>
        <w:gridCol w:w="3360"/>
      </w:tblGrid>
      <w:tr>
        <w:tc>
          <w:tcPr>
            <w:tcW w:type="dxa" w:w="3312"/>
            <w:shd w:fill="0F172A"/>
            <w:tcMar>
              <w:top w:w="35" w:type="dxa"/>
              <w:bottom w:w="35" w:type="dxa"/>
              <w:left w:w="60" w:type="dxa"/>
              <w:right w:w="60" w:type="dxa"/>
            </w:tcMar>
          </w:tcPr>
          <w:p>
            <w:pPr>
              <w:spacing w:before="0" w:after="0"/>
              <w:jc w:val="center"/>
            </w:pPr>
            <w:r>
              <w:rPr>
                <w:b/>
                <w:color w:val="E2E8F0"/>
                <w:sz w:val="15"/>
              </w:rPr>
              <w:t>❖ ❖ ❖ ❖ ❖ ❖ ❖ ❖ ❖</w:t>
            </w:r>
          </w:p>
        </w:tc>
        <w:tc>
          <w:tcPr>
            <w:tcW w:type="dxa" w:w="3456"/>
            <w:shd w:fill="1E3A8A"/>
            <w:tcMar>
              <w:top w:w="35" w:type="dxa"/>
              <w:bottom w:w="35" w:type="dxa"/>
              <w:left w:w="60" w:type="dxa"/>
              <w:right w:w="60" w:type="dxa"/>
            </w:tcMar>
          </w:tcPr>
          <w:p>
            <w:pPr>
              <w:spacing w:before="0" w:after="0"/>
              <w:jc w:val="center"/>
            </w:pPr>
            <w:r>
              <w:rPr>
                <w:b/>
                <w:color w:val="E2E8F0"/>
                <w:sz w:val="15"/>
              </w:rPr>
              <w:t>✦  C O D E F E S T   2 0 2 6  ✦</w:t>
            </w:r>
          </w:p>
        </w:tc>
        <w:tc>
          <w:tcPr>
            <w:tcW w:type="dxa" w:w="3312"/>
            <w:shd w:fill="0F766E"/>
            <w:tcMar>
              <w:top w:w="35" w:type="dxa"/>
              <w:bottom w:w="35" w:type="dxa"/>
              <w:left w:w="60" w:type="dxa"/>
              <w:right w:w="60" w:type="dxa"/>
            </w:tcMar>
          </w:tcPr>
          <w:p>
            <w:pPr>
              <w:spacing w:before="0" w:after="0"/>
              <w:jc w:val="center"/>
            </w:pPr>
            <w:r>
              <w:rPr>
                <w:b/>
                <w:color w:val="E2E8F0"/>
                <w:sz w:val="15"/>
              </w:rPr>
              <w:t>❖ ❖ ❖ ❖ ❖ ❖ ❖ ❖ ❖</w:t>
            </w:r>
          </w:p>
        </w:tc>
      </w:tr>
    </w:tbl>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360"/>
        <w:gridCol w:w="3360"/>
        <w:gridCol w:w="3360"/>
      </w:tblGrid>
      <w:tr>
        <w:tc>
          <w:tcPr>
            <w:tcW w:type="dxa" w:w="3312"/>
            <w:shd w:fill="0F172A"/>
            <w:tcMar>
              <w:top w:w="35" w:type="dxa"/>
              <w:bottom w:w="35" w:type="dxa"/>
              <w:left w:w="60" w:type="dxa"/>
              <w:right w:w="60" w:type="dxa"/>
            </w:tcMar>
          </w:tcPr>
          <w:p>
            <w:pPr>
              <w:spacing w:before="0" w:after="0"/>
              <w:jc w:val="center"/>
            </w:pPr>
            <w:r>
              <w:rPr>
                <w:b/>
                <w:color w:val="E2E8F0"/>
                <w:sz w:val="15"/>
              </w:rPr>
              <w:t>❖ ❖ ❖ ❖ ❖ ❖ ❖ ❖ ❖</w:t>
            </w:r>
          </w:p>
        </w:tc>
        <w:tc>
          <w:tcPr>
            <w:tcW w:type="dxa" w:w="3456"/>
            <w:shd w:fill="1E3A8A"/>
            <w:tcMar>
              <w:top w:w="35" w:type="dxa"/>
              <w:bottom w:w="35" w:type="dxa"/>
              <w:left w:w="60" w:type="dxa"/>
              <w:right w:w="60" w:type="dxa"/>
            </w:tcMar>
          </w:tcPr>
          <w:p>
            <w:pPr>
              <w:spacing w:before="0" w:after="0"/>
              <w:jc w:val="center"/>
            </w:pPr>
            <w:r>
              <w:rPr>
                <w:b/>
                <w:color w:val="E2E8F0"/>
                <w:sz w:val="15"/>
              </w:rPr>
              <w:t>✦  C O D E F E S T   2 0 2 6  ✦</w:t>
            </w:r>
          </w:p>
        </w:tc>
        <w:tc>
          <w:tcPr>
            <w:tcW w:type="dxa" w:w="3312"/>
            <w:shd w:fill="0F766E"/>
            <w:tcMar>
              <w:top w:w="35" w:type="dxa"/>
              <w:bottom w:w="35" w:type="dxa"/>
              <w:left w:w="60" w:type="dxa"/>
              <w:right w:w="60" w:type="dxa"/>
            </w:tcMar>
          </w:tcPr>
          <w:p>
            <w:pPr>
              <w:spacing w:before="0" w:after="0"/>
              <w:jc w:val="center"/>
            </w:pPr>
            <w:r>
              <w:rPr>
                <w:b/>
                <w:color w:val="E2E8F0"/>
                <w:sz w:val="15"/>
              </w:rPr>
              <w:t>❖ ❖ ❖ ❖ ❖ ❖ ❖ ❖ ❖</w:t>
            </w:r>
          </w:p>
        </w:tc>
      </w:tr>
    </w:tbl>
    <w:p>
      <w:pPr>
        <w:spacing w:before="200" w:after="60"/>
        <w:pBdr>
          <w:bottom w:val="single" w:sz="8" w:space="2" w:color="1E3A8A"/>
        </w:pBdr>
      </w:pPr>
      <w:r>
        <w:rPr>
          <w:b/>
          <w:color w:val="0F172A"/>
          <w:sz w:val="24"/>
        </w:rPr>
        <w:t>Challenge Overview</w:t>
      </w:r>
    </w:p>
    <w:p>
      <w:pPr>
        <w:spacing w:after="120"/>
      </w:pPr>
      <w:r>
        <w:t>A powerful storm is expected to hit the town of San Isidro. Residents must prepare for emergencies, track essential supplies, and locate designated evacuation centers even without a reliable network connection. Teams must develop a mobile-based full-stack offline preparedness application that transforms community readiness into an engaging series of missions. The system must support persistent storage and implement core CRUD features but is encouraged to innovate beyond the base system.</w:t>
      </w:r>
    </w:p>
    <w:p>
      <w:pPr>
        <w:spacing w:before="200" w:after="60"/>
        <w:pBdr>
          <w:bottom w:val="single" w:sz="8" w:space="2" w:color="1E3A8A"/>
        </w:pBdr>
      </w:pPr>
      <w:r>
        <w:rPr>
          <w:b/>
          <w:color w:val="0F172A"/>
          <w:sz w:val="24"/>
        </w:rPr>
        <w:t>Application Specifications (MVP)</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0080"/>
      </w:tblGrid>
      <w:tr>
        <w:tc>
          <w:tcPr>
            <w:tcW w:type="dxa" w:w="10080"/>
            <w:shd w:fill="F8FAFC"/>
            <w:tcMar>
              <w:top w:w="70" w:type="dxa"/>
              <w:bottom w:w="70" w:type="dxa"/>
              <w:left w:w="120" w:type="dxa"/>
              <w:right w:w="120" w:type="dxa"/>
            </w:tcMar>
          </w:tcPr>
          <w:p>
            <w:pPr>
              <w:jc w:val="center"/>
            </w:pPr>
            <w:r>
              <w:rPr>
                <w:b/>
                <w:color w:val="1E3A8A"/>
                <w:sz w:val="40"/>
              </w:rPr>
              <w:t>BayanQuest</w:t>
              <w:br/>
            </w:r>
            <w:r>
              <w:rPr>
                <w:b/>
                <w:i/>
                <w:color w:val="0F766E"/>
                <w:sz w:val="21"/>
              </w:rPr>
              <w:t>"Prepare Today, Survive Tomorrow"</w:t>
            </w:r>
          </w:p>
        </w:tc>
      </w:tr>
    </w:tbl>
    <w:p>
      <w:pPr>
        <w:spacing w:before="120" w:after="80"/>
      </w:pPr>
      <w:r>
        <w:t>The team is tasked to create a full-stack Community Preparedness Application, designed for offline disaster readiness and community safety. Aside from the graphical user interface (GUI), the application should be able to execute the following features along with persistent data:</w:t>
        <w:br/>
      </w:r>
      <w:r>
        <w:rPr>
          <w:b/>
          <w:color w:val="991B1B"/>
          <w:sz w:val="19"/>
        </w:rPr>
        <w:t>NOTE: These are just the base data and operations needed; feel free to add or upgrade based on your best discretion.</w:t>
      </w:r>
    </w:p>
    <w:p>
      <w:pPr>
        <w:spacing w:before="30" w:after="30"/>
        <w:ind w:left="0"/>
      </w:pPr>
      <w:r>
        <w:rPr>
          <w:b/>
          <w:color w:val="0F172A"/>
          <w:sz w:val="20"/>
        </w:rPr>
        <w:t>1.  Preparedness Missions &amp; Supply Checklist</w:t>
      </w:r>
    </w:p>
    <w:p>
      <w:pPr>
        <w:spacing w:before="30" w:after="30"/>
        <w:ind w:left="432"/>
      </w:pPr>
      <w:r>
        <w:rPr>
          <w:b/>
          <w:color w:val="0F172A"/>
          <w:sz w:val="20"/>
        </w:rPr>
        <w:t>a.  Add Mission / Supply Item</w:t>
      </w:r>
    </w:p>
    <w:p>
      <w:pPr>
        <w:spacing w:before="30" w:after="30"/>
        <w:ind w:left="864"/>
      </w:pPr>
      <w:r>
        <w:rPr>
          <w:b/>
          <w:color w:val="0F172A"/>
          <w:sz w:val="20"/>
        </w:rPr>
        <w:t xml:space="preserve">i.    </w:t>
      </w:r>
      <w:r>
        <w:rPr>
          <w:color w:val="1E293B"/>
          <w:sz w:val="20"/>
        </w:rPr>
        <w:t>Title (e.g., Prepare Go-Bag, Drinking Water, First-Aid Kit, Review Evacuation Route)</w:t>
      </w:r>
    </w:p>
    <w:p>
      <w:pPr>
        <w:spacing w:before="30" w:after="30"/>
        <w:ind w:left="864"/>
      </w:pPr>
      <w:r>
        <w:rPr>
          <w:b/>
          <w:color w:val="0F172A"/>
          <w:sz w:val="20"/>
        </w:rPr>
        <w:t xml:space="preserve">ii.   </w:t>
      </w:r>
      <w:r>
        <w:rPr>
          <w:color w:val="1E293B"/>
          <w:sz w:val="20"/>
        </w:rPr>
        <w:t>Category (Go-Bag Supply, Household Prep, Evacuation, Safety Guide)</w:t>
      </w:r>
    </w:p>
    <w:p>
      <w:pPr>
        <w:spacing w:before="30" w:after="30"/>
        <w:ind w:left="864"/>
      </w:pPr>
      <w:r>
        <w:rPr>
          <w:b/>
          <w:color w:val="0F172A"/>
          <w:sz w:val="20"/>
        </w:rPr>
        <w:t xml:space="preserve">iii.  </w:t>
      </w:r>
      <w:r>
        <w:rPr>
          <w:color w:val="1E293B"/>
          <w:sz w:val="20"/>
        </w:rPr>
        <w:t>XP Reward (e.g., 50, 75, 100)</w:t>
      </w:r>
    </w:p>
    <w:p>
      <w:pPr>
        <w:spacing w:before="30" w:after="30"/>
        <w:ind w:left="864"/>
      </w:pPr>
      <w:r>
        <w:rPr>
          <w:b/>
          <w:color w:val="0F172A"/>
          <w:sz w:val="20"/>
        </w:rPr>
        <w:t xml:space="preserve">iv.   </w:t>
      </w:r>
      <w:r>
        <w:rPr>
          <w:color w:val="1E293B"/>
          <w:sz w:val="20"/>
        </w:rPr>
        <w:t>Status (Pending, Completed)</w:t>
      </w:r>
    </w:p>
    <w:p>
      <w:pPr>
        <w:spacing w:before="30" w:after="30"/>
        <w:ind w:left="864"/>
      </w:pPr>
      <w:r>
        <w:rPr>
          <w:b/>
          <w:color w:val="0F172A"/>
          <w:sz w:val="20"/>
        </w:rPr>
        <w:t xml:space="preserve">v.    </w:t>
      </w:r>
      <w:r>
        <w:rPr>
          <w:color w:val="1E293B"/>
          <w:sz w:val="20"/>
        </w:rPr>
        <w:t>Date</w:t>
      </w:r>
    </w:p>
    <w:p>
      <w:pPr>
        <w:spacing w:before="30" w:after="30"/>
        <w:ind w:left="864"/>
      </w:pPr>
      <w:r>
        <w:rPr>
          <w:b/>
          <w:color w:val="0F172A"/>
          <w:sz w:val="20"/>
        </w:rPr>
        <w:t xml:space="preserve">vi.   </w:t>
      </w:r>
      <w:r>
        <w:rPr>
          <w:color w:val="1E293B"/>
          <w:sz w:val="20"/>
        </w:rPr>
        <w:t>Description / Action Notes</w:t>
      </w:r>
    </w:p>
    <w:p>
      <w:pPr>
        <w:spacing w:before="30" w:after="30"/>
        <w:ind w:left="432"/>
      </w:pPr>
      <w:r>
        <w:rPr>
          <w:b/>
          <w:color w:val="0F172A"/>
          <w:sz w:val="20"/>
        </w:rPr>
        <w:t>b.  View &amp; Filter Mission List</w:t>
      </w:r>
    </w:p>
    <w:p>
      <w:pPr>
        <w:spacing w:before="30" w:after="30"/>
        <w:ind w:left="432"/>
      </w:pPr>
      <w:r>
        <w:rPr>
          <w:b/>
          <w:color w:val="0F172A"/>
          <w:sz w:val="20"/>
        </w:rPr>
        <w:t>c.  Complete Mission (Completed items must visibly differ from Pending items)</w:t>
      </w:r>
    </w:p>
    <w:p>
      <w:pPr>
        <w:spacing w:before="30" w:after="30"/>
        <w:ind w:left="432"/>
      </w:pPr>
      <w:r>
        <w:rPr>
          <w:b/>
          <w:color w:val="0F172A"/>
          <w:sz w:val="20"/>
        </w:rPr>
        <w:t>d.  Edit / Delete Mission</w:t>
      </w:r>
    </w:p>
    <w:p>
      <w:pPr>
        <w:spacing w:before="30" w:after="30"/>
        <w:ind w:left="0"/>
      </w:pPr>
      <w:r>
        <w:rPr>
          <w:b/>
          <w:color w:val="0F172A"/>
          <w:sz w:val="20"/>
        </w:rPr>
        <w:t>2.  Community Resource Directory (Offline Directory)</w:t>
      </w:r>
    </w:p>
    <w:p>
      <w:pPr>
        <w:spacing w:before="30" w:after="30"/>
        <w:ind w:left="432"/>
      </w:pPr>
      <w:r>
        <w:rPr>
          <w:b/>
          <w:color w:val="0F172A"/>
          <w:sz w:val="20"/>
        </w:rPr>
        <w:t>a.  Add Resource</w:t>
      </w:r>
    </w:p>
    <w:p>
      <w:pPr>
        <w:spacing w:before="30" w:after="30"/>
        <w:ind w:left="864"/>
      </w:pPr>
      <w:r>
        <w:rPr>
          <w:b/>
          <w:color w:val="0F172A"/>
          <w:sz w:val="20"/>
        </w:rPr>
        <w:t xml:space="preserve">i.    </w:t>
      </w:r>
      <w:r>
        <w:rPr>
          <w:color w:val="1E293B"/>
          <w:sz w:val="20"/>
        </w:rPr>
        <w:t>Resource Name (e.g., San Isidro Central School Gym, District Hospital)</w:t>
      </w:r>
    </w:p>
    <w:p>
      <w:pPr>
        <w:spacing w:before="30" w:after="30"/>
        <w:ind w:left="864"/>
      </w:pPr>
      <w:r>
        <w:rPr>
          <w:b/>
          <w:color w:val="0F172A"/>
          <w:sz w:val="20"/>
        </w:rPr>
        <w:t xml:space="preserve">ii.   </w:t>
      </w:r>
      <w:r>
        <w:rPr>
          <w:color w:val="1E293B"/>
          <w:sz w:val="20"/>
        </w:rPr>
        <w:t>Category (Evacuation Center, Health Facility, Emergency Hotline, Relief Hub)</w:t>
      </w:r>
    </w:p>
    <w:p>
      <w:pPr>
        <w:spacing w:before="30" w:after="30"/>
        <w:ind w:left="864"/>
      </w:pPr>
      <w:r>
        <w:rPr>
          <w:b/>
          <w:color w:val="0F172A"/>
          <w:sz w:val="20"/>
        </w:rPr>
        <w:t xml:space="preserve">iii.  </w:t>
      </w:r>
      <w:r>
        <w:rPr>
          <w:color w:val="1E293B"/>
          <w:sz w:val="20"/>
        </w:rPr>
        <w:t>Contact Number</w:t>
      </w:r>
    </w:p>
    <w:p>
      <w:pPr>
        <w:spacing w:before="30" w:after="30"/>
        <w:ind w:left="864"/>
      </w:pPr>
      <w:r>
        <w:rPr>
          <w:b/>
          <w:color w:val="0F172A"/>
          <w:sz w:val="20"/>
        </w:rPr>
        <w:t xml:space="preserve">iv.   </w:t>
      </w:r>
      <w:r>
        <w:rPr>
          <w:color w:val="1E293B"/>
          <w:sz w:val="20"/>
        </w:rPr>
        <w:t>Address / Location</w:t>
      </w:r>
    </w:p>
    <w:p>
      <w:pPr>
        <w:spacing w:before="30" w:after="30"/>
        <w:ind w:left="864"/>
      </w:pPr>
      <w:r>
        <w:rPr>
          <w:b/>
          <w:color w:val="0F172A"/>
          <w:sz w:val="20"/>
        </w:rPr>
        <w:t xml:space="preserve">v.    </w:t>
      </w:r>
      <w:r>
        <w:rPr>
          <w:color w:val="1E293B"/>
          <w:sz w:val="20"/>
        </w:rPr>
        <w:t>Operating Status / Schedule</w:t>
      </w:r>
    </w:p>
    <w:p>
      <w:pPr>
        <w:spacing w:before="30" w:after="30"/>
        <w:ind w:left="864"/>
      </w:pPr>
      <w:r>
        <w:rPr>
          <w:b/>
          <w:color w:val="0F172A"/>
          <w:sz w:val="20"/>
        </w:rPr>
        <w:t xml:space="preserve">vi.   </w:t>
      </w:r>
      <w:r>
        <w:rPr>
          <w:color w:val="1E293B"/>
          <w:sz w:val="20"/>
        </w:rPr>
        <w:t>Remarks / Details</w:t>
      </w:r>
    </w:p>
    <w:p>
      <w:pPr>
        <w:spacing w:before="30" w:after="30"/>
        <w:ind w:left="432"/>
      </w:pPr>
      <w:r>
        <w:rPr>
          <w:b/>
          <w:color w:val="0F172A"/>
          <w:sz w:val="20"/>
        </w:rPr>
        <w:t>b.  Browse, Search &amp; Filter Resources</w:t>
      </w:r>
    </w:p>
    <w:p>
      <w:pPr>
        <w:spacing w:before="30" w:after="30"/>
        <w:ind w:left="432"/>
      </w:pPr>
      <w:r>
        <w:rPr>
          <w:b/>
          <w:color w:val="0F172A"/>
          <w:sz w:val="20"/>
        </w:rPr>
        <w:t>c.  Edit / Remove Resource from System</w:t>
      </w:r>
    </w:p>
    <w:p>
      <w:pPr>
        <w:spacing w:before="30" w:after="30"/>
        <w:ind w:left="0"/>
      </w:pPr>
      <w:r>
        <w:rPr>
          <w:b/>
          <w:color w:val="0F172A"/>
          <w:sz w:val="20"/>
        </w:rPr>
        <w:t>3.  Readiness Progress, XP Level &amp; Achievements</w:t>
      </w:r>
    </w:p>
    <w:p>
      <w:pPr>
        <w:spacing w:before="30" w:after="30"/>
        <w:ind w:left="432"/>
      </w:pPr>
      <w:r>
        <w:rPr>
          <w:b/>
          <w:color w:val="0F172A"/>
          <w:sz w:val="20"/>
        </w:rPr>
        <w:t>a.  Overall Preparedness Progress</w:t>
      </w:r>
    </w:p>
    <w:p>
      <w:pPr>
        <w:spacing w:before="30" w:after="30"/>
        <w:ind w:left="864"/>
      </w:pPr>
      <w:r>
        <w:rPr>
          <w:b/>
          <w:color w:val="0F172A"/>
          <w:sz w:val="20"/>
        </w:rPr>
        <w:t xml:space="preserve">i.    </w:t>
      </w:r>
      <w:r>
        <w:rPr>
          <w:color w:val="1E293B"/>
          <w:sz w:val="20"/>
        </w:rPr>
        <w:t>Completed Missions &amp; Prepared Go-Bag Supplies Count</w:t>
      </w:r>
    </w:p>
    <w:p>
      <w:pPr>
        <w:spacing w:before="30" w:after="30"/>
        <w:ind w:left="864"/>
      </w:pPr>
      <w:r>
        <w:rPr>
          <w:b/>
          <w:color w:val="0F172A"/>
          <w:sz w:val="20"/>
        </w:rPr>
        <w:t xml:space="preserve">ii.   </w:t>
      </w:r>
      <w:r>
        <w:rPr>
          <w:color w:val="1E293B"/>
          <w:sz w:val="20"/>
        </w:rPr>
        <w:t>Overall Readiness Percentage &amp; Progress Indicator</w:t>
      </w:r>
    </w:p>
    <w:p>
      <w:pPr>
        <w:spacing w:before="30" w:after="30"/>
        <w:ind w:left="432"/>
      </w:pPr>
      <w:r>
        <w:rPr>
          <w:b/>
          <w:color w:val="0F172A"/>
          <w:sz w:val="20"/>
        </w:rPr>
        <w:t>b.  XP &amp; Rank Progression (Awarded once per completed mission)</w:t>
      </w:r>
    </w:p>
    <w:p>
      <w:pPr>
        <w:spacing w:before="30" w:after="30"/>
        <w:ind w:left="864"/>
      </w:pPr>
      <w:r>
        <w:rPr>
          <w:b/>
          <w:color w:val="0F172A"/>
          <w:sz w:val="20"/>
        </w:rPr>
        <w:t xml:space="preserve">i.    </w:t>
      </w:r>
      <w:r>
        <w:rPr>
          <w:color w:val="1E293B"/>
          <w:sz w:val="20"/>
        </w:rPr>
        <w:t>Total XP Earned &amp; Level Progression</w:t>
      </w:r>
    </w:p>
    <w:p>
      <w:pPr>
        <w:spacing w:before="30" w:after="30"/>
        <w:ind w:left="864"/>
      </w:pPr>
      <w:r>
        <w:rPr>
          <w:b/>
          <w:color w:val="0F172A"/>
          <w:sz w:val="20"/>
        </w:rPr>
        <w:t xml:space="preserve">ii.   </w:t>
      </w:r>
      <w:r>
        <w:rPr>
          <w:color w:val="1E293B"/>
          <w:sz w:val="20"/>
        </w:rPr>
        <w:t>Current Rank (Citizen Scout, Barangay Responder, Storm Vanguard, Bayan Hero)</w:t>
      </w:r>
    </w:p>
    <w:p>
      <w:pPr>
        <w:spacing w:before="30" w:after="30"/>
        <w:ind w:left="432"/>
      </w:pPr>
      <w:r>
        <w:rPr>
          <w:b/>
          <w:color w:val="0F172A"/>
          <w:sz w:val="20"/>
        </w:rPr>
        <w:t>c.  Achievement Badges (Unlocked based on actual user progress)</w:t>
      </w:r>
    </w:p>
    <w:p>
      <w:pPr>
        <w:spacing w:before="30" w:after="30"/>
        <w:ind w:left="864"/>
      </w:pPr>
      <w:r>
        <w:rPr>
          <w:b/>
          <w:color w:val="0F172A"/>
          <w:sz w:val="20"/>
        </w:rPr>
        <w:t xml:space="preserve">i.    </w:t>
      </w:r>
      <w:r>
        <w:rPr>
          <w:color w:val="1E293B"/>
          <w:sz w:val="20"/>
        </w:rPr>
        <w:t>First Responder (Complete your first mission)</w:t>
      </w:r>
    </w:p>
    <w:p>
      <w:pPr>
        <w:spacing w:before="30" w:after="30"/>
        <w:ind w:left="864"/>
      </w:pPr>
      <w:r>
        <w:rPr>
          <w:b/>
          <w:color w:val="0F172A"/>
          <w:sz w:val="20"/>
        </w:rPr>
        <w:t xml:space="preserve">ii.   </w:t>
      </w:r>
      <w:r>
        <w:rPr>
          <w:color w:val="1E293B"/>
          <w:sz w:val="20"/>
        </w:rPr>
        <w:t>Go-Bag Ready (Complete at least 3 Go-Bag Supply items)</w:t>
      </w:r>
    </w:p>
    <w:p>
      <w:pPr>
        <w:spacing w:before="30" w:after="30"/>
        <w:ind w:left="864"/>
      </w:pPr>
      <w:r>
        <w:rPr>
          <w:b/>
          <w:color w:val="0F172A"/>
          <w:sz w:val="20"/>
        </w:rPr>
        <w:t xml:space="preserve">iii.  </w:t>
      </w:r>
      <w:r>
        <w:rPr>
          <w:color w:val="1E293B"/>
          <w:sz w:val="20"/>
        </w:rPr>
        <w:t>Prepared Citizen (Complete 4 missions or reach 50% readiness)</w:t>
      </w:r>
    </w:p>
    <w:p>
      <w:pPr>
        <w:spacing w:before="30" w:after="30"/>
        <w:ind w:left="864"/>
      </w:pPr>
      <w:r>
        <w:rPr>
          <w:b/>
          <w:color w:val="0F172A"/>
          <w:sz w:val="20"/>
        </w:rPr>
        <w:t xml:space="preserve">iv.   </w:t>
      </w:r>
      <w:r>
        <w:rPr>
          <w:color w:val="1E293B"/>
          <w:sz w:val="20"/>
        </w:rPr>
        <w:t>Quest Master (Complete all available missions)</w:t>
      </w:r>
    </w:p>
    <w:p>
      <w:pPr>
        <w:spacing w:before="30" w:after="30"/>
        <w:ind w:left="0"/>
      </w:pPr>
      <w:r>
        <w:rPr>
          <w:b/>
          <w:color w:val="0F172A"/>
          <w:sz w:val="20"/>
        </w:rPr>
        <w:t>4.  Innovation Layer (Developer Feature)</w:t>
      </w:r>
    </w:p>
    <w:p>
      <w:pPr>
        <w:spacing w:before="30" w:after="30"/>
        <w:ind w:left="432"/>
      </w:pPr>
      <w:r>
        <w:rPr>
          <w:b/>
          <w:color w:val="0F172A"/>
          <w:sz w:val="20"/>
        </w:rPr>
        <w:t xml:space="preserve">a.  </w:t>
      </w:r>
      <w:r>
        <w:rPr>
          <w:color w:val="1E293B"/>
          <w:sz w:val="20"/>
        </w:rPr>
        <w:t>Any feature coherent to the application while providing disaster preparedness innovation.</w:t>
      </w:r>
    </w:p>
    <w:p>
      <w:pPr>
        <w:spacing w:before="30" w:after="30"/>
        <w:ind w:left="432"/>
      </w:pPr>
      <w:r>
        <w:rPr>
          <w:b/>
          <w:color w:val="0F172A"/>
          <w:sz w:val="20"/>
        </w:rPr>
        <w:t xml:space="preserve">b.  </w:t>
      </w:r>
      <w:r>
        <w:rPr>
          <w:color w:val="1E293B"/>
          <w:sz w:val="20"/>
        </w:rPr>
        <w:t>CRUD operations are expected but not heavily required.</w:t>
      </w:r>
    </w:p>
    <w:p>
      <w:pPr>
        <w:spacing w:before="160" w:after="60"/>
      </w:pPr>
      <w:r>
        <w:rPr>
          <w:b/>
          <w:color w:val="0F172A"/>
          <w:sz w:val="19"/>
        </w:rPr>
        <w:t>Provided Asset Pack Preview (BayanQuest_Assets/):</w:t>
      </w:r>
    </w:p>
    <w:tbl>
      <w:tblPr>
        <w:tblW w:type="auto" w:w="0"/>
        <w:jc w:val="center"/>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1260"/>
        <w:gridCol w:w="1260"/>
        <w:gridCol w:w="1260"/>
        <w:gridCol w:w="1260"/>
        <w:gridCol w:w="1260"/>
        <w:gridCol w:w="1260"/>
        <w:gridCol w:w="1260"/>
        <w:gridCol w:w="1260"/>
      </w:tblGrid>
      <w:tr>
        <w:tc>
          <w:tcPr>
            <w:tcW w:type="dxa" w:w="1260"/>
            <w:shd w:fill="F8FAFC"/>
            <w:tcMar>
              <w:top w:w="40" w:type="dxa"/>
              <w:bottom w:w="20" w:type="dxa"/>
              <w:left w:w="20" w:type="dxa"/>
              <w:right w:w="20" w:type="dxa"/>
            </w:tcMar>
          </w:tcPr>
          <w:p>
            <w:pPr>
              <w:jc w:val="center"/>
            </w:pPr>
            <w:r>
              <w:drawing>
                <wp:inline xmlns:a="http://schemas.openxmlformats.org/drawingml/2006/main" xmlns:pic="http://schemas.openxmlformats.org/drawingml/2006/picture">
                  <wp:extent cx="530352" cy="530352"/>
                  <wp:docPr id="3" name="Picture 3"/>
                  <wp:cNvGraphicFramePr>
                    <a:graphicFrameLocks noChangeAspect="1"/>
                  </wp:cNvGraphicFramePr>
                  <a:graphic>
                    <a:graphicData uri="http://schemas.openxmlformats.org/drawingml/2006/picture">
                      <pic:pic>
                        <pic:nvPicPr>
                          <pic:cNvPr id="0" name="badge_first_responder.png"/>
                          <pic:cNvPicPr/>
                        </pic:nvPicPr>
                        <pic:blipFill>
                          <a:blip r:embed="rId11"/>
                          <a:stretch>
                            <a:fillRect/>
                          </a:stretch>
                        </pic:blipFill>
                        <pic:spPr>
                          <a:xfrm>
                            <a:off x="0" y="0"/>
                            <a:ext cx="530352" cy="530352"/>
                          </a:xfrm>
                          <a:prstGeom prst="rect"/>
                        </pic:spPr>
                      </pic:pic>
                    </a:graphicData>
                  </a:graphic>
                </wp:inline>
              </w:drawing>
            </w:r>
          </w:p>
        </w:tc>
        <w:tc>
          <w:tcPr>
            <w:tcW w:type="dxa" w:w="1260"/>
            <w:shd w:fill="F8FAFC"/>
            <w:tcMar>
              <w:top w:w="40" w:type="dxa"/>
              <w:bottom w:w="20" w:type="dxa"/>
              <w:left w:w="20" w:type="dxa"/>
              <w:right w:w="20" w:type="dxa"/>
            </w:tcMar>
          </w:tcPr>
          <w:p>
            <w:pPr>
              <w:jc w:val="center"/>
            </w:pPr>
            <w:r>
              <w:drawing>
                <wp:inline xmlns:a="http://schemas.openxmlformats.org/drawingml/2006/main" xmlns:pic="http://schemas.openxmlformats.org/drawingml/2006/picture">
                  <wp:extent cx="530352" cy="530352"/>
                  <wp:docPr id="4" name="Picture 4"/>
                  <wp:cNvGraphicFramePr>
                    <a:graphicFrameLocks noChangeAspect="1"/>
                  </wp:cNvGraphicFramePr>
                  <a:graphic>
                    <a:graphicData uri="http://schemas.openxmlformats.org/drawingml/2006/picture">
                      <pic:pic>
                        <pic:nvPicPr>
                          <pic:cNvPr id="0" name="badge_gobag_ready.png"/>
                          <pic:cNvPicPr/>
                        </pic:nvPicPr>
                        <pic:blipFill>
                          <a:blip r:embed="rId12"/>
                          <a:stretch>
                            <a:fillRect/>
                          </a:stretch>
                        </pic:blipFill>
                        <pic:spPr>
                          <a:xfrm>
                            <a:off x="0" y="0"/>
                            <a:ext cx="530352" cy="530352"/>
                          </a:xfrm>
                          <a:prstGeom prst="rect"/>
                        </pic:spPr>
                      </pic:pic>
                    </a:graphicData>
                  </a:graphic>
                </wp:inline>
              </w:drawing>
            </w:r>
          </w:p>
        </w:tc>
        <w:tc>
          <w:tcPr>
            <w:tcW w:type="dxa" w:w="1260"/>
            <w:shd w:fill="F8FAFC"/>
            <w:tcMar>
              <w:top w:w="40" w:type="dxa"/>
              <w:bottom w:w="20" w:type="dxa"/>
              <w:left w:w="20" w:type="dxa"/>
              <w:right w:w="20" w:type="dxa"/>
            </w:tcMar>
          </w:tcPr>
          <w:p>
            <w:pPr>
              <w:jc w:val="center"/>
            </w:pPr>
            <w:r>
              <w:drawing>
                <wp:inline xmlns:a="http://schemas.openxmlformats.org/drawingml/2006/main" xmlns:pic="http://schemas.openxmlformats.org/drawingml/2006/picture">
                  <wp:extent cx="530352" cy="530352"/>
                  <wp:docPr id="5" name="Picture 5"/>
                  <wp:cNvGraphicFramePr>
                    <a:graphicFrameLocks noChangeAspect="1"/>
                  </wp:cNvGraphicFramePr>
                  <a:graphic>
                    <a:graphicData uri="http://schemas.openxmlformats.org/drawingml/2006/picture">
                      <pic:pic>
                        <pic:nvPicPr>
                          <pic:cNvPr id="0" name="badge_prepared_citizen.png"/>
                          <pic:cNvPicPr/>
                        </pic:nvPicPr>
                        <pic:blipFill>
                          <a:blip r:embed="rId13"/>
                          <a:stretch>
                            <a:fillRect/>
                          </a:stretch>
                        </pic:blipFill>
                        <pic:spPr>
                          <a:xfrm>
                            <a:off x="0" y="0"/>
                            <a:ext cx="530352" cy="530352"/>
                          </a:xfrm>
                          <a:prstGeom prst="rect"/>
                        </pic:spPr>
                      </pic:pic>
                    </a:graphicData>
                  </a:graphic>
                </wp:inline>
              </w:drawing>
            </w:r>
          </w:p>
        </w:tc>
        <w:tc>
          <w:tcPr>
            <w:tcW w:type="dxa" w:w="1260"/>
            <w:shd w:fill="F8FAFC"/>
            <w:tcMar>
              <w:top w:w="40" w:type="dxa"/>
              <w:bottom w:w="20" w:type="dxa"/>
              <w:left w:w="20" w:type="dxa"/>
              <w:right w:w="20" w:type="dxa"/>
            </w:tcMar>
          </w:tcPr>
          <w:p>
            <w:pPr>
              <w:jc w:val="center"/>
            </w:pPr>
            <w:r>
              <w:drawing>
                <wp:inline xmlns:a="http://schemas.openxmlformats.org/drawingml/2006/main" xmlns:pic="http://schemas.openxmlformats.org/drawingml/2006/picture">
                  <wp:extent cx="530352" cy="530352"/>
                  <wp:docPr id="6" name="Picture 6"/>
                  <wp:cNvGraphicFramePr>
                    <a:graphicFrameLocks noChangeAspect="1"/>
                  </wp:cNvGraphicFramePr>
                  <a:graphic>
                    <a:graphicData uri="http://schemas.openxmlformats.org/drawingml/2006/picture">
                      <pic:pic>
                        <pic:nvPicPr>
                          <pic:cNvPr id="0" name="badge_quest_master.png"/>
                          <pic:cNvPicPr/>
                        </pic:nvPicPr>
                        <pic:blipFill>
                          <a:blip r:embed="rId14"/>
                          <a:stretch>
                            <a:fillRect/>
                          </a:stretch>
                        </pic:blipFill>
                        <pic:spPr>
                          <a:xfrm>
                            <a:off x="0" y="0"/>
                            <a:ext cx="530352" cy="530352"/>
                          </a:xfrm>
                          <a:prstGeom prst="rect"/>
                        </pic:spPr>
                      </pic:pic>
                    </a:graphicData>
                  </a:graphic>
                </wp:inline>
              </w:drawing>
            </w:r>
          </w:p>
        </w:tc>
        <w:tc>
          <w:tcPr>
            <w:tcW w:type="dxa" w:w="1260"/>
            <w:shd w:fill="F8FAFC"/>
            <w:tcMar>
              <w:top w:w="40" w:type="dxa"/>
              <w:bottom w:w="20" w:type="dxa"/>
              <w:left w:w="20" w:type="dxa"/>
              <w:right w:w="20" w:type="dxa"/>
            </w:tcMar>
          </w:tcPr>
          <w:p>
            <w:pPr>
              <w:jc w:val="center"/>
            </w:pPr>
            <w:r>
              <w:drawing>
                <wp:inline xmlns:a="http://schemas.openxmlformats.org/drawingml/2006/main" xmlns:pic="http://schemas.openxmlformats.org/drawingml/2006/picture">
                  <wp:extent cx="530352" cy="530352"/>
                  <wp:docPr id="7" name="Picture 7"/>
                  <wp:cNvGraphicFramePr>
                    <a:graphicFrameLocks noChangeAspect="1"/>
                  </wp:cNvGraphicFramePr>
                  <a:graphic>
                    <a:graphicData uri="http://schemas.openxmlformats.org/drawingml/2006/picture">
                      <pic:pic>
                        <pic:nvPicPr>
                          <pic:cNvPr id="0" name="rank_1_scout.png"/>
                          <pic:cNvPicPr/>
                        </pic:nvPicPr>
                        <pic:blipFill>
                          <a:blip r:embed="rId15"/>
                          <a:stretch>
                            <a:fillRect/>
                          </a:stretch>
                        </pic:blipFill>
                        <pic:spPr>
                          <a:xfrm>
                            <a:off x="0" y="0"/>
                            <a:ext cx="530352" cy="530352"/>
                          </a:xfrm>
                          <a:prstGeom prst="rect"/>
                        </pic:spPr>
                      </pic:pic>
                    </a:graphicData>
                  </a:graphic>
                </wp:inline>
              </w:drawing>
            </w:r>
          </w:p>
        </w:tc>
        <w:tc>
          <w:tcPr>
            <w:tcW w:type="dxa" w:w="1260"/>
            <w:shd w:fill="F8FAFC"/>
            <w:tcMar>
              <w:top w:w="40" w:type="dxa"/>
              <w:bottom w:w="20" w:type="dxa"/>
              <w:left w:w="20" w:type="dxa"/>
              <w:right w:w="20" w:type="dxa"/>
            </w:tcMar>
          </w:tcPr>
          <w:p>
            <w:pPr>
              <w:jc w:val="center"/>
            </w:pPr>
            <w:r>
              <w:drawing>
                <wp:inline xmlns:a="http://schemas.openxmlformats.org/drawingml/2006/main" xmlns:pic="http://schemas.openxmlformats.org/drawingml/2006/picture">
                  <wp:extent cx="530352" cy="530352"/>
                  <wp:docPr id="8" name="Picture 8"/>
                  <wp:cNvGraphicFramePr>
                    <a:graphicFrameLocks noChangeAspect="1"/>
                  </wp:cNvGraphicFramePr>
                  <a:graphic>
                    <a:graphicData uri="http://schemas.openxmlformats.org/drawingml/2006/picture">
                      <pic:pic>
                        <pic:nvPicPr>
                          <pic:cNvPr id="0" name="rank_2_responder.png"/>
                          <pic:cNvPicPr/>
                        </pic:nvPicPr>
                        <pic:blipFill>
                          <a:blip r:embed="rId16"/>
                          <a:stretch>
                            <a:fillRect/>
                          </a:stretch>
                        </pic:blipFill>
                        <pic:spPr>
                          <a:xfrm>
                            <a:off x="0" y="0"/>
                            <a:ext cx="530352" cy="530352"/>
                          </a:xfrm>
                          <a:prstGeom prst="rect"/>
                        </pic:spPr>
                      </pic:pic>
                    </a:graphicData>
                  </a:graphic>
                </wp:inline>
              </w:drawing>
            </w:r>
          </w:p>
        </w:tc>
        <w:tc>
          <w:tcPr>
            <w:tcW w:type="dxa" w:w="1260"/>
            <w:shd w:fill="F8FAFC"/>
            <w:tcMar>
              <w:top w:w="40" w:type="dxa"/>
              <w:bottom w:w="20" w:type="dxa"/>
              <w:left w:w="20" w:type="dxa"/>
              <w:right w:w="20" w:type="dxa"/>
            </w:tcMar>
          </w:tcPr>
          <w:p>
            <w:pPr>
              <w:jc w:val="center"/>
            </w:pPr>
            <w:r>
              <w:drawing>
                <wp:inline xmlns:a="http://schemas.openxmlformats.org/drawingml/2006/main" xmlns:pic="http://schemas.openxmlformats.org/drawingml/2006/picture">
                  <wp:extent cx="530352" cy="530352"/>
                  <wp:docPr id="9" name="Picture 9"/>
                  <wp:cNvGraphicFramePr>
                    <a:graphicFrameLocks noChangeAspect="1"/>
                  </wp:cNvGraphicFramePr>
                  <a:graphic>
                    <a:graphicData uri="http://schemas.openxmlformats.org/drawingml/2006/picture">
                      <pic:pic>
                        <pic:nvPicPr>
                          <pic:cNvPr id="0" name="rank_3_vanguard.png"/>
                          <pic:cNvPicPr/>
                        </pic:nvPicPr>
                        <pic:blipFill>
                          <a:blip r:embed="rId17"/>
                          <a:stretch>
                            <a:fillRect/>
                          </a:stretch>
                        </pic:blipFill>
                        <pic:spPr>
                          <a:xfrm>
                            <a:off x="0" y="0"/>
                            <a:ext cx="530352" cy="530352"/>
                          </a:xfrm>
                          <a:prstGeom prst="rect"/>
                        </pic:spPr>
                      </pic:pic>
                    </a:graphicData>
                  </a:graphic>
                </wp:inline>
              </w:drawing>
            </w:r>
          </w:p>
        </w:tc>
        <w:tc>
          <w:tcPr>
            <w:tcW w:type="dxa" w:w="1260"/>
            <w:shd w:fill="F8FAFC"/>
            <w:tcMar>
              <w:top w:w="40" w:type="dxa"/>
              <w:bottom w:w="20" w:type="dxa"/>
              <w:left w:w="20" w:type="dxa"/>
              <w:right w:w="20" w:type="dxa"/>
            </w:tcMar>
          </w:tcPr>
          <w:p>
            <w:pPr>
              <w:jc w:val="center"/>
            </w:pPr>
            <w:r>
              <w:drawing>
                <wp:inline xmlns:a="http://schemas.openxmlformats.org/drawingml/2006/main" xmlns:pic="http://schemas.openxmlformats.org/drawingml/2006/picture">
                  <wp:extent cx="530352" cy="530352"/>
                  <wp:docPr id="10" name="Picture 10"/>
                  <wp:cNvGraphicFramePr>
                    <a:graphicFrameLocks noChangeAspect="1"/>
                  </wp:cNvGraphicFramePr>
                  <a:graphic>
                    <a:graphicData uri="http://schemas.openxmlformats.org/drawingml/2006/picture">
                      <pic:pic>
                        <pic:nvPicPr>
                          <pic:cNvPr id="0" name="rank_4_hero.png"/>
                          <pic:cNvPicPr/>
                        </pic:nvPicPr>
                        <pic:blipFill>
                          <a:blip r:embed="rId10"/>
                          <a:stretch>
                            <a:fillRect/>
                          </a:stretch>
                        </pic:blipFill>
                        <pic:spPr>
                          <a:xfrm>
                            <a:off x="0" y="0"/>
                            <a:ext cx="530352" cy="530352"/>
                          </a:xfrm>
                          <a:prstGeom prst="rect"/>
                        </pic:spPr>
                      </pic:pic>
                    </a:graphicData>
                  </a:graphic>
                </wp:inline>
              </w:drawing>
            </w:r>
          </w:p>
        </w:tc>
      </w:tr>
      <w:tr>
        <w:tc>
          <w:tcPr>
            <w:tcW w:type="dxa" w:w="1260"/>
            <w:shd w:fill="F1F5F9"/>
            <w:tcMar>
              <w:top w:w="20" w:type="dxa"/>
              <w:bottom w:w="30" w:type="dxa"/>
              <w:left w:w="20" w:type="dxa"/>
              <w:right w:w="20" w:type="dxa"/>
            </w:tcMar>
          </w:tcPr>
          <w:p>
            <w:pPr>
              <w:jc w:val="center"/>
            </w:pPr>
            <w:r>
              <w:rPr>
                <w:b/>
                <w:color w:val="334155"/>
                <w:sz w:val="15"/>
              </w:rPr>
              <w:t>First Responder</w:t>
            </w:r>
          </w:p>
        </w:tc>
        <w:tc>
          <w:tcPr>
            <w:tcW w:type="dxa" w:w="1260"/>
            <w:shd w:fill="F1F5F9"/>
            <w:tcMar>
              <w:top w:w="20" w:type="dxa"/>
              <w:bottom w:w="30" w:type="dxa"/>
              <w:left w:w="20" w:type="dxa"/>
              <w:right w:w="20" w:type="dxa"/>
            </w:tcMar>
          </w:tcPr>
          <w:p>
            <w:pPr>
              <w:jc w:val="center"/>
            </w:pPr>
            <w:r>
              <w:rPr>
                <w:b/>
                <w:color w:val="334155"/>
                <w:sz w:val="15"/>
              </w:rPr>
              <w:t>Go-Bag Ready</w:t>
            </w:r>
          </w:p>
        </w:tc>
        <w:tc>
          <w:tcPr>
            <w:tcW w:type="dxa" w:w="1260"/>
            <w:shd w:fill="F1F5F9"/>
            <w:tcMar>
              <w:top w:w="20" w:type="dxa"/>
              <w:bottom w:w="30" w:type="dxa"/>
              <w:left w:w="20" w:type="dxa"/>
              <w:right w:w="20" w:type="dxa"/>
            </w:tcMar>
          </w:tcPr>
          <w:p>
            <w:pPr>
              <w:jc w:val="center"/>
            </w:pPr>
            <w:r>
              <w:rPr>
                <w:b/>
                <w:color w:val="334155"/>
                <w:sz w:val="15"/>
              </w:rPr>
              <w:t>Prepared Citizen</w:t>
            </w:r>
          </w:p>
        </w:tc>
        <w:tc>
          <w:tcPr>
            <w:tcW w:type="dxa" w:w="1260"/>
            <w:shd w:fill="F1F5F9"/>
            <w:tcMar>
              <w:top w:w="20" w:type="dxa"/>
              <w:bottom w:w="30" w:type="dxa"/>
              <w:left w:w="20" w:type="dxa"/>
              <w:right w:w="20" w:type="dxa"/>
            </w:tcMar>
          </w:tcPr>
          <w:p>
            <w:pPr>
              <w:jc w:val="center"/>
            </w:pPr>
            <w:r>
              <w:rPr>
                <w:b/>
                <w:color w:val="334155"/>
                <w:sz w:val="15"/>
              </w:rPr>
              <w:t>Quest Master</w:t>
            </w:r>
          </w:p>
        </w:tc>
        <w:tc>
          <w:tcPr>
            <w:tcW w:type="dxa" w:w="1260"/>
            <w:shd w:fill="F1F5F9"/>
            <w:tcMar>
              <w:top w:w="20" w:type="dxa"/>
              <w:bottom w:w="30" w:type="dxa"/>
              <w:left w:w="20" w:type="dxa"/>
              <w:right w:w="20" w:type="dxa"/>
            </w:tcMar>
          </w:tcPr>
          <w:p>
            <w:pPr>
              <w:jc w:val="center"/>
            </w:pPr>
            <w:r>
              <w:rPr>
                <w:b/>
                <w:color w:val="334155"/>
                <w:sz w:val="15"/>
              </w:rPr>
              <w:t>Lv.1 Scout</w:t>
            </w:r>
          </w:p>
        </w:tc>
        <w:tc>
          <w:tcPr>
            <w:tcW w:type="dxa" w:w="1260"/>
            <w:shd w:fill="F1F5F9"/>
            <w:tcMar>
              <w:top w:w="20" w:type="dxa"/>
              <w:bottom w:w="30" w:type="dxa"/>
              <w:left w:w="20" w:type="dxa"/>
              <w:right w:w="20" w:type="dxa"/>
            </w:tcMar>
          </w:tcPr>
          <w:p>
            <w:pPr>
              <w:jc w:val="center"/>
            </w:pPr>
            <w:r>
              <w:rPr>
                <w:b/>
                <w:color w:val="334155"/>
                <w:sz w:val="15"/>
              </w:rPr>
              <w:t>Lv.2 Responder</w:t>
            </w:r>
          </w:p>
        </w:tc>
        <w:tc>
          <w:tcPr>
            <w:tcW w:type="dxa" w:w="1260"/>
            <w:shd w:fill="F1F5F9"/>
            <w:tcMar>
              <w:top w:w="20" w:type="dxa"/>
              <w:bottom w:w="30" w:type="dxa"/>
              <w:left w:w="20" w:type="dxa"/>
              <w:right w:w="20" w:type="dxa"/>
            </w:tcMar>
          </w:tcPr>
          <w:p>
            <w:pPr>
              <w:jc w:val="center"/>
            </w:pPr>
            <w:r>
              <w:rPr>
                <w:b/>
                <w:color w:val="334155"/>
                <w:sz w:val="15"/>
              </w:rPr>
              <w:t>Lv.3 Vanguard</w:t>
            </w:r>
          </w:p>
        </w:tc>
        <w:tc>
          <w:tcPr>
            <w:tcW w:type="dxa" w:w="1260"/>
            <w:shd w:fill="F1F5F9"/>
            <w:tcMar>
              <w:top w:w="20" w:type="dxa"/>
              <w:bottom w:w="30" w:type="dxa"/>
              <w:left w:w="20" w:type="dxa"/>
              <w:right w:w="20" w:type="dxa"/>
            </w:tcMar>
          </w:tcPr>
          <w:p>
            <w:pPr>
              <w:jc w:val="center"/>
            </w:pPr>
            <w:r>
              <w:rPr>
                <w:b/>
                <w:color w:val="334155"/>
                <w:sz w:val="15"/>
              </w:rPr>
              <w:t>Lv.4 Hero</w:t>
            </w:r>
          </w:p>
        </w:tc>
      </w:tr>
    </w:tbl>
    <w:p>
      <w:pPr>
        <w:spacing w:after="8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360"/>
        <w:gridCol w:w="3360"/>
        <w:gridCol w:w="3360"/>
      </w:tblGrid>
      <w:tr>
        <w:tc>
          <w:tcPr>
            <w:tcW w:type="dxa" w:w="3312"/>
            <w:shd w:fill="0F172A"/>
            <w:tcMar>
              <w:top w:w="35" w:type="dxa"/>
              <w:bottom w:w="35" w:type="dxa"/>
              <w:left w:w="60" w:type="dxa"/>
              <w:right w:w="60" w:type="dxa"/>
            </w:tcMar>
          </w:tcPr>
          <w:p>
            <w:pPr>
              <w:spacing w:before="0" w:after="0"/>
              <w:jc w:val="center"/>
            </w:pPr>
            <w:r>
              <w:rPr>
                <w:b/>
                <w:color w:val="E2E8F0"/>
                <w:sz w:val="15"/>
              </w:rPr>
              <w:t>❖ ❖ ❖ ❖ ❖ ❖ ❖ ❖ ❖</w:t>
            </w:r>
          </w:p>
        </w:tc>
        <w:tc>
          <w:tcPr>
            <w:tcW w:type="dxa" w:w="3456"/>
            <w:shd w:fill="1E3A8A"/>
            <w:tcMar>
              <w:top w:w="35" w:type="dxa"/>
              <w:bottom w:w="35" w:type="dxa"/>
              <w:left w:w="60" w:type="dxa"/>
              <w:right w:w="60" w:type="dxa"/>
            </w:tcMar>
          </w:tcPr>
          <w:p>
            <w:pPr>
              <w:spacing w:before="0" w:after="0"/>
              <w:jc w:val="center"/>
            </w:pPr>
            <w:r>
              <w:rPr>
                <w:b/>
                <w:color w:val="E2E8F0"/>
                <w:sz w:val="15"/>
              </w:rPr>
              <w:t>✦  C O D E F E S T   2 0 2 6  ✦</w:t>
            </w:r>
          </w:p>
        </w:tc>
        <w:tc>
          <w:tcPr>
            <w:tcW w:type="dxa" w:w="3312"/>
            <w:shd w:fill="0F766E"/>
            <w:tcMar>
              <w:top w:w="35" w:type="dxa"/>
              <w:bottom w:w="35" w:type="dxa"/>
              <w:left w:w="60" w:type="dxa"/>
              <w:right w:w="60" w:type="dxa"/>
            </w:tcMar>
          </w:tcPr>
          <w:p>
            <w:pPr>
              <w:spacing w:before="0" w:after="0"/>
              <w:jc w:val="center"/>
            </w:pPr>
            <w:r>
              <w:rPr>
                <w:b/>
                <w:color w:val="E2E8F0"/>
                <w:sz w:val="15"/>
              </w:rPr>
              <w:t>❖ ❖ ❖ ❖ ❖ ❖ ❖ ❖ ❖</w:t>
            </w:r>
          </w:p>
        </w:tc>
      </w:tr>
    </w:tbl>
    <w:sectPr w:rsidR="00FC693F" w:rsidRPr="0006063C" w:rsidSect="00034616">
      <w:pgSz w:w="12240" w:h="15840"/>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