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6918"/>
          <w:sz w:val="30"/>
        </w:rPr>
        <w:t>Prop</w:t>
      </w:r>
      <w:r>
        <w:rPr>
          <w:b/>
          <w:color w:val="1A1A14"/>
          <w:sz w:val="30"/>
        </w:rPr>
        <w:t>Junkie</w:t>
      </w:r>
    </w:p>
    <w:p>
      <w:pPr>
        <w:pStyle w:val="Heading1"/>
      </w:pPr>
      <w:r>
        <w:t>Model Analysis — Selectivity Backtest &amp; Direction</w:t>
      </w:r>
    </w:p>
    <w:p>
      <w:r>
        <w:rPr>
          <w:i/>
        </w:rPr>
        <w:t>Prepared for Patrick · August 2026 · Internal reference</w:t>
      </w:r>
    </w:p>
    <w:p>
      <w:pPr>
        <w:pBdr>
          <w:bottom w:val="single" w:sz="8" w:space="8" w:color="D8D2C4"/>
        </w:pBdr>
      </w:pPr>
    </w:p>
    <w:p>
      <w:pPr>
        <w:shd w:val="clear" w:fill="F6F1E2"/>
        <w:pBdr>
          <w:left w:val="single" w:sz="24" w:space="8" w:color="8A6918"/>
        </w:pBdr>
        <w:spacing w:before="80" w:after="160"/>
        <w:ind w:left="173"/>
      </w:pPr>
      <w:r>
        <w:rPr>
          <w:b/>
          <w:color w:val="6E5412"/>
        </w:rPr>
        <w:t xml:space="preserve">BOTTOM LINE — </w:t>
      </w:r>
      <w:r>
        <w:rPr>
          <w:b w:val="0"/>
        </w:rPr>
        <w:t>Being more selective genuinely helps: the model's low-conviction picks are the money-losers, and its high-conviction picks are good. But the eye-popping filtered “profits” are a small-sample mirage. So we act on the direction (post fewer, higher-conviction leans), not the magnitude (don't believe the +40%).</w:t>
      </w:r>
    </w:p>
    <w:p>
      <w:pPr>
        <w:pStyle w:val="Heading2"/>
      </w:pPr>
      <w:r>
        <w:t>The question we tested</w:t>
      </w:r>
    </w:p>
    <w:p>
      <w:pPr>
        <w:spacing w:after="120"/>
      </w:pPr>
      <w:r>
        <w:rPr>
          <w:b w:val="0"/>
        </w:rPr>
        <w:t>The record showed the model winning 57% of the time but down ~9% ROI on a real 46-pick sample — winning at bad prices. Before changing anything, we backtested our own 92 graded picks to answer one question: if we had only posted the higher-conviction leans, would the return have been better?</w:t>
      </w:r>
    </w:p>
    <w:p>
      <w:pPr>
        <w:pStyle w:val="Heading2"/>
      </w:pPr>
      <w:r>
        <w:t>Where the record stood (46 picks that had recorded odds)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8A6918"/>
          </w:tcPr>
          <w:p>
            <w:r/>
            <w:r>
              <w:rPr>
                <w:b/>
                <w:color w:val="FFFFFF"/>
                <w:sz w:val="19"/>
              </w:rPr>
              <w:t>Market</w:t>
            </w:r>
          </w:p>
        </w:tc>
        <w:tc>
          <w:tcPr>
            <w:tcW w:type="dxa" w:w="2412"/>
            <w:shd w:val="clear" w:fill="8A6918"/>
          </w:tcPr>
          <w:p>
            <w:r/>
            <w:r>
              <w:rPr>
                <w:b/>
                <w:color w:val="FFFFFF"/>
                <w:sz w:val="19"/>
              </w:rPr>
              <w:t>Record</w:t>
            </w:r>
          </w:p>
        </w:tc>
        <w:tc>
          <w:tcPr>
            <w:tcW w:type="dxa" w:w="2412"/>
            <w:shd w:val="clear" w:fill="8A6918"/>
          </w:tcPr>
          <w:p>
            <w:r/>
            <w:r>
              <w:rPr>
                <w:b/>
                <w:color w:val="FFFFFF"/>
                <w:sz w:val="19"/>
              </w:rPr>
              <w:t>Win %</w:t>
            </w:r>
          </w:p>
        </w:tc>
        <w:tc>
          <w:tcPr>
            <w:tcW w:type="dxa" w:w="2412"/>
            <w:shd w:val="clear" w:fill="8A6918"/>
          </w:tcPr>
          <w:p>
            <w:r/>
            <w:r>
              <w:rPr>
                <w:b/>
                <w:color w:val="FFFFFF"/>
                <w:sz w:val="19"/>
              </w:rPr>
              <w:t>ROI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Moneyline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7–9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43.8%</w:t>
            </w:r>
          </w:p>
        </w:tc>
        <w:tc>
          <w:tcPr>
            <w:tcW w:type="dxa" w:w="2412"/>
          </w:tcPr>
          <w:p>
            <w:r/>
            <w:r>
              <w:rPr>
                <w:b/>
                <w:color w:val="B52020"/>
                <w:sz w:val="19"/>
              </w:rPr>
              <w:t>−17.3%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Totals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9–13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40.9%</w:t>
            </w:r>
          </w:p>
        </w:tc>
        <w:tc>
          <w:tcPr>
            <w:tcW w:type="dxa" w:w="2412"/>
          </w:tcPr>
          <w:p>
            <w:r/>
            <w:r>
              <w:rPr>
                <w:b/>
                <w:color w:val="B52020"/>
                <w:sz w:val="19"/>
              </w:rPr>
              <w:t>−21.9%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Spreads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7–1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87.5%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+43% (only 8 — noise)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ALL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23–23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50.0%</w:t>
            </w:r>
          </w:p>
        </w:tc>
        <w:tc>
          <w:tcPr>
            <w:tcW w:type="dxa" w:w="2412"/>
          </w:tcPr>
          <w:p>
            <w:r/>
            <w:r>
              <w:rPr>
                <w:b/>
                <w:color w:val="B52020"/>
                <w:sz w:val="19"/>
              </w:rPr>
              <w:t>−9.0%</w:t>
            </w:r>
          </w:p>
        </w:tc>
      </w:tr>
    </w:tbl>
    <w:p/>
    <w:p>
      <w:pPr>
        <w:pStyle w:val="Heading2"/>
      </w:pPr>
      <w:r>
        <w:t>The pattern: higher conviction → better returns (every market)</w:t>
      </w:r>
    </w:p>
    <w:p>
      <w:pPr>
        <w:spacing w:after="120"/>
      </w:pPr>
      <w:r>
        <w:rPr>
          <w:b w:val="0"/>
        </w:rPr>
        <w:t>As the model's own edge (its disagreement with the market) rises, results improve sharply. The marginal, low-edge leans are where the money leaks.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8A6918"/>
          </w:tcPr>
          <w:p>
            <w:r/>
            <w:r>
              <w:rPr>
                <w:b/>
                <w:color w:val="FFFFFF"/>
                <w:sz w:val="19"/>
              </w:rPr>
              <w:t>Filter</w:t>
            </w:r>
          </w:p>
        </w:tc>
        <w:tc>
          <w:tcPr>
            <w:tcW w:type="dxa" w:w="3216"/>
            <w:shd w:val="clear" w:fill="8A6918"/>
          </w:tcPr>
          <w:p>
            <w:r/>
            <w:r>
              <w:rPr>
                <w:b/>
                <w:color w:val="FFFFFF"/>
                <w:sz w:val="19"/>
              </w:rPr>
              <w:t>Picks</w:t>
            </w:r>
          </w:p>
        </w:tc>
        <w:tc>
          <w:tcPr>
            <w:tcW w:type="dxa" w:w="3216"/>
            <w:shd w:val="clear" w:fill="8A6918"/>
          </w:tcPr>
          <w:p>
            <w:r/>
            <w:r>
              <w:rPr>
                <w:b/>
                <w:color w:val="FFFFFF"/>
                <w:sz w:val="19"/>
              </w:rPr>
              <w:t>ROI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Moneyline — all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B52020"/>
                <w:sz w:val="19"/>
              </w:rPr>
              <w:t>−17%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Moneyline — strong edges only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166C4A"/>
                <w:sz w:val="19"/>
              </w:rPr>
              <w:t>+33%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Totals — all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B52020"/>
                <w:sz w:val="19"/>
              </w:rPr>
              <w:t>−22%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Totals — strong edges only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166C4A"/>
                <w:sz w:val="19"/>
              </w:rPr>
              <w:t>+41%</w:t>
            </w:r>
          </w:p>
        </w:tc>
      </w:tr>
    </w:tbl>
    <w:p/>
    <w:p>
      <w:pPr>
        <w:pStyle w:val="Heading2"/>
      </w:pPr>
      <w:r>
        <w:t>⚠ The critical caveat — why we trust the direction, not the numbers</w:t>
      </w:r>
    </w:p>
    <w:p>
      <w:pPr>
        <w:shd w:val="clear" w:fill="F6F1E2"/>
        <w:pBdr>
          <w:left w:val="single" w:sz="24" w:space="8" w:color="8A6918"/>
        </w:pBdr>
        <w:spacing w:before="80" w:after="160"/>
        <w:ind w:left="173"/>
      </w:pPr>
      <w:r>
        <w:rPr>
          <w:b w:val="0"/>
        </w:rPr>
        <w:t>Those filtered “+40%” rows are on 3, 4, and 7 picks. That is not a track record — it's a coin landing heads a few times. Searching your own past picks for the threshold that looks best in hindsight is exactly how touts fool themselves and their followers. A filter that turns −9% into +42% on a dozen cherry-picked historical bets will not reproduce +42% going forward.</w:t>
        <w:br/>
      </w:r>
      <w:r>
        <w:rPr>
          <w:b/>
        </w:rPr>
        <w:t>The only trustworthy takeaway: more selective = better. The realistic outcome of tightening is moving from −9% toward break-even or modestly positive — not riches. Beating the sportsbook's ~4.5% cut is genuinely hard; a free model landing near break-even is a success.</w:t>
      </w:r>
    </w:p>
    <w:p>
      <w:pPr>
        <w:pStyle w:val="Heading2"/>
      </w:pPr>
      <w:r>
        <w:t>The decision — what we changed (implemented)</w:t>
      </w:r>
    </w:p>
    <w:p>
      <w:pPr>
        <w:pStyle w:val="ListBullet"/>
      </w:pPr>
      <w:r>
        <w:t>Raised the moneyline edge bar from 3% to 5% (all sports) — cuts the low-conviction favorites that lose to the juice.</w:t>
      </w:r>
    </w:p>
    <w:p>
      <w:pPr>
        <w:pStyle w:val="ListBullet"/>
      </w:pPr>
      <w:r>
        <w:t>Raised MLB's total threshold from 0.5 to 1.0 runs — cuts the marginal totals that were the −22% drag.</w:t>
      </w:r>
    </w:p>
    <w:p>
      <w:pPr>
        <w:pStyle w:val="ListBullet"/>
      </w:pPr>
      <w:r>
        <w:t>Left spreads unchanged (already selective; the one bright spot, though a small sample).</w:t>
      </w:r>
    </w:p>
    <w:p>
      <w:pPr>
        <w:pStyle w:val="ListBullet"/>
      </w:pPr>
      <w:r>
        <w:t>Net effect: PropJunkie now posts fewer, higher-conviction leans — roughly the top third, not everything.</w:t>
      </w:r>
    </w:p>
    <w:p>
      <w:pPr>
        <w:pStyle w:val="ListBullet"/>
      </w:pPr>
      <w:r>
        <w:t>Reset the public record to measure the NEW model cleanly. Older picks stay in the database for audit but are excluded from the shown record, so /record reflects one model version, not a mix.</w:t>
      </w:r>
    </w:p>
    <w:p>
      <w:pPr>
        <w:pStyle w:val="Heading2"/>
      </w:pPr>
      <w:r>
        <w:t>Repositioning — honest framing</w:t>
      </w:r>
    </w:p>
    <w:p>
      <w:pPr>
        <w:spacing w:after="120"/>
      </w:pPr>
      <w:r>
        <w:rPr>
          <w:b w:val="0"/>
        </w:rPr>
        <w:t>PropJunkie is a transparent analysis tool, not a guaranteed-profit system. Sell conviction + transparency (“the model's highest-conviction leans, every one graded in public”), never profit. The −9%-but-fully-shown record is the pitch — no tout on earth posts that.</w:t>
      </w:r>
    </w:p>
    <w:p>
      <w:pPr>
        <w:pStyle w:val="Heading2"/>
      </w:pPr>
      <w:r>
        <w:t>The premium feature (revenue, done honestly)</w:t>
      </w:r>
    </w:p>
    <w:p>
      <w:pPr>
        <w:spacing w:after="120"/>
      </w:pPr>
      <w:r>
        <w:rPr>
          <w:b w:val="0"/>
        </w:rPr>
        <w:t>You can monetize without lying:</w:t>
      </w:r>
    </w:p>
    <w:p>
      <w:pPr>
        <w:pStyle w:val="ListBullet"/>
      </w:pPr>
      <w:r>
        <w:t>Free tier: the public record + a taste (the daily board, a couple of picks) — the trust engine stays open.</w:t>
      </w:r>
    </w:p>
    <w:p>
      <w:pPr>
        <w:pStyle w:val="ListBullet"/>
      </w:pPr>
      <w:r>
        <w:t>Pro tier: the model's highest-conviction leans, the full prop board, more markets, and alerts.</w:t>
      </w:r>
    </w:p>
    <w:p>
      <w:pPr>
        <w:spacing w:after="160"/>
      </w:pPr>
      <w:r>
        <w:rPr>
          <w:b w:val="0"/>
        </w:rPr>
        <w:t>This is ethical because the transparent record lets buyers judge for themselves — you're selling access, depth, and convenience, not a false “winning system.” That revenue is what funds the paid prop-line data later. The one rule: don't hard-sell Pro as “profitable picks” until the new, selective model has proven itself on a real forward sample.</w:t>
      </w:r>
    </w:p>
    <w:p>
      <w:pPr>
        <w:pStyle w:val="Heading2"/>
      </w:pPr>
      <w:r>
        <w:t>What happens next — the discipline</w:t>
      </w:r>
    </w:p>
    <w:p>
      <w:pPr>
        <w:pStyle w:val="ListBullet"/>
      </w:pPr>
      <w:r>
        <w:t>The record restarted the day of this change; let the new, selective model build a fresh record for 2–3 weeks.</w:t>
      </w:r>
    </w:p>
    <w:p>
      <w:pPr>
        <w:pStyle w:val="ListBullet"/>
      </w:pPr>
      <w:r>
        <w:t>Then layer in one better free input (NFL support now that preseason's here; MLB bullpen/lineups) to sharpen conviction.</w:t>
      </w:r>
    </w:p>
    <w:p>
      <w:pPr>
        <w:pStyle w:val="ListBullet"/>
      </w:pPr>
      <w:r>
        <w:t>Stand up the Pro tier once there's a clean forward record to point at.</w:t>
      </w:r>
    </w:p>
    <w:p>
      <w:pPr>
        <w:pBdr>
          <w:top w:val="single" w:sz="8" w:space="8" w:color="D8D2C4"/>
        </w:pBdr>
      </w:pPr>
    </w:p>
    <w:p>
      <w:r>
        <w:rPr>
          <w:i/>
          <w:color w:val="7A7255"/>
          <w:sz w:val="18"/>
        </w:rPr>
        <w:t>For informational and internal planning use. PropJunkie's leans are a lean, not a lock. 21+ where required. Please gamble responsibly.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691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69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E541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