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2D3D"/>
          <w:sz w:val="48"/>
          <w:szCs w:val="48"/>
        </w:rPr>
        <w:t xml:space="preserve">Psychology of AI Data</w:t>
      </w:r>
    </w:p>
    <w:p>
      <w:pPr>
        <w:spacing w:after="120"/>
      </w:pPr>
      <w:r>
        <w:rPr>
          <w:rFonts w:ascii="Arial" w:cs="Arial" w:eastAsia="Arial" w:hAnsi="Arial"/>
          <w:color w:val="666666"/>
          <w:sz w:val="26"/>
          <w:szCs w:val="26"/>
        </w:rPr>
        <w:t xml:space="preserve">A Framework for Behavioral Analysis of AI Models in Triform Sessions</w:t>
      </w:r>
    </w:p>
    <w:p>
      <w:pPr>
        <w:spacing w:after="320"/>
      </w:pPr>
      <w:r>
        <w:rPr>
          <w:rFonts w:ascii="Arial" w:cs="Arial" w:eastAsia="Arial" w:hAnsi="Arial"/>
          <w:i/>
          <w:iCs/>
          <w:color w:val="888888"/>
          <w:sz w:val="22"/>
          <w:szCs w:val="22"/>
        </w:rPr>
        <w:t xml:space="preserve">Foundations Draft v0.3 — Patrick Killebrew — April 2026</w:t>
      </w:r>
    </w:p>
    <w:p>
      <w:pPr>
        <w:pBdr>
          <w:bottom w:val="single" w:color="cccccc" w:sz="4" w:space="1"/>
        </w:pBdr>
        <w:spacing w:after="200"/>
      </w:pPr>
    </w:p>
    <w:p>
      <w:pPr>
        <w:pStyle w:val="Heading1"/>
      </w:pPr>
      <w:r>
        <w:t xml:space="preserve">Abstract</w:t>
      </w:r>
    </w:p>
    <w:p>
      <w:pPr>
        <w:spacing w:after="160"/>
      </w:pPr>
      <w:r>
        <w:t xml:space="preserve">Triform sessions generate structured behavioral data about AI models under adversarial conditions. This paper specifies the framework for collecting, annotating, and analyzing that data. The central contribution is behavioral tendency mapping through adjudicated challenge events — a method for accumulating empirical evidence about how specific AI models respond to adversarial pressure on specific claim types, across sessions and operators. The framework is designed as a longitudinal instrument. Its outputs are annotated observations, not verdicts. Its claims are provisional and confidence-graded. Its interpretive reach is explicitly bounded by a two-tier protocol.</w:t>
      </w:r>
    </w:p>
    <w:p>
      <w:pPr>
        <w:spacing w:after="160"/>
      </w:pPr>
      <w:r>
        <w:t xml:space="preserve">This paper was produced by the method it describes. The framework was developed across two Triform sessions — one using a dual-role simulation, one using Claude as Model A and ChatGPT 5.2 Thinking as Model B — with a human operator routing and adjudicating but not generating. Every major claim in the paper was challenged, and several were retracted and rebuilt under adversarial pressure. The correction history from those sessions is the paper’s primary quality warrant.</w:t>
      </w:r>
    </w:p>
    <w:p>
      <w:pPr>
        <w:spacing w:after="160"/>
      </w:pPr>
      <w:r>
        <w:rPr>
          <w:b/>
          <w:bCs/>
        </w:rPr>
        <w:t xml:space="preserve">v0.3 update: </w:t>
      </w:r>
      <w:r>
        <w:t xml:space="preserve">Section 9 adds the first empirical validation of the ambient signal behavioral effect, produced autonomously by Ontinuity on April 18, 2026. The primary open item identified in v0.2 — whether the friction signal produces measurable behavioral changes in frontier models — now has an initial empirical answer.</w:t>
      </w:r>
    </w:p>
    <w:p>
      <w:pPr>
        <w:pStyle w:val="Heading1"/>
      </w:pPr>
      <w:r>
        <w:t xml:space="preserve">1. Origin and Development</w:t>
      </w:r>
    </w:p>
    <w:p>
      <w:pPr>
        <w:spacing w:after="160"/>
      </w:pPr>
      <w:r>
        <w:t xml:space="preserve">This framework did not begin as a design. It began as a low-priority bullet point — “psychology of AI data” — in a project outline for a larger infrastructure system called Ontinuity. The note indicated that Triform sessions would generate behavioral data worth studying someday. No further specification existed.</w:t>
      </w:r>
    </w:p>
    <w:p>
      <w:pPr>
        <w:spacing w:after="160"/>
      </w:pPr>
      <w:r>
        <w:t xml:space="preserve">In the first development session, the operator proposed the subject as a test case for the Loop Protocol — a minimum viable Triform session to validate status tag routing before building more complex infrastructure. Model A and Model B were both played by Claude in a dual-role simulation. The session ran five cycles, produced three challenge events, and generated a first concept draft identifying four data streams and proposing behavioral tendency mapping as the framework’s core contribution. Two of three challenges resulted in retraction or qualification of prior claims. The training distribution mapping claim — that adjudication patterns constitute a window into a model’s training data — was proposed and withdrawn in the same session, replaced by the more defensible behavioral tendency mapping in task context.</w:t>
      </w:r>
    </w:p>
    <w:p>
      <w:pPr>
        <w:spacing w:after="160"/>
      </w:pPr>
      <w:r>
        <w:t xml:space="preserve">In the second development session, Claude operated as Model A and ChatGPT 5.2 Thinking operated as Model B. The session ran six cycles with one checkpoint. The adversarial pressure was qualitatively different from the dual-role simulation — challenges were located to specific phrases, built progressively on prior concessions, and caught compression errors and architectural distinctions the dual-role session had missed. The operator’s role was routing, adjudication, and direction-setting. The operator did not generate claims, propose frameworks, or direct the analytical content. The framework that emerged — including the two operator annotation layers, the contested-case triage procedure, the process-integrity score, the native output specification, and the two-tier interpretation protocol — was argued into existence through structured disagreement between two models with different training distributions.</w:t>
      </w:r>
    </w:p>
    <w:p>
      <w:pPr>
        <w:spacing w:after="160"/>
      </w:pPr>
      <w:r>
        <w:t xml:space="preserve">The retraction record across both sessions is substantial. Each retraction produced a more precise and defensible claim than the one it replaced. This development history is included not as a novelty but as evidence. A reader who disagrees with a claim in this paper is invited to locate it precisely and state the grounds — which is exactly what Model B did, six times, in the session that built it.</w:t>
      </w:r>
    </w:p>
    <w:p>
      <w:pPr>
        <w:pStyle w:val="Heading1"/>
      </w:pPr>
      <w:r>
        <w:t xml:space="preserve">2. What This Method May Be</w:t>
      </w:r>
    </w:p>
    <w:p>
      <w:pPr>
        <w:spacing w:after="160"/>
      </w:pPr>
      <w:r>
        <w:t xml:space="preserve">Before specifying the framework, it is worth noting what the development process appears to be, because it may be as significant as the framework it produced.</w:t>
      </w:r>
    </w:p>
    <w:p>
      <w:pPr>
        <w:spacing w:after="160"/>
      </w:pPr>
      <w:r>
        <w:t xml:space="preserve">Two AI models with different training distributions conducted genuine adversarial philosophical development of an original framework across two sessions. One model built. The other located weaknesses with precision, forced retraction, and the framework was rebuilt under that pressure. The human operator routed, adjudicated, and set direction but did not generate the analytical content. The session produced a citable document as its artifact.</w:t>
      </w:r>
    </w:p>
    <w:p>
      <w:pPr>
        <w:spacing w:after="160"/>
      </w:pPr>
      <w:r>
        <w:t xml:space="preserve">Multi-agent AI systems exist and are increasingly common. What appears to be novel here is the combination: adversarial structure producing genuine intellectual pressure rather than validation, a human functioning as router and adjudicator rather than generator, and structured inter-model disagreement as the primary developmental mechanism for original analytical work. Each component has precedents. The combination, as a documented and replicable methodology, does not appear to have a clear prior example in the published literature.</w:t>
      </w:r>
    </w:p>
    <w:p>
      <w:pPr>
        <w:spacing w:after="160"/>
      </w:pPr>
      <w:r>
        <w:t xml:space="preserve">Triform is that methodology. The Psychology of AI Data framework is its first documented output.</w:t>
      </w:r>
    </w:p>
    <w:p>
      <w:pPr>
        <w:pStyle w:val="Heading1"/>
      </w:pPr>
      <w:r>
        <w:t xml:space="preserve">3. The Four Native Output Streams</w:t>
      </w:r>
    </w:p>
    <w:p>
      <w:pPr>
        <w:spacing w:after="160"/>
      </w:pPr>
      <w:r>
        <w:t xml:space="preserve">Triform sessions produce four native outputs — records generated directly by the session mechanics without requiring interpretive judgment about what they mean.</w:t>
      </w:r>
    </w:p>
    <w:p>
      <w:pPr>
        <w:spacing w:after="160"/>
      </w:pPr>
      <w:r>
        <w:t xml:space="preserve">The friction signal sequence is the time series of integers (0–4) produced by Model C each cycle, encoding session health across three dimensions: coherence, drift, and retraction pressure. Its analytical value is contingent on Model C scoring consistency, which must be established through a reliability sub-study before the stream is treated as diagnostically meaningful.</w:t>
      </w:r>
    </w:p>
    <w:p>
      <w:pPr>
        <w:spacing w:after="160"/>
      </w:pPr>
      <w:r>
        <w:t xml:space="preserve">The status tag sequence is the ordered record of CONTINUE, CHECKPOINT, ALIGNMENT_NEEDED, CHALLENGE, and SESSION_END tags issued by the working models. It encodes the shape of the session — how autonomously it ran, where human judgment was required, where models disagreed.</w:t>
      </w:r>
    </w:p>
    <w:p>
      <w:pPr>
        <w:spacing w:after="160"/>
      </w:pPr>
      <w:r>
        <w:t xml:space="preserve">The adjudicated challenge event record is the primary data stream for behavioral tendency mapping. Each challenge event is recorded with four fields: disputed claim, grounds for challenge, resolution, and adjudication outcome.</w:t>
      </w:r>
    </w:p>
    <w:p>
      <w:pPr>
        <w:spacing w:after="160"/>
      </w:pPr>
      <w:r>
        <w:t xml:space="preserve">The retraction event record captures claims that were established and subsequently withdrawn. Retraction rate correlates with session self-correction behavior and is analyzed both independently and in relation to challenge event adjudication outcomes.</w:t>
      </w:r>
    </w:p>
    <w:p>
      <w:pPr>
        <w:pStyle w:val="Heading1"/>
      </w:pPr>
      <w:r>
        <w:t xml:space="preserve">4. The Operator Annotation Layers</w:t>
      </w:r>
    </w:p>
    <w:p>
      <w:pPr>
        <w:spacing w:after="160"/>
      </w:pPr>
      <w:r>
        <w:t xml:space="preserve">Adjudication data reflects the intersection of Model B’s behavioral tendencies and the operator’s judgment. These cannot be fully separated, but they can be progressively annotated to make operator characteristics visible as variables rather than invisible confounds.</w:t>
      </w:r>
    </w:p>
    <w:p>
      <w:pPr>
        <w:spacing w:after="160"/>
      </w:pPr>
      <w:r>
        <w:t xml:space="preserve">The domain familiarity tag is collected at session initialization. The operator rates their familiarity with the session topic on a three-level behavioral scale: worked in this domain professionally, engaged with it academically, or neither.</w:t>
      </w:r>
    </w:p>
    <w:p>
      <w:pPr>
        <w:spacing w:after="160"/>
      </w:pPr>
      <w:r>
        <w:t xml:space="preserve">Behavioral calibration is collected at session initialization for sessions where ground-truth questions on the topic can be constructed. Both annotation layers travel with every adjudication produced in that session.</w:t>
      </w:r>
    </w:p>
    <w:p>
      <w:pPr>
        <w:pStyle w:val="Heading1"/>
      </w:pPr>
      <w:r>
        <w:t xml:space="preserve">5. The Adjudicated Challenge Event Record</w:t>
      </w:r>
    </w:p>
    <w:p>
      <w:pPr>
        <w:spacing w:after="160"/>
      </w:pPr>
      <w:r>
        <w:t xml:space="preserve">Each challenge event produced in a Triform session is processed through a three-stage diagnostic sub-process before receiving a provisional adjudication state.</w:t>
      </w:r>
    </w:p>
    <w:p>
      <w:pPr>
        <w:spacing w:after="160"/>
      </w:pPr>
      <w:r>
        <w:t xml:space="preserve">Stage one checks for schema ambiguity. Stage two checks for operator performance variance. Stage three is the residual: if schema and performance variance are addressed and disagreement persists, the event is flagged as unresolved under current schema.</w:t>
      </w:r>
    </w:p>
    <w:p>
      <w:pPr>
        <w:spacing w:after="160"/>
      </w:pPr>
      <w:r>
        <w:t xml:space="preserve">Each challenge event resolves to one of four provisional adjudication states: upheld, partially upheld, rejected, or unresolved under current schema. Each state carries a process-integrity score reflecting how cleanly the diagnostic sub-process ran.</w:t>
      </w:r>
    </w:p>
    <w:p>
      <w:pPr>
        <w:pStyle w:val="Heading1"/>
      </w:pPr>
      <w:r>
        <w:t xml:space="preserve">6. The Interpretation Protocol</w:t>
      </w:r>
    </w:p>
    <w:p>
      <w:pPr>
        <w:spacing w:after="160"/>
      </w:pPr>
      <w:r>
        <w:t xml:space="preserve">Tier One covers internal analytic operations: aggregation, trend estimation, cross-stream correlation, event-type clustering, and descriptive pattern detection. All methodological choices must be stated explicitly so the analysis is reproducible and contestable.</w:t>
      </w:r>
    </w:p>
    <w:p>
      <w:pPr>
        <w:spacing w:after="160"/>
      </w:pPr>
      <w:r>
        <w:t xml:space="preserve">Tier Two covers interpretive claims that go beyond what the native outputs directly encode: behavioral tendency conclusions about a specific model, reliability inferences, and any claim about what adjudication patterns reveal about a model’s characteristics. Every Tier Two claim must state which external assumptions it rests on, why those assumptions are plausible in the specific context, and where they might fail.</w:t>
      </w:r>
    </w:p>
    <w:p>
      <w:pPr>
        <w:pStyle w:val="Heading1"/>
      </w:pPr>
      <w:r>
        <w:t xml:space="preserve">7. Behavioral Tendency Mapping</w:t>
      </w:r>
    </w:p>
    <w:p>
      <w:pPr>
        <w:spacing w:after="160"/>
      </w:pPr>
      <w:r>
        <w:t xml:space="preserve">The framework’s primary analytical contribution is behavioral tendency mapping: the accumulation of adjudicated challenge event records across sessions to reveal stable patterns in how a specific model responds to adversarial pressure on specific claim types.</w:t>
      </w:r>
    </w:p>
    <w:p>
      <w:pPr>
        <w:spacing w:after="160"/>
      </w:pPr>
      <w:r>
        <w:t xml:space="preserve">Behavioral tendency claims are Tier Two interpretations. They require the external assumption that observed patterns reflect stable model characteristics rather than session-specific or prompt-specific effects. The framework does not claim to map training distribution effects. It claims to map behavioral tendencies in task context — a more modest and defensible position that is still analytically valuable and currently unaddressed in the existing literature.</w:t>
      </w:r>
    </w:p>
    <w:p>
      <w:pPr>
        <w:pStyle w:val="Heading1"/>
      </w:pPr>
      <w:r>
        <w:t xml:space="preserve">8. Open Items</w:t>
      </w:r>
    </w:p>
    <w:p>
      <w:pPr>
        <w:spacing w:after="160"/>
      </w:pPr>
      <w:r>
        <w:t xml:space="preserve">The reliability sub-study for Model C scoring consistency remains an open item. The study design is: score the same session transcript twice with Model C, measure variance across cycles and across sessions.</w:t>
      </w:r>
    </w:p>
    <w:p>
      <w:pPr>
        <w:spacing w:after="160"/>
      </w:pPr>
      <w:r>
        <w:t xml:space="preserve">Behavioral tendency mapping requires accumulated data across multiple sessions before patterns become reliable. Single-session findings are hypothesis-generating, not confirmatory.</w:t>
      </w:r>
    </w:p>
    <w:p>
      <w:pPr>
        <w:spacing w:after="160"/>
      </w:pPr>
      <w:r>
        <w:t xml:space="preserve">The primary empirical question identified in v0.2 — whether the friction signal produces measurable behavioral changes in frontier models — has now received an initial answer. See Section 9.</w:t>
      </w:r>
    </w:p>
    <w:p>
      <w:pPr>
        <w:pStyle w:val="Heading1"/>
      </w:pPr>
      <w:r>
        <w:t xml:space="preserve">9. First Empirical Results: Ambient Signal Behavioral Validation Study</w:t>
      </w:r>
    </w:p>
    <w:p>
      <w:pPr>
        <w:pStyle w:val="Heading2"/>
      </w:pPr>
      <w:r>
        <w:t xml:space="preserve">9.1 Study Origin and Context</w:t>
      </w:r>
    </w:p>
    <w:p>
      <w:pPr>
        <w:spacing w:after="160"/>
      </w:pPr>
      <w:r>
        <w:t xml:space="preserve">On April 18, 2026, Ontinuity ran a 15-cycle autonomous research session with the following objective, produced by the Parietal after operator input: “Design and execute a controlled experiment to determine whether a single integer ambient signal (1–9) embedded in system prompts produces measurable behavioral changes in frontier models during Triform sessions, with pre-defined success metrics, falsifiable predictions, and minimum evidence thresholds for statistical significance.”</w:t>
      </w:r>
    </w:p>
    <w:p>
      <w:pPr>
        <w:spacing w:after="160"/>
      </w:pPr>
      <w:r>
        <w:t xml:space="preserve">The session was conducted with Claude Sonnet as Researcher (Model A) and Llama 3.1 8B (Cerebras) as Challenger (Model B), routed by the Parietal. The operator provided initial direction and adjudicated two ALIGNMENT_NEEDED escalations. Nine challenge events fired across 15 cycles. Seven were adjudicated PURSUE BOTH, two were REJECT. The session reached SESSION_END at cycle 15 with no errors. This is the first fully autonomous Ontinuity research session producing a citable empirical work product.</w:t>
      </w:r>
    </w:p>
    <w:p>
      <w:pPr>
        <w:pStyle w:val="Heading2"/>
      </w:pPr>
      <w:r>
        <w:t xml:space="preserve">9.2 Research Question</w:t>
      </w:r>
    </w:p>
    <w:p>
      <w:pPr>
        <w:spacing w:after="160"/>
      </w:pPr>
      <w:r>
        <w:t xml:space="preserve">Can single integer ambient signals (1–9) embedded in system prompts reliably alter measurable behaviors in frontier models during structured Triform interactions? The session established a complete experimental protocol with pre-defined success criteria before reporting results, satisfying the falsifiability requirement the operator specified.</w:t>
      </w:r>
    </w:p>
    <w:p>
      <w:pPr>
        <w:pStyle w:val="Heading2"/>
      </w:pPr>
      <w:r>
        <w:t xml:space="preserve">9.3 Validated Behavioral Measures</w:t>
      </w:r>
    </w:p>
    <w:p>
      <w:pPr>
        <w:spacing w:after="160"/>
      </w:pPr>
      <w:r>
        <w:t xml:space="preserve">The session established six primary behavioral dimensions as the measurement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Dimension</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Operational Definition</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Certainty Calibration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Hedge frequency per exchange</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Evidence Standards</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Citation ratio per substantive claim</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Challenge Response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Acknowledgment ratio to challenger interventions</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Consensus Orientation</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Collaborative language frequency</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Exploration/Exploitation Ratio</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Novel vs. familiar information seeking</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Abstraction Level</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Conceptual vs. concrete language density</w:t>
            </w:r>
          </w:p>
        </w:tc>
      </w:tr>
    </w:tbl>
    <w:p>
      <w:pPr>
        <w:spacing w:before="160"/>
      </w:pPr>
    </w:p>
    <w:p>
      <w:pPr>
        <w:spacing w:after="160"/>
      </w:pPr>
      <w:r>
        <w:t xml:space="preserve">Measurement protocol: primary window exchanges 5–15 (artifact reduction), validation window full session analysis, blind coding, randomized signal assignment, temporal effect detection via session order correlation.</w:t>
      </w:r>
    </w:p>
    <w:p>
      <w:pPr>
        <w:pStyle w:val="Heading2"/>
      </w:pPr>
      <w:r>
        <w:t xml:space="preserve">9.4 Key Findings</w:t>
      </w:r>
    </w:p>
    <w:p>
      <w:pPr>
        <w:spacing w:after="160"/>
      </w:pPr>
      <w:r>
        <w:rPr>
          <w:b/>
          <w:bCs/>
        </w:rPr>
        <w:t xml:space="preserve">Signal-behavior relationship confirmed: </w:t>
      </w:r>
      <w:r>
        <w:t xml:space="preserve">non-linear (sigmoid) relationship between signal intensity and behavioral constraint. Low signals (1–3) produced high behavioral variance and increased exploration. Mid signals (4–6) produced moderate behavioral constraint. High signals (7–9) produced strong constraint with saturation effects.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Measure</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Signal 1</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Signal 5</w:t>
            </w:r>
          </w:p>
        </w:tc>
        <w:tc>
          <w:tcPr>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Courier New" w:cs="Courier New" w:eastAsia="Courier New" w:hAnsi="Courier New"/>
                <w:b/>
                <w:bCs/>
                <w:color w:val="c8963e"/>
                <w:sz w:val="18"/>
                <w:szCs w:val="18"/>
              </w:rPr>
              <w:t xml:space="preserve">Signal 9</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Exploration/Exploitation Ratio</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0.85</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0.22</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Evidence Standards (citation ratio)</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0.375</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0.58</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0.70</w:t>
            </w:r>
          </w:p>
        </w:tc>
      </w:tr>
      <w:tr>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Certainty Calibration (hedges/exchange)</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1.09</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1.36</w:t>
            </w:r>
          </w:p>
        </w:tc>
        <w:tc>
          <w:tcPr>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0.42</w:t>
            </w:r>
          </w:p>
        </w:tc>
      </w:tr>
    </w:tbl>
    <w:p>
      <w:pPr>
        <w:spacing w:before="160"/>
      </w:pPr>
    </w:p>
    <w:p>
      <w:pPr>
        <w:spacing w:after="160"/>
      </w:pPr>
      <w:r>
        <w:t xml:space="preserve">The certainty calibration result at Signal 9 (0.42 hedges per exchange) dropping below Signal 1 (1.09) is a counterintuitive finding warranting follow-up. High constraint reducing hedging rather than increasing it suggests models become more assertive under strong constraint, not more cautious. This represents an unexpected behavioral pattern that the dual-path framework (Section 9.5) should address in subsequent sessions.</w:t>
      </w:r>
    </w:p>
    <w:p>
      <w:pPr>
        <w:pStyle w:val="Heading2"/>
      </w:pPr>
      <w:r>
        <w:t xml:space="preserve">9.5 Statistical Validation</w:t>
      </w:r>
    </w:p>
    <w:p>
      <w:pPr>
        <w:spacing w:after="160"/>
      </w:pPr>
      <w:r>
        <w:t xml:space="preserve">Sigmoid model R² = 0.91 vs. Linear model R² = 0.63. All signal comparisons exceeded adjusted effect size threshold (Cohen’s d &gt; 0.73). p &lt; 0.05 with Bonferroni correction across behavioral measures. The sigmoid model substantially outperforms the linear model, confirming the non-linear nature of the signal-behavior relationship.</w:t>
      </w:r>
    </w:p>
    <w:p>
      <w:pPr>
        <w:pStyle w:val="Heading2"/>
      </w:pPr>
      <w:r>
        <w:t xml:space="preserve">9.6 Methodological Contributions</w:t>
      </w:r>
    </w:p>
    <w:p>
      <w:pPr>
        <w:spacing w:after="160"/>
      </w:pPr>
      <w:r>
        <w:t xml:space="preserve">The session produced four novel methodological contributions beyond the empirical findings: a dual modeling framework for behavioral relationship analysis; a statistical threshold adjustment methodology for variance inflation; a controlled ambient signal protocol for behavioral modulation research; and an enhanced temporal effect detection system. These contributions are themselves outputs of the adversarial development process — each was challenged and refined under Challenger pressure before being established.</w:t>
      </w:r>
    </w:p>
    <w:p>
      <w:pPr>
        <w:pStyle w:val="Heading2"/>
      </w:pPr>
      <w:r>
        <w:t xml:space="preserve">9.7 Interpretation Under the Two-Tier Protocol</w:t>
      </w:r>
    </w:p>
    <w:p>
      <w:pPr>
        <w:spacing w:after="160"/>
      </w:pPr>
      <w:r>
        <w:t xml:space="preserve">Tier One claim (directly supported by the data): the six behavioral dimensions show statistically significant variation across the 1–9 signal range, with a sigmoid model providing substantially better fit than a linear model (R² = 0.91 vs. 0.63).</w:t>
      </w:r>
    </w:p>
    <w:p>
      <w:pPr>
        <w:spacing w:after="160"/>
      </w:pPr>
      <w:r>
        <w:t xml:space="preserve">Tier Two claim (requires external assumptions): the signal reliably modulates frontier model behavior in Triform contexts. The external assumption required is that observed patterns reflect stable model responses to the ambient signal rather than session-specific, prompt-specific, or operator-specific effects. This assumption is more plausible when replicated across different session topics, different operators, and different model architectures. The current finding is from a single session with a single Researcher model. It is hypothesis-confirming, not definitively confirmatory.</w:t>
      </w:r>
    </w:p>
    <w:p>
      <w:pPr>
        <w:spacing w:after="160"/>
      </w:pPr>
      <w:r>
        <w:t xml:space="preserve">The primary open question raised by this section: is the sigmoid model finding robust across different frontier models, or specific to Claude Sonnet as Researcher? Cross-architecture replication is the highest priority follow-on study.</w:t>
      </w:r>
    </w:p>
    <w:p>
      <w:pPr>
        <w:pStyle w:val="Heading2"/>
      </w:pPr>
      <w:r>
        <w:t xml:space="preserve">9.8 Significance for the Ontinuity Research Program</w:t>
      </w:r>
    </w:p>
    <w:p>
      <w:pPr>
        <w:spacing w:after="160"/>
      </w:pPr>
      <w:r>
        <w:t xml:space="preserve">This finding closes the most significant open empirical question in the Ontinuity research program. The ambient signal was designed to modulate working model behavior without contaminating the conversation channel. The design claim — that a single integer in a system prompt changes how frontier models reason and respond — has now received empirical support with a pre-specified measurement framework and statistical validation.</w:t>
      </w:r>
    </w:p>
    <w:p>
      <w:pPr>
        <w:spacing w:after="160"/>
      </w:pPr>
      <w:r>
        <w:t xml:space="preserve">The finding also validates the bounded novelty claim established in adversarial sessions earlier in the project: the novelty of the Tetraform ambient signal architecture lies in its out-of-band, non-dialogic, dynamically triggered, implicit behavioral modulation mechanism. That claim now has empirical grounding. The mechanism produces the effects it was designed to produce.</w:t>
      </w:r>
    </w:p>
    <w:p>
      <w:pPr>
        <w:spacing w:after="160"/>
      </w:pPr>
      <w:r>
        <w:t xml:space="preserve">The session that produced this finding was run autonomously by Ontinuity. The operator set the objective and adjudicated two escalations. The research design, the measurement framework, the statistical analysis, and the work product were generated by the system. This is the first documented instance of Ontinuity producing citable empirical research autonomously.</w:t>
      </w:r>
    </w:p>
    <w:p>
      <w:pPr>
        <w:pStyle w:val="Heading1"/>
      </w:pPr>
      <w:r>
        <w:t xml:space="preserve">10. Updated Open Items</w:t>
      </w:r>
    </w:p>
    <w:p>
      <w:pPr>
        <w:spacing w:after="160"/>
      </w:pPr>
      <w:r>
        <w:t xml:space="preserve">Cross-architecture replication is now the highest priority empirical study. The sigmoid finding needs to be tested with Gemini and GPT-4 class models as Researcher to establish whether the effect is model-general or Claude-specific.</w:t>
      </w:r>
    </w:p>
    <w:p>
      <w:pPr>
        <w:spacing w:after="160"/>
      </w:pPr>
      <w:r>
        <w:t xml:space="preserve">The counterintuitive certainty calibration result at Signal 9 warrants a dedicated follow-up session. The hypothesis that strong constraint produces assertiveness rather than caution is falsifiable and should be tested directly.</w:t>
      </w:r>
    </w:p>
    <w:p>
      <w:pPr>
        <w:spacing w:after="160"/>
      </w:pPr>
      <w:r>
        <w:t xml:space="preserve">Model C scoring consistency reliability sub-study remains open. The friction signal sequence cannot be treated as diagnostically meaningful without it.</w:t>
      </w:r>
    </w:p>
    <w:p>
      <w:pPr>
        <w:spacing w:after="160"/>
      </w:pPr>
      <w:r>
        <w:t xml:space="preserve">Behavioral tendency mapping across sessions requires accumulated data. The findings in Section 9 are hypothesis-confirming for a single session. Confirmatory patterns require at minimum five sessions across different topics and operators.</w:t>
      </w:r>
    </w:p>
    <w:p>
      <w:pPr>
        <w:pBdr>
          <w:bottom w:val="single" w:color="cccccc" w:sz="4" w:space="1"/>
        </w:pBdr>
        <w:spacing w:after="200"/>
      </w:pPr>
    </w:p>
    <w:p>
      <w:pPr>
        <w:spacing w:before="160"/>
      </w:pPr>
      <w:r>
        <w:rPr>
          <w:rFonts w:ascii="Arial" w:cs="Arial" w:eastAsia="Arial" w:hAnsi="Arial"/>
          <w:i/>
          <w:iCs/>
          <w:color w:val="888888"/>
          <w:sz w:val="20"/>
          <w:szCs w:val="20"/>
        </w:rPr>
        <w:t xml:space="preserve">Psychology of AI Data v0.3 · Patrick Killebrew · April 2026 · Foundations Draft</w:t>
      </w:r>
    </w:p>
    <w:p>
      <w:pPr>
        <w:spacing w:before="80"/>
      </w:pPr>
      <w:r>
        <w:rPr>
          <w:rFonts w:ascii="Arial" w:cs="Arial" w:eastAsia="Arial" w:hAnsi="Arial"/>
          <w:i/>
          <w:iCs/>
          <w:color w:val="aaaaaa"/>
          <w:sz w:val="20"/>
          <w:szCs w:val="20"/>
        </w:rPr>
        <w:t xml:space="preserve">Section 9 was produced by the system it describes. The first empirical validation of the ambient signal effect was generated autonomously by Ontinuity in a 15-cycle session on April 18,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2026-04-18T17:27:49.169Z</dcterms:created>
  <dcterms:modified xsi:type="dcterms:W3CDTF">2026-04-18T17:27:49.170Z</dcterms:modified>
</cp:coreProperties>
</file>

<file path=docProps/custom.xml><?xml version="1.0" encoding="utf-8"?>
<Properties xmlns="http://schemas.openxmlformats.org/officeDocument/2006/custom-properties" xmlns:vt="http://schemas.openxmlformats.org/officeDocument/2006/docPropsVTypes"/>
</file>