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Ontinuity: Persistent Cognitive Infrastructure for Long-Horizon AI-Assisted Research</w:t>
      </w:r>
    </w:p>
    <w:p>
      <w:r>
        <w:rPr>
          <w:i/>
          <w:iCs/>
          <w:color w:val="666666"/>
        </w:rPr>
        <w:t xml:space="preserve">Patrick Killebrew — April 2026 — Research Summary v2</w:t>
      </w:r>
    </w:p>
    <w:p>
      <w:pPr>
        <w:pBdr>
          <w:bottom w:val="single" w:color="1A5276" w:sz="6" w:space="1"/>
        </w:pBdr>
      </w:pPr>
    </w:p>
    <w:p>
      <w:pPr>
        <w:pStyle w:val="Heading2"/>
      </w:pPr>
      <w:r>
        <w:t xml:space="preserve">The Problem</w:t>
      </w:r>
    </w:p>
    <w:p>
      <w:pPr>
        <w:spacing w:after="160"/>
      </w:pPr>
      <w:r>
        <w:t xml:space="preserve">The most significant unsolved problems in science and policy — carbon capture constraint mapping, traffic demand modeling, AI interpretability, cross-disciplinary systems analysis — share a structural property: they require sustained, branching research across multiple sessions, models, and time periods. Current AI tools handle single sessions well. They handle sustained research poorly. Every session reset loses accumulated context. The next session starts cold. The accumulated difference that makes a working relationship different from a cold start disappears.</w:t>
      </w:r>
    </w:p>
    <w:p>
      <w:pPr>
        <w:spacing w:after="160"/>
      </w:pPr>
      <w:r>
        <w:t xml:space="preserve">A second structural problem compounds the first: when AI models are used for sustained analytical work without adversarial structure, they converge on the operator’s existing beliefs. Errors go unchallenged. The result is not accelerated research — it is accelerated confirmation bias.</w:t>
      </w:r>
    </w:p>
    <w:p>
      <w:pPr>
        <w:pStyle w:val="Heading2"/>
      </w:pPr>
      <w:r>
        <w:t xml:space="preserve">The System</w:t>
      </w:r>
    </w:p>
    <w:p>
      <w:pPr>
        <w:spacing w:after="160"/>
      </w:pPr>
      <w:r>
        <w:t xml:space="preserve">Ontinuity is a deployed, operational research infrastructure system. It is platform-agnostic, open-source, and has produced validated research outputs in independent testing.</w:t>
      </w:r>
    </w:p>
    <w:p>
      <w:pPr>
        <w:spacing w:after="120"/>
      </w:pPr>
      <w:r>
        <w:rPr>
          <w:b/>
          <w:bCs/>
        </w:rPr>
        <w:t xml:space="preserve">Tetraform (Process Layer). </w:t>
      </w:r>
      <w:r>
        <w:t xml:space="preserve">A four-model protocol: a Researcher conducting primary analytical work, a Challenger providing adversarial review from a different training distribution, a Friction model outputting an ambient health signal (0–4) without entering the conversation, and an Adjudicator resolving research forks autonomously — defaulting to pursuing both paths in parallel until evidence distinguishes them, escalating to the human operator on four defined conditions only. The human is interrupted only at genuine decision points. Everything else runs autonomously.</w:t>
      </w:r>
    </w:p>
    <w:p>
      <w:pPr>
        <w:spacing w:after="120"/>
      </w:pPr>
      <w:r>
        <w:rPr>
          <w:b/>
          <w:bCs/>
        </w:rPr>
        <w:t xml:space="preserve">Knowtext (Memory Layer). </w:t>
      </w:r>
      <w:r>
        <w:t xml:space="preserve">A structured memory schema capturing accumulated research context: active frameworks, established results, open questions, correction history. Plain text and portable — it survives session resets, platform switches, and model changes. Updated incrementally at human touch points and fully at session end. Persisted via GitHub across deployments.</w:t>
      </w:r>
    </w:p>
    <w:p>
      <w:pPr>
        <w:spacing w:after="160"/>
      </w:pPr>
      <w:r>
        <w:rPr>
          <w:b/>
          <w:bCs/>
        </w:rPr>
        <w:t xml:space="preserve">Ontinuity (Integration Layer). </w:t>
      </w:r>
      <w:r>
        <w:t xml:space="preserve">Automated distillation into Knowtext at session end, automated injection at session start. The loop closes. Research accumulates across sessions rather than resetting.</w:t>
      </w:r>
    </w:p>
    <w:p>
      <w:pPr>
        <w:pStyle w:val="Heading2"/>
      </w:pPr>
      <w:r>
        <w:t xml:space="preserve">Demonstrated Capability</w:t>
      </w:r>
    </w:p>
    <w:p>
      <w:pPr>
        <w:spacing w:after="160"/>
      </w:pPr>
      <w:r>
        <w:t xml:space="preserve">As of April 2026: multiple validated sessions with frontier models from different training distributions. A six-cycle adversarial session produced a quantitative measurement protocol for the friction signal behavioral study that could not have been produced by a single model in a single pass. Cross-session Knowtext persistence confirmed via GitHub. A bounded novelty claim for the ambient signal architecture was produced and validated under adversarial conditions across training-distribution-diverse models. The system survived a platform outage and resumed with full context intact.</w:t>
      </w:r>
    </w:p>
    <w:p>
      <w:pPr>
        <w:pStyle w:val="Heading2"/>
      </w:pPr>
      <w:r>
        <w:t xml:space="preserve">The Emerging Research Frontier</w:t>
      </w:r>
    </w:p>
    <w:p>
      <w:pPr>
        <w:spacing w:after="160"/>
      </w:pPr>
      <w:r>
        <w:t xml:space="preserve">The research program has generated two second-order findings that extend significantly beyond the original research infrastructure use case.</w:t>
      </w:r>
    </w:p>
    <w:p>
      <w:pPr>
        <w:spacing w:after="120"/>
      </w:pPr>
      <w:r>
        <w:rPr>
          <w:b/>
          <w:bCs/>
        </w:rPr>
        <w:t xml:space="preserve">Artificialware. </w:t>
      </w:r>
      <w:r>
        <w:t xml:space="preserve">The Tetraform architecture demonstrates that structuring AI model behavior as explicitly callable, tag-activated functions within a coherent unified orientation — promptgramming — produces more reliable and auditable outputs than open-ended model calls. We call this architecture artificialware: executable cognition that combines software’s structural reliability with AI’s cognitive capability. A promptgrammed model’s available behaviors are enumerated, its inputs and outputs are specified, and its activation conditions are explicit. When it fails, the failure is locatable. When it succeeds, the success is reproducible. This addresses the reliability gap between AI capability and trustworthy deployment at scale.</w:t>
      </w:r>
    </w:p>
    <w:p>
      <w:pPr>
        <w:spacing w:after="160"/>
      </w:pPr>
      <w:r>
        <w:rPr>
          <w:b/>
          <w:bCs/>
        </w:rPr>
        <w:t xml:space="preserve">Dynacology. </w:t>
      </w:r>
      <w:r>
        <w:t xml:space="preserve">A dynamic ecology is a controller model that reads a problem, assembles the right specialist artificialware models on demand from a function registry, executes the work, and dissolves the ecology when complete. No fixed architecture. No predetermined configuration. The ecology shapes itself to the problem. Ontinuity is the first fixed ecology — the existence proof. Dynacology is the generalization: AI cognitive infrastructure that assembles itself for any problem that can be decomposed into specialist functions.</w:t>
      </w:r>
    </w:p>
    <w:p>
      <w:pPr>
        <w:pStyle w:val="Heading2"/>
      </w:pPr>
      <w:r>
        <w:t xml:space="preserve">The Compute Use Case</w:t>
      </w:r>
    </w:p>
    <w:p>
      <w:pPr>
        <w:spacing w:after="160"/>
      </w:pPr>
      <w:r>
        <w:t xml:space="preserve">With dedicated compute, Ontinuity can autonomously design its own successor while the operator sleeps. The system understands its own architecture at a conceptual level, identifies its own missing pieces through sustained adversarial reasoning, and produces specifications and code for those components — maintaining persistent memory of what it has built, what it has tried, and why certain paths were abandoned. This is not a hypothetical capability. It has been demonstrated in sessions where the system reasoned about its own architecture and produced the Tetraform, Artificialware, and Dynacology specifications documented here.</w:t>
      </w:r>
    </w:p>
    <w:p>
      <w:pPr>
        <w:spacing w:after="160"/>
      </w:pPr>
      <w:r>
        <w:t xml:space="preserve">The primary resource constraint is compute. Free-tier API rate limits interrupt long autonomous sessions before they reach their natural conclusion. Dedicated compute enables: local inference for supporting models eliminating rate limit interruptions, fine-tuning of the distillation model on accumulated session data, execution of the long-horizon research programs, and characterization of the artificialware coherence ceiling — how many promptgrammed functions a single model can execute while maintaining unified coherent orientation.</w:t>
      </w:r>
    </w:p>
    <w:p>
      <w:pPr>
        <w:pStyle w:val="Heading2"/>
      </w:pPr>
      <w:r>
        <w:t xml:space="preserve">Research Applications</w:t>
      </w:r>
    </w:p>
    <w:p>
      <w:pPr>
        <w:spacing w:after="100"/>
      </w:pPr>
      <w:r>
        <w:rPr>
          <w:b/>
          <w:bCs/>
        </w:rPr>
        <w:t xml:space="preserve">Artificialware coherence ceiling. </w:t>
      </w:r>
      <w:r>
        <w:t xml:space="preserve">How many functions can a single promptgrammed model execute coherently? How does this vary by architecture and scale? Does fine-tuning for promptgrammed execution produce measurably better multi-function coherence than prompting alone?</w:t>
      </w:r>
    </w:p>
    <w:p>
      <w:pPr>
        <w:spacing w:after="100"/>
      </w:pPr>
      <w:r>
        <w:rPr>
          <w:b/>
          <w:bCs/>
        </w:rPr>
        <w:t xml:space="preserve">Carbon capture constraint mapping. </w:t>
      </w:r>
      <w:r>
        <w:t xml:space="preserve">Mapping binding constraints across chemistry, materials science, engineering, policy, and economics — a problem requiring sustained cross-domain synthesis that single-session AI tools cannot maintain.</w:t>
      </w:r>
    </w:p>
    <w:p>
      <w:pPr>
        <w:spacing w:after="100"/>
      </w:pPr>
      <w:r>
        <w:rPr>
          <w:b/>
          <w:bCs/>
        </w:rPr>
        <w:t xml:space="preserve">AI interpretability gap analysis. </w:t>
      </w:r>
      <w:r>
        <w:t xml:space="preserve">Systematic mapping of what interpretability research has established, what remains genuinely open, and where current methods are insufficient.</w:t>
      </w:r>
    </w:p>
    <w:p>
      <w:pPr>
        <w:spacing w:after="100"/>
      </w:pPr>
      <w:r>
        <w:rPr>
          <w:b/>
          <w:bCs/>
        </w:rPr>
        <w:t xml:space="preserve">Dynacology minimum viable implementation. </w:t>
      </w:r>
      <w:r>
        <w:t xml:space="preserve">Build and test the two-model ecology — one promptgrammed specialist, one controller — characterizing inter-model dynamics and interface standards.</w:t>
      </w:r>
    </w:p>
    <w:p>
      <w:pPr>
        <w:spacing w:after="160"/>
      </w:pPr>
      <w:r>
        <w:rPr>
          <w:b/>
          <w:bCs/>
        </w:rPr>
        <w:t xml:space="preserve">Hard problem of consciousness. </w:t>
      </w:r>
      <w:r>
        <w:t xml:space="preserve">Adversarial philosophical analysis where sustained pressure on first-principles arguments is precisely what the literature lacks.</w:t>
      </w:r>
    </w:p>
    <w:p>
      <w:pPr>
        <w:pStyle w:val="Heading2"/>
      </w:pPr>
      <w:r>
        <w:t xml:space="preserve">Current Status</w:t>
      </w:r>
    </w:p>
    <w:p>
      <w:pPr>
        <w:spacing w:after="160"/>
      </w:pPr>
      <w:r>
        <w:t xml:space="preserve">The system is operational. Architecture documented across five published papers. Software deployed and running in production. Provider-agnostic — any frontier model API plugs into any role slot. The barrier to research productivity is the cost of sustained compute access, not technical capability.</w:t>
      </w:r>
    </w:p>
    <w:p>
      <w:pPr>
        <w:pBdr>
          <w:bottom w:val="single" w:color="1A5276" w:sz="6" w:space="1"/>
        </w:pBdr>
      </w:pPr>
    </w:p>
    <w:p>
      <w:pPr>
        <w:spacing w:before="160"/>
      </w:pPr>
      <w:r>
        <w:rPr>
          <w:b/>
          <w:bCs/>
        </w:rPr>
        <w:t xml:space="preserve">Status: </w:t>
      </w:r>
      <w:r>
        <w:t xml:space="preserve">Deployed and operational. GitHub: github.com/PatrickKillebrew/ontinuity. </w:t>
      </w:r>
      <w:r>
        <w:rPr>
          <w:b/>
          <w:bCs/>
        </w:rPr>
        <w:t xml:space="preserve">Contact: </w:t>
      </w:r>
      <w:r>
        <w:t xml:space="preserve">Patrick Killebrew, Killebrew Oilfield Services S-Corp.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5276"/>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2026-04-17T14:17:20.583Z</dcterms:created>
  <dcterms:modified xsi:type="dcterms:W3CDTF">2026-04-17T14:17:20.583Z</dcterms:modified>
</cp:coreProperties>
</file>

<file path=docProps/custom.xml><?xml version="1.0" encoding="utf-8"?>
<Properties xmlns="http://schemas.openxmlformats.org/officeDocument/2006/custom-properties" xmlns:vt="http://schemas.openxmlformats.org/officeDocument/2006/docPropsVTypes"/>
</file>