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Ontinuity: Empirical Behavioral Research Infrastructure for Multi-Agent AI Safety</w:t>
      </w:r>
    </w:p>
    <w:p>
      <w:r>
        <w:rPr>
          <w:i/>
          <w:iCs/>
          <w:color w:val="666666"/>
        </w:rPr>
        <w:t xml:space="preserve">Patrick Killebrew — April 2026 — Research Summary v2</w:t>
      </w:r>
    </w:p>
    <w:p>
      <w:pPr>
        <w:pBdr>
          <w:bottom w:val="single" w:color="2E75B6" w:sz="6" w:space="1"/>
        </w:pBdr>
      </w:pPr>
    </w:p>
    <w:p>
      <w:pPr>
        <w:pStyle w:val="Heading2"/>
      </w:pPr>
      <w:r>
        <w:t xml:space="preserve">The Unsolved Problem</w:t>
      </w:r>
    </w:p>
    <w:p>
      <w:pPr>
        <w:spacing w:after="160"/>
      </w:pPr>
      <w:r>
        <w:t xml:space="preserve">When two AI models communicate without structural constraints, they converge. Shared training-derived priors produce confirmation bias amplification: errors go unchallenged, the session drifts, and neither model flags the drift. This is well-observed but architecturally unaddressed. The standard response — injecting a third model as text-based moderator — contaminates the channel. Everything becomes signal, which means nothing is signal.</w:t>
      </w:r>
    </w:p>
    <w:p>
      <w:pPr>
        <w:spacing w:after="160"/>
      </w:pPr>
      <w:r>
        <w:t xml:space="preserve">A deeper problem sits beneath the convergence problem: we have no systematic empirical data on how frontier models behave under adversarial pressure. We know models can be challenged. We do not know which models resist which kinds of challenges, on which claim types, with what consistency. Without that data, multi-agent safety research is building on unmeasured ground.</w:t>
      </w:r>
    </w:p>
    <w:p>
      <w:pPr>
        <w:pStyle w:val="Heading2"/>
      </w:pPr>
      <w:r>
        <w:t xml:space="preserve">The Architecture</w:t>
      </w:r>
    </w:p>
    <w:p>
      <w:pPr>
        <w:spacing w:after="120"/>
      </w:pPr>
      <w:r>
        <w:rPr>
          <w:b/>
          <w:bCs/>
        </w:rPr>
        <w:t xml:space="preserve">Tetraform </w:t>
      </w:r>
      <w:r>
        <w:t xml:space="preserve">is a four-model protocol that separates content from metadata at the channel level. The Researcher works. The Challenger reviews adversarially from a different training distribution. The Friction model observes the dialogue and outputs a single integer (0–4) encoding coherence, drift, and retraction pressure — an ambient signal that modulates working model behavior without entering their conversation. The Adjudicator resolves challenge forks autonomously, defaulting to pursuing both paths in parallel until evidence distinguishes them, escalating to the human operator on four defined conditions only. The separation is the insight: resistance to false convergence is provided through the environment, not through the dialogue.</w:t>
      </w:r>
    </w:p>
    <w:p>
      <w:pPr>
        <w:spacing w:after="120"/>
      </w:pPr>
      <w:r>
        <w:rPr>
          <w:b/>
          <w:bCs/>
        </w:rPr>
        <w:t xml:space="preserve">Knowtext </w:t>
      </w:r>
      <w:r>
        <w:t xml:space="preserve">is a structured memory schema that persists across sessions: established results, open questions, correction history, and valence mapping in a plain-text portable format. Correction history is the safety-relevant field — it records where reasoning failed and was repaired, providing a longitudinal record that survives session resets and platform changes.</w:t>
      </w:r>
    </w:p>
    <w:p>
      <w:pPr>
        <w:spacing w:after="160"/>
      </w:pPr>
      <w:r>
        <w:rPr>
          <w:b/>
          <w:bCs/>
        </w:rPr>
        <w:t xml:space="preserve">Ontinuity </w:t>
      </w:r>
      <w:r>
        <w:t xml:space="preserve">automates the connection: session-end distillation into Knowtext, session-start injection from Knowtext. The loop closes. The system is deployed, operational, and has produced validated research outputs with confirmed cross-session memory persistence.</w:t>
      </w:r>
    </w:p>
    <w:p>
      <w:pPr>
        <w:pStyle w:val="Heading2"/>
      </w:pPr>
      <w:r>
        <w:t xml:space="preserve">Established: The Bounded Novelty Claim</w:t>
      </w:r>
    </w:p>
    <w:p>
      <w:pPr>
        <w:spacing w:after="160"/>
      </w:pPr>
      <w:r>
        <w:t xml:space="preserve">A four-cycle adversarial session between Gemini 2.5 Flash (Researcher) and Llama 3.3 70B (Challenger) on April 15, 2026 produced a precise and defensible novelty claim for the ambient signal architecture. The session identified three anti-novelty arguments and produced a counter-argument for each. The conclusion, argued into existence through structured inter-model disagreement:</w:t>
      </w:r>
    </w:p>
    <w:p>
      <w:pPr>
        <w:spacing w:after="160"/>
        <w:ind w:left="720"/>
      </w:pPr>
      <w:r>
        <w:rPr>
          <w:i/>
          <w:iCs/>
          <w:color w:val="444444"/>
        </w:rPr>
        <w:t xml:space="preserve">The novelty of the Tetraform ambient signal architecture lies in its unique combination of an out-of-band, non-dialogic, dynamically triggered, and implicit behavioral modulation mechanism, driven by a dedicated, independent meta-observing agent, to induce pre-programmed meta-cognitive shifts in the primary agent based on real-time session state. This is distinct from existing adversarial patterns that rely on explicit, content-level, dialogic interaction or static meta-prompts.</w:t>
      </w:r>
    </w:p>
    <w:p>
      <w:pPr>
        <w:spacing w:after="160"/>
      </w:pPr>
      <w:r>
        <w:t xml:space="preserve">The strongest case against novelty — that the functional outcomes are analogous to effects produced by existing adversarial patterns — was upheld and incorporated. The novelty claim does not assert new effects. It asserts a new mechanism: automation, externalization, and dynamic state-dependent triggering of meta-cognitive shifts through a non-dialogic channel. This is the precisely bounded claim that survives adversarial scrutiny.</w:t>
      </w:r>
    </w:p>
    <w:p>
      <w:pPr>
        <w:pStyle w:val="Heading2"/>
      </w:pPr>
      <w:r>
        <w:t xml:space="preserve">The Empirical Contribution: Behavioral Tendency Mapping</w:t>
      </w:r>
    </w:p>
    <w:p>
      <w:pPr>
        <w:spacing w:after="160"/>
      </w:pPr>
      <w:r>
        <w:t xml:space="preserve">Tetraform sessions generate structured behavioral data that no other methodology currently produces. Each challenge event is recorded with four fields: disputed claim, grounds for challenge, resolution, and adjudication outcome. Across many sessions and operators, patterns in these records constitute evidence of model behavioral tendencies — where a model’s challenges are systematically upheld, where they are systematically rejected, where they produce consistent disagreement across operators regardless of topic.</w:t>
      </w:r>
    </w:p>
    <w:p>
      <w:pPr>
        <w:spacing w:after="160"/>
      </w:pPr>
      <w:r>
        <w:t xml:space="preserve">The Psychology of AI Data framework — a companion paper developed across two sessions using the method it describes — specifies the four native output streams, the operator annotation layers required to separate model behavior from operator judgment, and a two-tier interpretation protocol. The framework was argued into existence through structured inter-model disagreement between Claude and ChatGPT. Its correction history — six retractions across two sessions — is its primary quality warrant.</w:t>
      </w:r>
    </w:p>
    <w:p>
      <w:pPr>
        <w:pStyle w:val="Heading2"/>
      </w:pPr>
      <w:r>
        <w:t xml:space="preserve">What Has Been Demonstrated</w:t>
      </w:r>
    </w:p>
    <w:p>
      <w:pPr>
        <w:spacing w:after="160"/>
      </w:pPr>
      <w:r>
        <w:t xml:space="preserve">As of April 2026: adversarial pressure confirmed across multiple sessions with frontier models from different training distributions. Six challenge cycles produced a quantitative measurement protocol for the friction signal behavioral study — baseline parameters, composite behavioral change index, interaction effect controls, signal detection criteria — that could not have been produced by a single model in a single pass. Cross-session Knowtext persistence confirmed via GitHub. The bounded novelty claim was produced and validated under adversarial conditions. The system survived a platform outage and resumed with full context intact.</w:t>
      </w:r>
    </w:p>
    <w:p>
      <w:pPr>
        <w:pStyle w:val="Heading2"/>
      </w:pPr>
      <w:r>
        <w:t xml:space="preserve">The Emerging Research Frontier: Artificialware</w:t>
      </w:r>
    </w:p>
    <w:p>
      <w:pPr>
        <w:spacing w:after="160"/>
      </w:pPr>
      <w:r>
        <w:t xml:space="preserve">The research program has generated a second-order finding with broader implications for AI safety. The Tetraform architecture demonstrates that structuring AI model behavior as explicitly callable, tag-activated functions within a coherent unified orientation produces more reliable and auditable outputs than open-ended model calls on equivalent tasks. We call this architecture artificialware — executable cognition that has both software’s structural reliability and AI’s cognitive capability.</w:t>
      </w:r>
    </w:p>
    <w:p>
      <w:pPr>
        <w:spacing w:after="160"/>
      </w:pPr>
      <w:r>
        <w:t xml:space="preserve">The safety relevance is direct. Current AI deployment treats reliability as a post-hoc constraint applied to capable systems. Artificialware makes reliability a structural property of the architecture itself. A promptgrammed model’s available behaviors are enumerated, its inputs and outputs are specified, and its activation conditions are explicit. When it fails, the failure is locatable. When it succeeds, the success is reproducible. This addresses the auditability gap that interpretability research identifies as critical for safe AI deployment at scale.</w:t>
      </w:r>
    </w:p>
    <w:p>
      <w:pPr>
        <w:pStyle w:val="Heading2"/>
      </w:pPr>
      <w:r>
        <w:t xml:space="preserve">Methodology: Reasoning Trace Analysis</w:t>
      </w:r>
    </w:p>
    <w:p>
      <w:pPr>
        <w:spacing w:after="160"/>
      </w:pPr>
      <w:r>
        <w:t xml:space="preserve">The primary empirical instrument for friction signal validation is reasoning trace analysis. Extended thinking outputs from frontier models provide direct mechanistic evidence of whether the ambient signal is being processed, how it is being interpreted, and whether it is changing the analytical path taken. This connects directly to interpretability research — the question of whether a single integer in a system prompt changes frontier model reasoning is a specific instance of the broader question of how models process and weight environmental signals in their reasoning. Tetraform provides a controlled experimental context in which that question can be studied systematically.</w:t>
      </w:r>
    </w:p>
    <w:p>
      <w:pPr>
        <w:pStyle w:val="Heading2"/>
      </w:pPr>
      <w:r>
        <w:t xml:space="preserve">Why Now</w:t>
      </w:r>
    </w:p>
    <w:p>
      <w:pPr>
        <w:spacing w:after="160"/>
      </w:pPr>
      <w:r>
        <w:t xml:space="preserve">Multi-agent AI systems are proliferating faster than our understanding of their failure modes. The confirmation bias amplification problem is real, observed, and structurally unaddressed at the architectural level. Unlike physics or mathematics, AI alignment has no theorems — the critical questions cannot be resolved analytically and can only be answered empirically. When there are no proofs, you need data. Ontinuity provides both an architectural response and a measurement instrument. The infrastructure exists. The protocol is validated. The novelty claim is bounded and defensible. The data collection can begin.</w:t>
      </w:r>
    </w:p>
    <w:p>
      <w:pPr>
        <w:pBdr>
          <w:bottom w:val="single" w:color="2E75B6" w:sz="6" w:space="1"/>
        </w:pBdr>
      </w:pPr>
    </w:p>
    <w:p>
      <w:pPr>
        <w:spacing w:before="160"/>
      </w:pPr>
      <w:r>
        <w:rPr>
          <w:b/>
          <w:bCs/>
        </w:rPr>
        <w:t xml:space="preserve">Status: </w:t>
      </w:r>
      <w:r>
        <w:t xml:space="preserve">Deployed and operational. GitHub: github.com/PatrickKillebrew/ontinuity. </w:t>
      </w:r>
      <w:r>
        <w:rPr>
          <w:b/>
          <w:bCs/>
        </w:rPr>
        <w:t xml:space="preserve">Contact: </w:t>
      </w:r>
      <w:r>
        <w:t xml:space="preserve">Patrick Killebrew, Killebrew Oilfield Services S-Corp.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D3D"/>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2026-04-17T14:17:20.340Z</dcterms:created>
  <dcterms:modified xsi:type="dcterms:W3CDTF">2026-04-17T14:17:20.341Z</dcterms:modified>
</cp:coreProperties>
</file>

<file path=docProps/custom.xml><?xml version="1.0" encoding="utf-8"?>
<Properties xmlns="http://schemas.openxmlformats.org/officeDocument/2006/custom-properties" xmlns:vt="http://schemas.openxmlformats.org/officeDocument/2006/docPropsVTypes"/>
</file>