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9491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Mtrip海外旅游SaaS管理后台UI设计方案（对标携程eBooking+美团商家后台，基于Ant Design Vue Pro）</w:t>
      </w:r>
    </w:p>
    <w:p w14:paraId="41DC93D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一、方案总览</w:t>
      </w:r>
      <w:bookmarkEnd w:id="0"/>
    </w:p>
    <w:p w14:paraId="437A18FF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设计定位</w:t>
      </w:r>
      <w:bookmarkEnd w:id="1"/>
    </w:p>
    <w:p w14:paraId="04530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对标</w:t>
      </w:r>
      <w:r>
        <w:rPr>
          <w:rFonts w:ascii="Arial" w:hAnsi="Arial" w:eastAsia="等线" w:cs="Arial"/>
          <w:b/>
          <w:sz w:val="22"/>
        </w:rPr>
        <w:t>携程 eBooking 旅游商家后台</w:t>
      </w:r>
      <w:r>
        <w:rPr>
          <w:rFonts w:ascii="Arial" w:hAnsi="Arial" w:eastAsia="等线" w:cs="Arial"/>
          <w:sz w:val="22"/>
        </w:rPr>
        <w:t xml:space="preserve">（专业旅游 OTA、多站点房源、财务结算、数据经营看板）+ </w:t>
      </w:r>
      <w:r>
        <w:rPr>
          <w:rFonts w:ascii="Arial" w:hAnsi="Arial" w:eastAsia="等线" w:cs="Arial"/>
          <w:b/>
          <w:sz w:val="22"/>
        </w:rPr>
        <w:t>美团商家管理后台</w:t>
      </w:r>
      <w:r>
        <w:rPr>
          <w:rFonts w:ascii="Arial" w:hAnsi="Arial" w:eastAsia="等线" w:cs="Arial"/>
          <w:sz w:val="22"/>
        </w:rPr>
        <w:t>（高效商户审核、订单流水线、营销可视化、轻量化操作），结合项目</w:t>
      </w:r>
      <w:r>
        <w:rPr>
          <w:rFonts w:ascii="Arial" w:hAnsi="Arial" w:eastAsia="等线" w:cs="Arial"/>
          <w:b/>
          <w:sz w:val="22"/>
        </w:rPr>
        <w:t>多商户 SaaS、海外 GDPR 合规、多站点隔离、客户端鉴权、财务分账核销</w:t>
      </w:r>
      <w:r>
        <w:rPr>
          <w:rFonts w:ascii="Arial" w:hAnsi="Arial" w:eastAsia="等线" w:cs="Arial"/>
          <w:sz w:val="22"/>
        </w:rPr>
        <w:t>专属业务，基于技术栈</w:t>
      </w:r>
      <w:r>
        <w:rPr>
          <w:rFonts w:ascii="Consolas" w:hAnsi="Consolas" w:eastAsia="Consolas" w:cs="Consolas"/>
          <w:sz w:val="22"/>
          <w:shd w:val="clear" w:fill="EFF0F1"/>
        </w:rPr>
        <w:t>Vue3 + Vite + TS + Ant Design Vue Pro</w:t>
      </w:r>
      <w:r>
        <w:rPr>
          <w:rFonts w:ascii="Arial" w:hAnsi="Arial" w:eastAsia="等线" w:cs="Arial"/>
          <w:sz w:val="22"/>
        </w:rPr>
        <w:t>搭建统一 UI 设计系统，兼顾</w:t>
      </w:r>
      <w:r>
        <w:rPr>
          <w:rFonts w:ascii="Arial" w:hAnsi="Arial" w:eastAsia="等线" w:cs="Arial"/>
          <w:b/>
          <w:sz w:val="22"/>
        </w:rPr>
        <w:t>平台超级管理员、站点运营、财务、商户运营</w:t>
      </w:r>
      <w:r>
        <w:rPr>
          <w:rFonts w:ascii="Arial" w:hAnsi="Arial" w:eastAsia="等线" w:cs="Arial"/>
          <w:sz w:val="22"/>
        </w:rPr>
        <w:t>多角色操作效率，适配海外多货币、多时区、多语言场景。</w:t>
      </w:r>
    </w:p>
    <w:p w14:paraId="31B35FE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核心设计原则（融合携程 + 美团 B 端优势）</w:t>
      </w:r>
      <w:bookmarkEnd w:id="2"/>
    </w:p>
    <w:p w14:paraId="65CA0B6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业务优先，轻量化信息层级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携程优势：数据专业分层、房源 / 订单全流程可视化；美团优势：待办红点提醒、批量快捷操作、筛选器轻量化；所有页面优先展示</w:t>
      </w:r>
      <w:r>
        <w:rPr>
          <w:rFonts w:ascii="Arial" w:hAnsi="Arial" w:eastAsia="等线" w:cs="Arial"/>
          <w:b/>
          <w:sz w:val="22"/>
        </w:rPr>
        <w:t>待处理工单、预警数据、核心营收指标</w:t>
      </w:r>
      <w:r>
        <w:rPr>
          <w:rFonts w:ascii="Arial" w:hAnsi="Arial" w:eastAsia="等线" w:cs="Arial"/>
          <w:sz w:val="22"/>
        </w:rPr>
        <w:t>，减少无效滚动。</w:t>
      </w:r>
    </w:p>
    <w:p w14:paraId="1E3CB42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多角色数据隔离视觉区分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超级管理员（全平台）、站点管理员（单站点）、财务、商户运营菜单、数据面板做视觉标识，跨站点数据自动置灰隐藏，符合 GDPR 数据隔离规范。</w:t>
      </w:r>
    </w:p>
    <w:p w14:paraId="69A1D32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强审计、高可信财务视觉体系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资金、订单、核销、日志模块采用携程金融级数据展示规范，金额分级着色、流水永久归档视觉提示、敏感信息自动脱敏展示。</w:t>
      </w:r>
    </w:p>
    <w:p w14:paraId="66C62E2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国际化适配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一套 UI 支持多语言、多时区、多货币符号自动切换，表单、图表、导出文案动态适配。</w:t>
      </w:r>
    </w:p>
    <w:p w14:paraId="720F9B6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双主题模式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亮色（默认运营）+ 暗色（数据大屏夜间值守），一键切换，兼容 Ant Design Vue Pro 原生主题能力。</w:t>
      </w:r>
    </w:p>
    <w:p w14:paraId="6349F0F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权限驱动 UI 渲染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无权限按钮、Tab、操作入口自动隐藏，后端下发权限标识，前端不硬编码，杜绝越权视觉漏洞。</w:t>
      </w:r>
    </w:p>
    <w:p w14:paraId="0E5F93E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技术适配基础</w:t>
      </w:r>
      <w:bookmarkEnd w:id="3"/>
    </w:p>
    <w:p w14:paraId="3807BE1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栅格系统：12 列弹性栅格，基准画布 1440*900，兼容 1366/1920 办公显示器</w:t>
      </w:r>
    </w:p>
    <w:p w14:paraId="616EE68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布局底座：ProLayout 标准</w:t>
      </w:r>
      <w:r>
        <w:rPr>
          <w:rFonts w:ascii="Arial" w:hAnsi="Arial" w:eastAsia="等线" w:cs="Arial"/>
          <w:b/>
          <w:sz w:val="22"/>
        </w:rPr>
        <w:t>顶部 Header + 左侧可折叠侧边菜单 + 主体内容区</w:t>
      </w:r>
      <w:r>
        <w:rPr>
          <w:rFonts w:ascii="Arial" w:hAnsi="Arial" w:eastAsia="等线" w:cs="Arial"/>
          <w:sz w:val="22"/>
        </w:rPr>
        <w:t>（携程 EBK 同款经典布局，美团商家后台主流布局）</w:t>
      </w:r>
    </w:p>
    <w:p w14:paraId="149518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组件库：全量复用 Ant Design Vue Pro 业务组件，扩展旅游行业定制组件（房型日历库存、核销码卡片、分账流水面板、站点树形选择器）</w:t>
      </w:r>
    </w:p>
    <w:p w14:paraId="774E562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二、全局视觉设计规范（设计系统）</w:t>
      </w:r>
      <w:bookmarkEnd w:id="4"/>
    </w:p>
    <w:p w14:paraId="24B1F82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色彩体系（旅游海外平台专属色，对标携程商务蓝）</w:t>
      </w:r>
      <w:bookmarkEnd w:id="5"/>
    </w:p>
    <w:p w14:paraId="723144F3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主色（品牌核心）</w:t>
      </w:r>
      <w:bookmarkEnd w:id="6"/>
    </w:p>
    <w:p w14:paraId="1E3BDDD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主蓝 </w:t>
      </w:r>
      <w:r>
        <w:rPr>
          <w:rFonts w:ascii="Consolas" w:hAnsi="Consolas" w:eastAsia="Consolas" w:cs="Consolas"/>
          <w:sz w:val="22"/>
          <w:shd w:val="clear" w:fill="EFF0F1"/>
        </w:rPr>
        <w:t>#1677FF</w:t>
      </w:r>
      <w:r>
        <w:rPr>
          <w:rFonts w:ascii="Arial" w:hAnsi="Arial" w:eastAsia="等线" w:cs="Arial"/>
          <w:sz w:val="22"/>
        </w:rPr>
        <w:t>（继承 Antd，携程同款商务蓝，代表专业、海外支付信任）</w:t>
      </w:r>
    </w:p>
    <w:p w14:paraId="0CFA591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辅助橙 </w:t>
      </w:r>
      <w:r>
        <w:rPr>
          <w:rFonts w:ascii="Consolas" w:hAnsi="Consolas" w:eastAsia="Consolas" w:cs="Consolas"/>
          <w:sz w:val="22"/>
          <w:shd w:val="clear" w:fill="EFF0F1"/>
        </w:rPr>
        <w:t>#FF7D00</w:t>
      </w:r>
      <w:r>
        <w:rPr>
          <w:rFonts w:ascii="Arial" w:hAnsi="Arial" w:eastAsia="等线" w:cs="Arial"/>
          <w:sz w:val="22"/>
        </w:rPr>
        <w:t>（对标美团橙，用于营销、活动、待办提醒、特价商品）</w:t>
      </w:r>
    </w:p>
    <w:p w14:paraId="1987259C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状态色（全平台统一语义）</w:t>
      </w:r>
      <w:bookmarkEnd w:id="7"/>
    </w:p>
    <w:p w14:paraId="6A430F0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成功绿 </w:t>
      </w:r>
      <w:r>
        <w:rPr>
          <w:rFonts w:ascii="Consolas" w:hAnsi="Consolas" w:eastAsia="Consolas" w:cs="Consolas"/>
          <w:sz w:val="22"/>
          <w:shd w:val="clear" w:fill="EFF0F1"/>
        </w:rPr>
        <w:t>#00B42A</w:t>
      </w:r>
      <w:r>
        <w:rPr>
          <w:rFonts w:ascii="Arial" w:hAnsi="Arial" w:eastAsia="等线" w:cs="Arial"/>
          <w:sz w:val="22"/>
        </w:rPr>
        <w:t>：审核通过、支付成功、核销完成、提现到账</w:t>
      </w:r>
    </w:p>
    <w:p w14:paraId="5A21E9E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警告黄 </w:t>
      </w:r>
      <w:r>
        <w:rPr>
          <w:rFonts w:ascii="Consolas" w:hAnsi="Consolas" w:eastAsia="Consolas" w:cs="Consolas"/>
          <w:sz w:val="22"/>
          <w:shd w:val="clear" w:fill="EFF0F1"/>
        </w:rPr>
        <w:t>#FF7D00</w:t>
      </w:r>
      <w:r>
        <w:rPr>
          <w:rFonts w:ascii="Arial" w:hAnsi="Arial" w:eastAsia="等线" w:cs="Arial"/>
          <w:sz w:val="22"/>
        </w:rPr>
        <w:t>：低库存、待审核、待退款、即将过期订单</w:t>
      </w:r>
    </w:p>
    <w:p w14:paraId="73DDA07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危险红 </w:t>
      </w:r>
      <w:r>
        <w:rPr>
          <w:rFonts w:ascii="Consolas" w:hAnsi="Consolas" w:eastAsia="Consolas" w:cs="Consolas"/>
          <w:sz w:val="22"/>
          <w:shd w:val="clear" w:fill="EFF0F1"/>
        </w:rPr>
        <w:t>#F53F3F</w:t>
      </w:r>
      <w:r>
        <w:rPr>
          <w:rFonts w:ascii="Arial" w:hAnsi="Arial" w:eastAsia="等线" w:cs="Arial"/>
          <w:sz w:val="22"/>
        </w:rPr>
        <w:t>：禁用、驳回、退款失败、异常核销、违规商户</w:t>
      </w:r>
    </w:p>
    <w:p w14:paraId="7C4C49B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信息灰 </w:t>
      </w:r>
      <w:r>
        <w:rPr>
          <w:rFonts w:ascii="Consolas" w:hAnsi="Consolas" w:eastAsia="Consolas" w:cs="Consolas"/>
          <w:sz w:val="22"/>
          <w:shd w:val="clear" w:fill="EFF0F1"/>
        </w:rPr>
        <w:t>#86909C</w:t>
      </w:r>
      <w:r>
        <w:rPr>
          <w:rFonts w:ascii="Arial" w:hAnsi="Arial" w:eastAsia="等线" w:cs="Arial"/>
          <w:sz w:val="22"/>
        </w:rPr>
        <w:t>：草稿、已归档、过期、只读数据</w:t>
      </w:r>
    </w:p>
    <w:p w14:paraId="7009698E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中性灰度（页面基底）</w:t>
      </w:r>
      <w:bookmarkEnd w:id="8"/>
    </w:p>
    <w:p w14:paraId="71146CC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页面背景 </w:t>
      </w:r>
      <w:r>
        <w:rPr>
          <w:rFonts w:ascii="Consolas" w:hAnsi="Consolas" w:eastAsia="Consolas" w:cs="Consolas"/>
          <w:sz w:val="22"/>
          <w:shd w:val="clear" w:fill="EFF0F1"/>
        </w:rPr>
        <w:t>#F7F8FA</w:t>
      </w:r>
    </w:p>
    <w:p w14:paraId="068AAA9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卡片底色 </w:t>
      </w:r>
      <w:r>
        <w:rPr>
          <w:rFonts w:ascii="Consolas" w:hAnsi="Consolas" w:eastAsia="Consolas" w:cs="Consolas"/>
          <w:sz w:val="22"/>
          <w:shd w:val="clear" w:fill="EFF0F1"/>
        </w:rPr>
        <w:t>#FFFFFF</w:t>
      </w:r>
    </w:p>
    <w:p w14:paraId="42CE350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分割线 </w:t>
      </w:r>
      <w:r>
        <w:rPr>
          <w:rFonts w:ascii="Consolas" w:hAnsi="Consolas" w:eastAsia="Consolas" w:cs="Consolas"/>
          <w:sz w:val="22"/>
          <w:shd w:val="clear" w:fill="EFF0F1"/>
        </w:rPr>
        <w:t>#E5E6EB</w:t>
      </w:r>
    </w:p>
    <w:p w14:paraId="1DDCBA9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正文文字 </w:t>
      </w:r>
      <w:r>
        <w:rPr>
          <w:rFonts w:ascii="Consolas" w:hAnsi="Consolas" w:eastAsia="Consolas" w:cs="Consolas"/>
          <w:sz w:val="22"/>
          <w:shd w:val="clear" w:fill="EFF0F1"/>
        </w:rPr>
        <w:t>#1D2129</w:t>
      </w:r>
    </w:p>
    <w:p w14:paraId="42B4190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次要文字 </w:t>
      </w:r>
      <w:r>
        <w:rPr>
          <w:rFonts w:ascii="Consolas" w:hAnsi="Consolas" w:eastAsia="Consolas" w:cs="Consolas"/>
          <w:sz w:val="22"/>
          <w:shd w:val="clear" w:fill="EFF0F1"/>
        </w:rPr>
        <w:t>#4E5969</w:t>
      </w:r>
    </w:p>
    <w:p w14:paraId="678B0EB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辅助文字（脱敏 / 备注）</w:t>
      </w:r>
      <w:r>
        <w:rPr>
          <w:rFonts w:ascii="Consolas" w:hAnsi="Consolas" w:eastAsia="Consolas" w:cs="Consolas"/>
          <w:sz w:val="22"/>
          <w:shd w:val="clear" w:fill="EFF0F1"/>
        </w:rPr>
        <w:t>#86909C</w:t>
      </w:r>
    </w:p>
    <w:p w14:paraId="19EE0274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财务金额分级色（美团对账页面同款视觉权重）</w:t>
      </w:r>
      <w:bookmarkEnd w:id="9"/>
    </w:p>
    <w:p w14:paraId="53AF466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营收 / 收入：绿色 </w:t>
      </w:r>
      <w:r>
        <w:rPr>
          <w:rFonts w:ascii="Consolas" w:hAnsi="Consolas" w:eastAsia="Consolas" w:cs="Consolas"/>
          <w:sz w:val="22"/>
          <w:shd w:val="clear" w:fill="EFF0F1"/>
        </w:rPr>
        <w:t>#00B42A</w:t>
      </w:r>
    </w:p>
    <w:p w14:paraId="12DEEC1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支出 / 退款：红色 </w:t>
      </w:r>
      <w:r>
        <w:rPr>
          <w:rFonts w:ascii="Consolas" w:hAnsi="Consolas" w:eastAsia="Consolas" w:cs="Consolas"/>
          <w:sz w:val="22"/>
          <w:shd w:val="clear" w:fill="EFF0F1"/>
        </w:rPr>
        <w:t>#F53F3F</w:t>
      </w:r>
    </w:p>
    <w:p w14:paraId="6C174CF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佣金 / 分成：品牌蓝 </w:t>
      </w:r>
      <w:r>
        <w:rPr>
          <w:rFonts w:ascii="Consolas" w:hAnsi="Consolas" w:eastAsia="Consolas" w:cs="Consolas"/>
          <w:sz w:val="22"/>
          <w:shd w:val="clear" w:fill="EFF0F1"/>
        </w:rPr>
        <w:t>#1677FF</w:t>
      </w:r>
    </w:p>
    <w:p w14:paraId="244F1F7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税费：灰色 </w:t>
      </w:r>
      <w:r>
        <w:rPr>
          <w:rFonts w:ascii="Consolas" w:hAnsi="Consolas" w:eastAsia="Consolas" w:cs="Consolas"/>
          <w:sz w:val="22"/>
          <w:shd w:val="clear" w:fill="EFF0F1"/>
        </w:rPr>
        <w:t>#4E5969</w:t>
      </w:r>
    </w:p>
    <w:p w14:paraId="760E082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 字体排版规范（统一无衬线，适配中英文 / 多语言）</w:t>
      </w:r>
      <w:bookmarkEnd w:id="10"/>
    </w:p>
    <w:p w14:paraId="38A3E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字体族：</w:t>
      </w:r>
      <w:r>
        <w:rPr>
          <w:rFonts w:ascii="Consolas" w:hAnsi="Consolas" w:eastAsia="Consolas" w:cs="Consolas"/>
          <w:sz w:val="22"/>
          <w:shd w:val="clear" w:fill="EFF0F1"/>
        </w:rPr>
        <w:t>-apple-system, BlinkMacSystemFont, Roboto, Segoe UI, sans-serif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C02B4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BB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EF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7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5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12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</w:tr>
      <w:tr w14:paraId="22AF9F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E0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页面大标题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A6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B8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C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2F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数据大屏首页、模块总标题</w:t>
            </w:r>
          </w:p>
        </w:tc>
      </w:tr>
      <w:tr w14:paraId="1DAC7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7F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卡片标题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01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B2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8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77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看板 KPI 卡片、表单卡片头部</w:t>
            </w:r>
          </w:p>
        </w:tc>
      </w:tr>
      <w:tr w14:paraId="066AE9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CA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表格表头、Tab 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3A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D8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8B3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68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列表表头、标签页</w:t>
            </w:r>
          </w:p>
        </w:tc>
      </w:tr>
      <w:tr w14:paraId="0EEEF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9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正文、列表内容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0F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58F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D2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75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表单输入、表格单元格、详情文本</w:t>
            </w:r>
          </w:p>
        </w:tc>
      </w:tr>
      <w:tr w14:paraId="7FC131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E8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辅助备注、脱敏文字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35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B0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41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18px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07E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操作日志、备注、敏感隐藏信息</w:t>
            </w:r>
          </w:p>
        </w:tc>
      </w:tr>
    </w:tbl>
    <w:p w14:paraId="512D7AF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2.3 间距与圆角规范（统一呼吸感，携程轻量化卡片）</w:t>
      </w:r>
      <w:bookmarkEnd w:id="11"/>
    </w:p>
    <w:p w14:paraId="56E845D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圆角：基础 4px（按钮、输入框）、8px（卡片、弹窗）、12px（数据大屏大指标卡片）</w:t>
      </w:r>
    </w:p>
    <w:p w14:paraId="049D7CC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间距基准 8px：</w:t>
      </w:r>
    </w:p>
    <w:p w14:paraId="0C4F6F4F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模块内边距：16px</w:t>
      </w:r>
    </w:p>
    <w:p w14:paraId="1D31C463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卡片之间间距：16px</w:t>
      </w:r>
    </w:p>
    <w:p w14:paraId="113BB5A8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表单组件垂直间距：12px</w:t>
      </w:r>
    </w:p>
    <w:p w14:paraId="7A521FE0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表格单元格内边距：12px</w:t>
      </w:r>
    </w:p>
    <w:p w14:paraId="2C9447B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阴影：仅卡片底层轻微阴影 </w:t>
      </w:r>
      <w:r>
        <w:rPr>
          <w:rFonts w:ascii="Consolas" w:hAnsi="Consolas" w:eastAsia="Consolas" w:cs="Consolas"/>
          <w:sz w:val="22"/>
          <w:shd w:val="clear" w:fill="EFF0F1"/>
        </w:rPr>
        <w:t>0 1px 4px rgba(0,0,0,0.06)</w:t>
      </w:r>
      <w:r>
        <w:rPr>
          <w:rFonts w:ascii="Arial" w:hAnsi="Arial" w:eastAsia="等线" w:cs="Arial"/>
          <w:sz w:val="22"/>
        </w:rPr>
        <w:t>，无厚重浮层阴影，保持商务清爽</w:t>
      </w:r>
    </w:p>
    <w:p w14:paraId="4DC276E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2.4 图标规范</w:t>
      </w:r>
      <w:bookmarkEnd w:id="12"/>
    </w:p>
    <w:p w14:paraId="50E8BF6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系统导航图标：Ant Design Outline 线性图标（侧边菜单默认）</w:t>
      </w:r>
    </w:p>
    <w:p w14:paraId="628B8EB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操作按钮图标：Solid 填充图标（新增、编辑、审核、导出）</w:t>
      </w:r>
    </w:p>
    <w:p w14:paraId="597EF96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业务专属图标：酒店、门票、核销设备、支付渠道、站点、客户端密钥定制线性图标</w:t>
      </w:r>
    </w:p>
    <w:p w14:paraId="7A51D83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状态图标：统一配色（成功绿 / 警告橙 / 危险红）</w:t>
      </w:r>
    </w:p>
    <w:p w14:paraId="2F32FED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2.5 敏感数据脱敏视觉规范（GDPR 合规强制）</w:t>
      </w:r>
      <w:bookmarkEnd w:id="13"/>
    </w:p>
    <w:p w14:paraId="730CC12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手机号：138\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**1234</w:t>
      </w:r>
    </w:p>
    <w:p w14:paraId="5838895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邮箱：xxx@\</w:t>
      </w:r>
      <w:r>
        <w:rPr>
          <w:rFonts w:ascii="Arial" w:hAnsi="Arial" w:eastAsia="等线" w:cs="Arial"/>
          <w:i/>
          <w:sz w:val="22"/>
        </w:rPr>
        <w:t>\</w:t>
      </w:r>
      <w:r>
        <w:rPr>
          <w:rFonts w:ascii="Arial" w:hAnsi="Arial" w:eastAsia="等线" w:cs="Arial"/>
          <w:sz w:val="22"/>
        </w:rPr>
        <w:t>*.com</w:t>
      </w:r>
    </w:p>
    <w:p w14:paraId="215004B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密钥 AK/SK、ClientSecret：</w:t>
      </w:r>
      <w:r>
        <w:rPr>
          <w:rFonts w:ascii="Consolas" w:hAnsi="Consolas" w:eastAsia="Consolas" w:cs="Consolas"/>
          <w:sz w:val="22"/>
          <w:shd w:val="clear" w:fill="EFF0F1"/>
        </w:rPr>
        <w:t>sk-**********</w:t>
      </w:r>
      <w:r>
        <w:rPr>
          <w:rFonts w:ascii="Arial" w:hAnsi="Arial" w:eastAsia="等线" w:cs="Arial"/>
          <w:sz w:val="22"/>
        </w:rPr>
        <w:t>，仅超级管理员弹窗展示完整明文</w:t>
      </w:r>
    </w:p>
    <w:p w14:paraId="5989619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银行卡 / 结算账户：尾号 4 位展示，中间星号遮挡</w:t>
      </w:r>
    </w:p>
    <w:p w14:paraId="39B6E5C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接口日志请求参数自动脱敏，页面灰色小字标识「已脱敏」</w:t>
      </w:r>
    </w:p>
    <w:p w14:paraId="4041EB0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三、全局标准布局方案（顶部 Header + 左侧侧边栏 + 内容区）</w:t>
      </w:r>
      <w:bookmarkEnd w:id="14"/>
    </w:p>
    <w:p w14:paraId="5B28CA1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3.1 顶部 Header（高度 48px，全局固定置顶）</w:t>
      </w:r>
      <w:bookmarkEnd w:id="15"/>
    </w:p>
    <w:p w14:paraId="06282D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 5 个区域从左至右：</w:t>
      </w:r>
    </w:p>
    <w:p w14:paraId="79F3374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Logo &amp; 系统名称区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Mtrip 海外旅游平台管理后台，深色侧边栏白色 Logo，浅色侧边栏蓝色 Logo；hover 可快速跳转数据大屏首页。</w:t>
      </w:r>
    </w:p>
    <w:p w14:paraId="1D7A6C9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全局快捷搜索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支持全局检索：商户 ID、订单号、用户手机号、商品名称、站点名称，一键跳转到对应详情页（携程 EBK 核心功能）。</w:t>
      </w:r>
    </w:p>
    <w:p w14:paraId="28F69B5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站点快速切换下拉（SaaS 核心）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超级管理员可下拉切换全平台 / 任意站点；站点管理员仅显示当前站点，置灰不可切换；切换后页面数据自动过滤，同步更新面包屑、筛选条件。</w:t>
      </w:r>
    </w:p>
    <w:p w14:paraId="0B2740D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全局快捷功能区</w:t>
      </w:r>
    </w:p>
    <w:p w14:paraId="20EB5A41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待办消息铃铛：红点数字提示（待审核商户、待退款订单、低库存预警、核销异常），点击弹窗快捷处理</w:t>
      </w:r>
    </w:p>
    <w:p w14:paraId="397DF041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主题切换：亮色 / 暗色一键切换</w:t>
      </w:r>
    </w:p>
    <w:p w14:paraId="01337C3F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多语言切换：中文 / 英文（预留多语种扩展）</w:t>
      </w:r>
    </w:p>
    <w:p w14:paraId="6154AA37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客服帮助入口：操作文档、工单反馈</w:t>
      </w:r>
    </w:p>
    <w:p w14:paraId="3A29CAB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个人账号区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管理员头像、账号名称、所属角色；下拉菜单包含：个人设置、修改密码、操作日志查看、退出登录。</w:t>
      </w:r>
    </w:p>
    <w:p w14:paraId="13794C3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 左侧侧边导航栏（宽度 256px，可一键折叠为 64px 图标栏）</w:t>
      </w:r>
      <w:bookmarkEnd w:id="16"/>
    </w:p>
    <w:p w14:paraId="1894B72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菜单数据源：后端动态下发，根据管理员角色自动过滤无权限菜单，完全匹配文档 12 级一级菜单结构：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系统管理、系统日志、系统配置、商户管理、供应商管理、C 端用户、商品、订单、财务、营销、数据统计、核销管理</w:t>
      </w:r>
    </w:p>
    <w:p w14:paraId="09A17C0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菜单交互规则（融合美团手风琴 + 携程分层）</w:t>
      </w:r>
    </w:p>
    <w:p w14:paraId="6329559A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一级菜单点击展开 / 折叠二级子菜单（手风琴模式，仅展开当前分类）</w:t>
      </w:r>
    </w:p>
    <w:p w14:paraId="2C914417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当前页面菜单蓝色高亮左侧竖线标识</w:t>
      </w:r>
    </w:p>
    <w:p w14:paraId="2FF5D613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带待办数量的菜单右侧橙色数字角标（如商户管理 (12) 代表 12 条待审核商户）</w:t>
      </w:r>
    </w:p>
    <w:p w14:paraId="60565DC0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折叠状态仅展示图标，hover 悬浮弹出完整菜单名称 tooltip</w:t>
      </w:r>
    </w:p>
    <w:p w14:paraId="05C9A94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底部固定栏：侧边栏最下方常驻</w:t>
      </w:r>
      <w:r>
        <w:rPr>
          <w:rFonts w:ascii="Arial" w:hAnsi="Arial" w:eastAsia="等线" w:cs="Arial"/>
          <w:b/>
          <w:sz w:val="22"/>
        </w:rPr>
        <w:t>版本号 V1.0、当前登录站点、权限身份标识</w:t>
      </w:r>
      <w:r>
        <w:rPr>
          <w:rFonts w:ascii="Arial" w:hAnsi="Arial" w:eastAsia="等线" w:cs="Arial"/>
          <w:sz w:val="22"/>
        </w:rPr>
        <w:t>（超级管理员 / 站点运营）</w:t>
      </w:r>
    </w:p>
    <w:p w14:paraId="512D18E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3.3 主体内容区（PageContainer，Antd Pro 标准容器）</w:t>
      </w:r>
      <w:bookmarkEnd w:id="17"/>
    </w:p>
    <w:p w14:paraId="07FEE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页面顶部统一内置：</w:t>
      </w:r>
    </w:p>
    <w:p w14:paraId="71938A9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面包屑导航：自动匹配菜单层级，支持点击回退上级页面</w:t>
      </w:r>
    </w:p>
    <w:p w14:paraId="7C37FF6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页面标题 + 操作按钮组（页面级新增、批量导出、批量审核、刷新）</w:t>
      </w:r>
    </w:p>
    <w:p w14:paraId="19F22B92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筛选器区域（统一横向卡片筛选，对标美团订单列表轻量化筛选）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主体内容分三类页面模板：</w:t>
      </w:r>
      <w:r>
        <w:rPr>
          <w:rFonts w:ascii="Arial" w:hAnsi="Arial" w:eastAsia="等线" w:cs="Arial"/>
          <w:b/>
          <w:sz w:val="22"/>
        </w:rPr>
        <w:t>数据看板页、列表表格页、详情表单页</w:t>
      </w:r>
    </w:p>
    <w:p w14:paraId="2131D329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四、三大核心页面模板设计（对标携程 + 美团行业最佳实践）</w:t>
      </w:r>
      <w:bookmarkEnd w:id="18"/>
    </w:p>
    <w:p w14:paraId="7B46063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模板 1：数据大屏 / 统计中心页面（平台全局数据大屏、站点 / 商户统计）</w:t>
      </w:r>
      <w:bookmarkEnd w:id="19"/>
    </w:p>
    <w:p w14:paraId="2EA121A6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页面结构（12 栅格卡片流式布局）</w:t>
      </w:r>
      <w:bookmarkEnd w:id="20"/>
    </w:p>
    <w:p w14:paraId="7D6BD54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 KPI 核心指标区（4 等分卡片）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超大字号突出核心金额 / 订单量，搭配环比涨跌箭头（绿色上升、红色下跌），对标美团商家经营首页：</w:t>
      </w:r>
    </w:p>
    <w:p w14:paraId="5A0B5445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总营收、今日订单、待结算资金、平台总佣金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每张卡片内置小折线迷你图，hover 弹出近 7 天明细弹窗。</w:t>
      </w:r>
    </w:p>
    <w:p w14:paraId="09EFB19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趋势图表区（通栏 24 格）</w:t>
      </w:r>
    </w:p>
    <w:p w14:paraId="51C9C22D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营收趋势折线图：日 / 周 / 月切换 Tab</w:t>
      </w:r>
    </w:p>
    <w:p w14:paraId="5FD44650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订单量柱状图：区分酒店订单 / 门票订单双系列对比</w:t>
      </w:r>
    </w:p>
    <w:p w14:paraId="4F52DC8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多维排行区（左右 6+6 栅格）</w:t>
      </w:r>
    </w:p>
    <w:p w14:paraId="1A1A085B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左侧：站点营收排行、商户销量 TOP10</w:t>
      </w:r>
    </w:p>
    <w:p w14:paraId="5A5EF617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右侧：热门商品排行、渠道支付占比环形图</w:t>
      </w:r>
    </w:p>
    <w:p w14:paraId="1FE492C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实时监控区（底部通栏）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实时订单滚动列表、异常接口调用、核销设备离线预警卡片，橙色警告标红异常数据。</w:t>
      </w:r>
    </w:p>
    <w:p w14:paraId="5DDE7D8E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专属旅游行业优化点</w:t>
      </w:r>
      <w:bookmarkEnd w:id="21"/>
    </w:p>
    <w:p w14:paraId="481CE16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图表内置站点筛选、时间维度快速切换（今日 / 昨日 / 近 7 天 / 自然月）</w:t>
      </w:r>
    </w:p>
    <w:p w14:paraId="39D2D8B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所有图表支持一键导出 Excel 报表（财务审计需求）</w:t>
      </w:r>
    </w:p>
    <w:p w14:paraId="6E00C52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暗色大屏模式适配夜间值守，降低视觉疲劳</w:t>
      </w:r>
    </w:p>
    <w:p w14:paraId="0B09F79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模板 2：列表表格页面（商户列表、订单列表、商品列表、资金流水、核销日志）</w:t>
      </w:r>
      <w:bookmarkEnd w:id="22"/>
    </w:p>
    <w:p w14:paraId="745FE30A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页面分层结构</w:t>
      </w:r>
      <w:bookmarkEnd w:id="23"/>
    </w:p>
    <w:p w14:paraId="277E1CA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顶部筛选栏（统一折叠式高级筛选）</w:t>
      </w:r>
    </w:p>
    <w:p w14:paraId="0B4ED104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基础快速筛选：站点、状态、时间范围、关键词输入框</w:t>
      </w:r>
    </w:p>
    <w:p w14:paraId="70ACA351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高级筛选折叠面板：商户类型、支付渠道、退改状态、库存阈值等复杂条件（美团同款轻量化折叠，不占用页面空间）</w:t>
      </w:r>
    </w:p>
    <w:p w14:paraId="45B1EC05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筛选按钮：重置、查询、保存常用筛选模板（运营高频使用）</w:t>
      </w:r>
    </w:p>
    <w:p w14:paraId="0311242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批量操作按钮组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批量审核、批量启用 / 禁用、批量导出、批量调整库存、批量退款；无权限按钮自动隐藏。</w:t>
      </w:r>
    </w:p>
    <w:p w14:paraId="778EC98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表格主体（Antd 高级表格，旅游业务定制列）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统一表格规则：</w:t>
      </w:r>
    </w:p>
    <w:p w14:paraId="24DFBD00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状态列使用彩色标签（成功绿 / 警告橙 / 危险红）直观区分订单 / 商户状态</w:t>
      </w:r>
    </w:p>
    <w:p w14:paraId="2A12762E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金额列按财务分级色展示，千分位自动分隔</w:t>
      </w:r>
    </w:p>
    <w:p w14:paraId="3D42F1EB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操作列固定右侧，单行操作按钮 hover 展开下拉（详情、编辑、审核、退款、手动核销）</w:t>
      </w:r>
    </w:p>
    <w:p w14:paraId="18BD6BED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超长文本 hover 悬浮 tooltip 展示完整内容</w:t>
      </w:r>
    </w:p>
    <w:p w14:paraId="11471600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支持自定义列显隐、表格列拖拽排序、固定左侧 ID / 名称列</w:t>
      </w:r>
    </w:p>
    <w:p w14:paraId="4B9855B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底部分页区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分页控件 + 数据总条数、批量导出全部数据按钮、每页条数切换（20/50/100）</w:t>
      </w:r>
    </w:p>
    <w:p w14:paraId="34A645E7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行业定制表格列示例</w:t>
      </w:r>
      <w:bookmarkEnd w:id="24"/>
    </w:p>
    <w:p w14:paraId="0A34A53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订单列表：订单号、站点、商品名称、房型 / 票种、实付金额、订单状态、核销码、操作</w:t>
      </w:r>
    </w:p>
    <w:p w14:paraId="0C2519F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商户列表：商户名称、站点、抽佣比例、待结算金额、资质状态、操作</w:t>
      </w:r>
    </w:p>
    <w:p w14:paraId="060DC1DC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资金流水：流水号、业务类型、收支金额、关联订单、渠道、创建时间</w:t>
      </w:r>
    </w:p>
    <w:p w14:paraId="797F8AB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模板 3：表单 / 详情弹窗页面（新增商户、商品编辑、退款审核、客户端密钥配置）</w:t>
      </w:r>
      <w:bookmarkEnd w:id="25"/>
    </w:p>
    <w:p w14:paraId="76464DD8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1）分步表单（商品新增、商户入驻资质提交，携程房源上架同款分步流程）</w:t>
      </w:r>
      <w:bookmarkEnd w:id="26"/>
    </w:p>
    <w:p w14:paraId="3AC8E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分步骤 Tab：基础信息→图文素材→价格库存→退改规则→提交审核；每一步保存草稿，提交后流转审核。</w:t>
      </w:r>
    </w:p>
    <w:p w14:paraId="6CA950F2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2）详情抽屉弹窗（轻量化操作，不跳转新页面，美团高频交互）</w:t>
      </w:r>
      <w:bookmarkEnd w:id="27"/>
    </w:p>
    <w:p w14:paraId="36946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点击列表「详情」从右侧滑出抽屉，宽度 700px，分层展示：</w:t>
      </w:r>
    </w:p>
    <w:p w14:paraId="2680A9C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基础信息卡片</w:t>
      </w:r>
    </w:p>
    <w:p w14:paraId="554888C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 / 订单 / 流水关联子表格</w:t>
      </w:r>
    </w:p>
    <w:p w14:paraId="6E3012D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操作日志记录（修改前后数据对比）</w:t>
      </w:r>
    </w:p>
    <w:p w14:paraId="45FF0265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底部操作按钮（审核通过 / 驳回、退款、核销）</w:t>
      </w:r>
    </w:p>
    <w:p w14:paraId="05D5A217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3）配置类长表单（系统配置、支付渠道、客户端密钥、VAT 税费）</w:t>
      </w:r>
      <w:bookmarkEnd w:id="28"/>
    </w:p>
    <w:p w14:paraId="53642E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 Tab 分组表单：基础配置、密钥参数、限流 / 白名单、高级规则；密钥输入框自动脱敏，仅超级管理员可见明文查看按钮。</w:t>
      </w:r>
    </w:p>
    <w:p w14:paraId="08D3EF39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表单强制合规视觉提示</w:t>
      </w:r>
      <w:bookmarkEnd w:id="29"/>
    </w:p>
    <w:p w14:paraId="2F2BD37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必填项红色 * 标记，失焦实时校验红色提示文案</w:t>
      </w:r>
    </w:p>
    <w:p w14:paraId="2BFE390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高危操作（注销商户、重置客户端密钥、批量调账）二次确认弹窗，红色警告文字提示风险</w:t>
      </w:r>
    </w:p>
    <w:p w14:paraId="27702CBC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只读字段灰色输入框，不可编辑</w:t>
      </w:r>
    </w:p>
    <w:p w14:paraId="02DF2983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五、核心业务模块页面 UI 专项设计（匹配文档 9 大业务 + 底层系统模块）</w:t>
      </w:r>
      <w:bookmarkEnd w:id="30"/>
    </w:p>
    <w:p w14:paraId="6F05E7FA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5.1 底层系统模块 UI（权限、站点、存储、客户端鉴权）</w:t>
      </w:r>
      <w:bookmarkEnd w:id="31"/>
    </w:p>
    <w:p w14:paraId="58ABE7C5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 &amp; 菜单权限管理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左侧树形菜单勾选面板，右侧绑定管理员列表；树形节点区分一级菜单 / 页面 / 按钮权限，无权限置灰不可勾选，对标 RBAC 三级权限可视化。</w:t>
      </w:r>
    </w:p>
    <w:p w14:paraId="3E611BAA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多站点树形配置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树形结构展示全球站点层级（欧洲→法国→巴黎），站点停用后整行灰色置灰，操作按钮锁定；站点详情卡片展示本地化货币、税率、抽佣比例。</w:t>
      </w:r>
    </w:p>
    <w:p w14:paraId="118FD4E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客户端密钥管理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ClientId 明文展示，ClientSecret 脱敏隐藏；重置密钥橙色高危按钮，弹窗提示重置后移动端接口立即失效；QPS 限流、IP 白名单表单输入框分隔展示多 IP。</w:t>
      </w:r>
    </w:p>
    <w:p w14:paraId="207062D1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双审计日志页面（系统操作日志 + 接口调用日志）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表格内置「查看详情」按钮，弹窗展示</w:t>
      </w:r>
      <w:r>
        <w:rPr>
          <w:rFonts w:ascii="Arial" w:hAnsi="Arial" w:eastAsia="等线" w:cs="Arial"/>
          <w:b/>
          <w:sz w:val="22"/>
        </w:rPr>
        <w:t>修改前后数据对比</w:t>
      </w:r>
      <w:r>
        <w:rPr>
          <w:rFonts w:ascii="Arial" w:hAnsi="Arial" w:eastAsia="等线" w:cs="Arial"/>
          <w:sz w:val="22"/>
        </w:rPr>
        <w:t>；敏感参数自动灰色脱敏标注；日志无删除按钮，顶部文字永久提示「日志不可手动删除，定时归档」，满足 GDPR 审计。</w:t>
      </w:r>
    </w:p>
    <w:p w14:paraId="5E2EF2AB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5.2 商户 &amp; 供应商管理模块 UI</w:t>
      </w:r>
      <w:bookmarkEnd w:id="32"/>
    </w:p>
    <w:p w14:paraId="33DF20F7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商户审核页面：资质图片卡片预览（营业执照、法人证件），审核意见输入框，驳回橙色 / 通过绿色双按钮；待审核商户菜单带橙色数字角标。</w:t>
      </w:r>
    </w:p>
    <w:p w14:paraId="68BF3A1B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商户结算账户卡片：银行信息脱敏展示，SWIFT Code 单独分区，加密提示文字。</w:t>
      </w:r>
    </w:p>
    <w:p w14:paraId="4BB7288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供应商供货商品列表：底价、供货分成两列分色展示，区分供应商成本与商户售价。</w:t>
      </w:r>
    </w:p>
    <w:p w14:paraId="57423A55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5.3 商品管理模块（酒店 / 门票核心）</w:t>
      </w:r>
      <w:bookmarkEnd w:id="33"/>
    </w:p>
    <w:p w14:paraId="6D81B6D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酒店房型分时库存日历组件（携程 EBK 同款核心组件）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横向日期、纵向房型矩阵，单元格展示售价、剩余库存；红色标低库存预警，支持批量框选日期改价、调库存。</w:t>
      </w:r>
    </w:p>
    <w:p w14:paraId="1A666D92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景区票种管理：核销规则独立卡片，区分分时票 / 套票，核销次数限制高亮提示。</w:t>
      </w:r>
    </w:p>
    <w:p w14:paraId="7347B28A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商品审核工作台：左侧待审核商品列表，右侧大图预览 + 信息编辑区，一键通过 / 驳回填写原因。</w:t>
      </w:r>
    </w:p>
    <w:p w14:paraId="27F4340B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5.4 订单 &amp; 财务模块（金融级视觉，对标携程结算后台）</w:t>
      </w:r>
      <w:bookmarkEnd w:id="34"/>
    </w:p>
    <w:p w14:paraId="10409802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订单状态全流程进度条：待支付→已支付→待核销 / 待入住→已完成，退款 / 取消分支灰色虚线展示。</w:t>
      </w:r>
    </w:p>
    <w:p w14:paraId="065EBBD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退款审核专用页面：自动计算可退金额高亮展示，退改规则悬浮提示，驳回记录永久留存。</w:t>
      </w:r>
    </w:p>
    <w:p w14:paraId="05CDE07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财务分账总览卡片：平台佣金、商户实收、供应商成本三色区分；月度对账单导出蓝色主按钮，顶部提示「流水永久归档不可删除」。</w:t>
      </w:r>
    </w:p>
    <w:p w14:paraId="1931241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税费配置 Tab：各国站点 VAT 税率表格，自动含税 / 不含税预览计算。</w:t>
      </w:r>
    </w:p>
    <w:p w14:paraId="1B67155C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5.5 核销管理模块（线下终端管控）</w:t>
      </w:r>
      <w:bookmarkEnd w:id="35"/>
    </w:p>
    <w:p w14:paraId="7F6C78FA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核销设备状态卡片：绿色在线、灰色离线、红色故障，设备密钥重置高危操作弹窗确认。</w:t>
      </w:r>
    </w:p>
    <w:p w14:paraId="786478D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核销日志表格：每条记录标注核销设备编号、操作员、核销时间，重复核销异常标红高亮。</w:t>
      </w:r>
    </w:p>
    <w:p w14:paraId="4DF02A04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后台手动核销弹窗：输入核销码校验，撤销核销需填写审批备注，操作日志永久记录。</w:t>
      </w:r>
    </w:p>
    <w:p w14:paraId="186EFD9F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5.6 营销活动模块（优惠券、限时活动）</w:t>
      </w:r>
      <w:bookmarkEnd w:id="36"/>
    </w:p>
    <w:p w14:paraId="5E4EF092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优惠券卡片列表：直观展示满减 / 折扣面值、有效期、领取使用数据，未开始灰色、进行中蓝色、已结束灰色。</w:t>
      </w:r>
    </w:p>
    <w:p w14:paraId="0F2999AC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 Banner 配置可视化预览区，左侧配置表单、右侧实时预览站点 H5 首页效果。</w:t>
      </w:r>
    </w:p>
    <w:p w14:paraId="70D78595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六、交互体验规范（对标美团 + 携程高效操作）</w:t>
      </w:r>
      <w:bookmarkEnd w:id="37"/>
    </w:p>
    <w:p w14:paraId="1E7BA187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待办驱动交互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所有待处理工单（商户审核、退款、低库存、核销异常）全局红点角标，顶部铃铛一键聚合处理，无需逐层查找菜单。</w:t>
      </w:r>
    </w:p>
    <w:p w14:paraId="073B65F6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批量快捷操作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列表支持多选批量审核、批量上下架、批量导出、批量启停，减少重复单点操作（美团商家后台核心优势）。</w:t>
      </w:r>
    </w:p>
    <w:p w14:paraId="725607E4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草稿自动保存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商品、商户编辑表单实时自动存草稿，刷新页面不丢失填写内容。</w:t>
      </w:r>
    </w:p>
    <w:p w14:paraId="3F369030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高危操作强阻断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注销商户、重置密钥、批量退款、删除站点均弹出二次确认弹窗，强制输入备注原因，操作写入审计日志。</w:t>
      </w:r>
    </w:p>
    <w:p w14:paraId="248BFC18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异步任务提示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大数据导出、批量库存调整、报表生成右下角全局进度弹窗，完成后通知下载文件。</w:t>
      </w:r>
    </w:p>
    <w:p w14:paraId="34F1C76B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数据隔离交互限制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站点管理员切换到非本站点数据，表格整行置灰，操作按钮全部锁定，hover tooltip 提示「无跨站点数据权限」。</w:t>
      </w:r>
    </w:p>
    <w:p w14:paraId="13DCDFF2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加载与空状态</w:t>
      </w:r>
    </w:p>
    <w:p w14:paraId="58AFD4E1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表格加载：骨架屏占位，无空白闪烁</w:t>
      </w:r>
    </w:p>
    <w:p w14:paraId="7805B806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无数据空页面：图文提示 + 快捷新增按钮，不展示空白表格</w:t>
      </w:r>
    </w:p>
    <w:p w14:paraId="415A3ABA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403 无权限页面：定制旅游后台无权限插图，返回首页按钮</w:t>
      </w:r>
    </w:p>
    <w:p w14:paraId="2D109808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七、多主题与国际化适配方案</w:t>
      </w:r>
      <w:bookmarkEnd w:id="38"/>
    </w:p>
    <w:p w14:paraId="65504159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7.1 双主题切换</w:t>
      </w:r>
      <w:bookmarkEnd w:id="39"/>
    </w:p>
    <w:p w14:paraId="05708560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亮色主题（默认运营模式）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白底卡片、蓝色主按钮，适合日常商户、订单、商品运营操作。</w:t>
      </w:r>
    </w:p>
    <w:p w14:paraId="1446756D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暗色主题（数据大屏 / 夜间值守）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深灰背景、高亮图表配色，降低长时间盯屏视觉疲劳，数据大屏页面默认适配暗色。</w:t>
      </w:r>
    </w:p>
    <w:p w14:paraId="68AF4F71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7.2 国际化 UI 适配</w:t>
      </w:r>
      <w:bookmarkEnd w:id="40"/>
    </w:p>
    <w:p w14:paraId="7C213746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文字自适应宽度：英文长文本自动换行，表单输入框自适应拉伸</w:t>
      </w:r>
    </w:p>
    <w:p w14:paraId="25408807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货币符号动态渲染：USD/EUR/GBP 随站点配置自动切换金额前缀</w:t>
      </w:r>
    </w:p>
    <w:p w14:paraId="4F1A1A54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时区时间展示：数据库 UTC 时间，前端按站点时区自动转换，标注时区后缀</w:t>
      </w:r>
    </w:p>
    <w:p w14:paraId="532E9A16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表单校验文案、按钮、日志文本多语言 json 配置，一键切换中英文</w:t>
      </w:r>
    </w:p>
    <w:p w14:paraId="114724B1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八、非功能性 UI 约束（配套文档非功能性需求）</w:t>
      </w:r>
      <w:bookmarkEnd w:id="41"/>
    </w:p>
    <w:p w14:paraId="2BDB05D8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 UI 约束</w:t>
      </w:r>
    </w:p>
    <w:p w14:paraId="35F6C48F">
      <w:pPr>
        <w:numPr>
          <w:ilvl w:val="0"/>
          <w:numId w:val="1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表格分页默认 20 条，超 1000 条数据禁用前端全量渲染，强制分页 / 异步导出</w:t>
      </w:r>
    </w:p>
    <w:p w14:paraId="2F034DC2">
      <w:pPr>
        <w:numPr>
          <w:ilvl w:val="0"/>
          <w:numId w:val="1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图片（酒店 / 门票素材）统一压缩缩略图，列表仅展示小图，详情弹窗加载原图</w:t>
      </w:r>
    </w:p>
    <w:p w14:paraId="34147258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数据大屏图表懒加载，切换 Tab 销毁闲置图表释放内存</w:t>
      </w:r>
    </w:p>
    <w:p w14:paraId="0AE346C7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 UI 约束</w:t>
      </w:r>
    </w:p>
    <w:p w14:paraId="0710205F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所有密钥、身份证、手机号前端强制脱敏，无入口一键展示全部明文（仅超级管理员单独弹窗）</w:t>
      </w:r>
    </w:p>
    <w:p w14:paraId="2D186842">
      <w:pPr>
        <w:numPr>
          <w:ilvl w:val="0"/>
          <w:numId w:val="1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无权限按钮、菜单、Tab 从 DOM 移除，不做单纯隐藏，杜绝前端调试越权</w:t>
      </w:r>
    </w:p>
    <w:p w14:paraId="73CBDE28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 GDPR 视觉提示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日志、用户数据页面顶部常驻浅色提示条：「用户数据按 GDPR 规范存储，支持导出 / 删除申请，操作永久审计」</w:t>
      </w:r>
    </w:p>
    <w:p w14:paraId="1CE475D8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响应式适配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后台最小适配分辨率 1366*768；宽度不足时侧边栏自动折叠，表格横向滚动，表单自动纵向堆叠。</w:t>
      </w:r>
    </w:p>
    <w:p w14:paraId="32CD622E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九、落地交付物清单（可直接交付前端 / UI 设计师）</w:t>
      </w:r>
      <w:bookmarkEnd w:id="42"/>
    </w:p>
    <w:p w14:paraId="109C3783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全局设计规范文档（色彩、字体、间距、组件规则）</w:t>
      </w:r>
    </w:p>
    <w:p w14:paraId="636932E5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全局布局高保真原型（顶部 Header + 侧边栏 + 内容区）</w:t>
      </w:r>
    </w:p>
    <w:p w14:paraId="6B33861D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三大页面模板组件库（数据看板、列表表格、表单详情）</w:t>
      </w:r>
    </w:p>
    <w:p w14:paraId="262F7A60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旅游行业定制组件源文件：分时库存日历、核销卡片、分账 KPI 卡片、站点树形选择器、脱敏输入框</w:t>
      </w:r>
    </w:p>
    <w:p w14:paraId="0BF7FA6C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全部核心业务页面高保真 UI：</w:t>
      </w:r>
    </w:p>
    <w:p w14:paraId="406ACCBE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系统权限、站点配置、客户端鉴权页面</w:t>
      </w:r>
    </w:p>
    <w:p w14:paraId="2C566725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商户 / 供应商全页面</w:t>
      </w:r>
    </w:p>
    <w:p w14:paraId="6B60A8D1">
      <w:pPr>
        <w:numPr>
          <w:ilvl w:val="0"/>
          <w:numId w:val="1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酒店 / 门票商品编辑、库存日历</w:t>
      </w:r>
    </w:p>
    <w:p w14:paraId="15953D53">
      <w:pPr>
        <w:numPr>
          <w:ilvl w:val="0"/>
          <w:numId w:val="1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订单列表、退款审核、财务结算流水</w:t>
      </w:r>
    </w:p>
    <w:p w14:paraId="6CBF8CD3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核销设备、核销日志</w:t>
      </w:r>
    </w:p>
    <w:p w14:paraId="6D5C6BD3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数据统计大屏、各维度报表</w:t>
      </w:r>
    </w:p>
    <w:p w14:paraId="190C92C6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双主题样式变量 Less 文件（适配 Ant Design Vue Pro）</w:t>
      </w:r>
    </w:p>
    <w:p w14:paraId="4B809EA2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交互原型说明文档（弹窗、批量操作、高危确认、日志详情对比交互）</w:t>
      </w:r>
    </w:p>
    <w:p w14:paraId="5732E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需要我把这套方案整理成</w:t>
      </w:r>
      <w:r>
        <w:rPr>
          <w:rFonts w:ascii="Arial" w:hAnsi="Arial" w:eastAsia="等线" w:cs="Arial"/>
          <w:b/>
          <w:sz w:val="22"/>
        </w:rPr>
        <w:t>可直接交付设计师的精简版 PRD UI 规范文档</w:t>
      </w:r>
      <w:r>
        <w:rPr>
          <w:rFonts w:ascii="Arial" w:hAnsi="Arial" w:eastAsia="等线" w:cs="Arial"/>
          <w:sz w:val="22"/>
        </w:rPr>
        <w:t>，或者输出某一个核心页面（如数据大屏 / 商户审核页）的详细页面结构拆解吗？</w:t>
      </w:r>
    </w:p>
    <w:p w14:paraId="4DD0684B">
      <w:pPr>
        <w:spacing w:before="120" w:after="120" w:line="288" w:lineRule="auto"/>
        <w:ind w:left="0"/>
        <w:jc w:val="left"/>
      </w:pPr>
      <w:bookmarkStart w:id="43" w:name="_GoBack"/>
      <w:bookmarkEnd w:id="4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5172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39C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8CD717A"/>
    <w:multiLevelType w:val="singleLevel"/>
    <w:tmpl w:val="98CD717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D7EB8E6"/>
    <w:multiLevelType w:val="singleLevel"/>
    <w:tmpl w:val="9D7EB8E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DFC6F65"/>
    <w:multiLevelType w:val="singleLevel"/>
    <w:tmpl w:val="9DFC6F6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1">
    <w:nsid w:val="9F81B9F9"/>
    <w:multiLevelType w:val="singleLevel"/>
    <w:tmpl w:val="9F81B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A9AC3AA7"/>
    <w:multiLevelType w:val="singleLevel"/>
    <w:tmpl w:val="A9AC3A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BF50FE6B"/>
    <w:multiLevelType w:val="singleLevel"/>
    <w:tmpl w:val="BF50FE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90D1B09"/>
    <w:multiLevelType w:val="singleLevel"/>
    <w:tmpl w:val="C90D1B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7936317"/>
    <w:multiLevelType w:val="singleLevel"/>
    <w:tmpl w:val="D793631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9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DAE62134"/>
    <w:multiLevelType w:val="singleLevel"/>
    <w:tmpl w:val="DAE621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3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E43A772E"/>
    <w:multiLevelType w:val="singleLevel"/>
    <w:tmpl w:val="E43A772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E52D9448"/>
    <w:multiLevelType w:val="singleLevel"/>
    <w:tmpl w:val="E52D9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EA28CC15"/>
    <w:multiLevelType w:val="singleLevel"/>
    <w:tmpl w:val="EA28CC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F237ACA1"/>
    <w:multiLevelType w:val="singleLevel"/>
    <w:tmpl w:val="F237A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F3A33954"/>
    <w:multiLevelType w:val="singleLevel"/>
    <w:tmpl w:val="F3A339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F4A942FE"/>
    <w:multiLevelType w:val="singleLevel"/>
    <w:tmpl w:val="F4A942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01836A6D"/>
    <w:multiLevelType w:val="singleLevel"/>
    <w:tmpl w:val="01836A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01D7E1C7"/>
    <w:multiLevelType w:val="singleLevel"/>
    <w:tmpl w:val="01D7E1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03C240C0"/>
    <w:multiLevelType w:val="singleLevel"/>
    <w:tmpl w:val="03C240C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8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9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0C0E1E13"/>
    <w:multiLevelType w:val="singleLevel"/>
    <w:tmpl w:val="0C0E1E1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10F0DB0B"/>
    <w:multiLevelType w:val="singleLevel"/>
    <w:tmpl w:val="10F0DB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2007DCFD"/>
    <w:multiLevelType w:val="singleLevel"/>
    <w:tmpl w:val="2007DCF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5">
    <w:nsid w:val="21B3B1B1"/>
    <w:multiLevelType w:val="singleLevel"/>
    <w:tmpl w:val="21B3B1B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6">
    <w:nsid w:val="227C9188"/>
    <w:multiLevelType w:val="singleLevel"/>
    <w:tmpl w:val="227C918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2B3F3F89"/>
    <w:multiLevelType w:val="singleLevel"/>
    <w:tmpl w:val="2B3F3F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7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38EAC418"/>
    <w:multiLevelType w:val="singleLevel"/>
    <w:tmpl w:val="38EAC4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3FE315B6"/>
    <w:multiLevelType w:val="singleLevel"/>
    <w:tmpl w:val="3FE315B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5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6">
    <w:nsid w:val="40F245EA"/>
    <w:multiLevelType w:val="singleLevel"/>
    <w:tmpl w:val="40F245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4258023A"/>
    <w:multiLevelType w:val="singleLevel"/>
    <w:tmpl w:val="4258023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4C3D7A74"/>
    <w:multiLevelType w:val="singleLevel"/>
    <w:tmpl w:val="4C3D7A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2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4D63189B"/>
    <w:multiLevelType w:val="singleLevel"/>
    <w:tmpl w:val="4D63189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4FB438A5"/>
    <w:multiLevelType w:val="singleLevel"/>
    <w:tmpl w:val="4FB438A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7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8">
    <w:nsid w:val="54701CA1"/>
    <w:multiLevelType w:val="singleLevel"/>
    <w:tmpl w:val="54701C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9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1">
    <w:nsid w:val="59EEFD2A"/>
    <w:multiLevelType w:val="singleLevel"/>
    <w:tmpl w:val="59EEFD2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4">
    <w:nsid w:val="5FCE4367"/>
    <w:multiLevelType w:val="singleLevel"/>
    <w:tmpl w:val="5FCE43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5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610EFE5C"/>
    <w:multiLevelType w:val="singleLevel"/>
    <w:tmpl w:val="610EFE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8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0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1">
    <w:nsid w:val="6AFC2A1C"/>
    <w:multiLevelType w:val="singleLevel"/>
    <w:tmpl w:val="6AFC2A1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2">
    <w:nsid w:val="6D423078"/>
    <w:multiLevelType w:val="singleLevel"/>
    <w:tmpl w:val="6D4230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77633216"/>
    <w:multiLevelType w:val="singleLevel"/>
    <w:tmpl w:val="77633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7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8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2"/>
  </w:num>
  <w:num w:numId="2">
    <w:abstractNumId w:val="46"/>
  </w:num>
  <w:num w:numId="3">
    <w:abstractNumId w:val="130"/>
  </w:num>
  <w:num w:numId="4">
    <w:abstractNumId w:val="38"/>
  </w:num>
  <w:num w:numId="5">
    <w:abstractNumId w:val="30"/>
  </w:num>
  <w:num w:numId="6">
    <w:abstractNumId w:val="78"/>
  </w:num>
  <w:num w:numId="7">
    <w:abstractNumId w:val="101"/>
  </w:num>
  <w:num w:numId="8">
    <w:abstractNumId w:val="144"/>
  </w:num>
  <w:num w:numId="9">
    <w:abstractNumId w:val="75"/>
  </w:num>
  <w:num w:numId="10">
    <w:abstractNumId w:val="9"/>
  </w:num>
  <w:num w:numId="11">
    <w:abstractNumId w:val="102"/>
  </w:num>
  <w:num w:numId="12">
    <w:abstractNumId w:val="132"/>
  </w:num>
  <w:num w:numId="13">
    <w:abstractNumId w:val="42"/>
  </w:num>
  <w:num w:numId="14">
    <w:abstractNumId w:val="123"/>
  </w:num>
  <w:num w:numId="15">
    <w:abstractNumId w:val="67"/>
  </w:num>
  <w:num w:numId="16">
    <w:abstractNumId w:val="99"/>
  </w:num>
  <w:num w:numId="17">
    <w:abstractNumId w:val="53"/>
  </w:num>
  <w:num w:numId="18">
    <w:abstractNumId w:val="50"/>
  </w:num>
  <w:num w:numId="19">
    <w:abstractNumId w:val="17"/>
  </w:num>
  <w:num w:numId="20">
    <w:abstractNumId w:val="120"/>
  </w:num>
  <w:num w:numId="21">
    <w:abstractNumId w:val="136"/>
  </w:num>
  <w:num w:numId="22">
    <w:abstractNumId w:val="83"/>
  </w:num>
  <w:num w:numId="23">
    <w:abstractNumId w:val="118"/>
  </w:num>
  <w:num w:numId="24">
    <w:abstractNumId w:val="27"/>
  </w:num>
  <w:num w:numId="25">
    <w:abstractNumId w:val="149"/>
  </w:num>
  <w:num w:numId="26">
    <w:abstractNumId w:val="147"/>
  </w:num>
  <w:num w:numId="27">
    <w:abstractNumId w:val="37"/>
  </w:num>
  <w:num w:numId="28">
    <w:abstractNumId w:val="138"/>
  </w:num>
  <w:num w:numId="29">
    <w:abstractNumId w:val="10"/>
  </w:num>
  <w:num w:numId="30">
    <w:abstractNumId w:val="111"/>
  </w:num>
  <w:num w:numId="31">
    <w:abstractNumId w:val="4"/>
  </w:num>
  <w:num w:numId="32">
    <w:abstractNumId w:val="129"/>
  </w:num>
  <w:num w:numId="33">
    <w:abstractNumId w:val="150"/>
  </w:num>
  <w:num w:numId="34">
    <w:abstractNumId w:val="1"/>
  </w:num>
  <w:num w:numId="35">
    <w:abstractNumId w:val="98"/>
  </w:num>
  <w:num w:numId="36">
    <w:abstractNumId w:val="125"/>
  </w:num>
  <w:num w:numId="37">
    <w:abstractNumId w:val="70"/>
  </w:num>
  <w:num w:numId="38">
    <w:abstractNumId w:val="55"/>
  </w:num>
  <w:num w:numId="39">
    <w:abstractNumId w:val="106"/>
  </w:num>
  <w:num w:numId="40">
    <w:abstractNumId w:val="148"/>
  </w:num>
  <w:num w:numId="41">
    <w:abstractNumId w:val="33"/>
  </w:num>
  <w:num w:numId="42">
    <w:abstractNumId w:val="7"/>
  </w:num>
  <w:num w:numId="43">
    <w:abstractNumId w:val="32"/>
  </w:num>
  <w:num w:numId="44">
    <w:abstractNumId w:val="133"/>
  </w:num>
  <w:num w:numId="45">
    <w:abstractNumId w:val="3"/>
  </w:num>
  <w:num w:numId="46">
    <w:abstractNumId w:val="90"/>
  </w:num>
  <w:num w:numId="47">
    <w:abstractNumId w:val="6"/>
  </w:num>
  <w:num w:numId="48">
    <w:abstractNumId w:val="135"/>
  </w:num>
  <w:num w:numId="49">
    <w:abstractNumId w:val="145"/>
  </w:num>
  <w:num w:numId="50">
    <w:abstractNumId w:val="121"/>
  </w:num>
  <w:num w:numId="51">
    <w:abstractNumId w:val="107"/>
  </w:num>
  <w:num w:numId="52">
    <w:abstractNumId w:val="139"/>
  </w:num>
  <w:num w:numId="53">
    <w:abstractNumId w:val="79"/>
  </w:num>
  <w:num w:numId="54">
    <w:abstractNumId w:val="81"/>
  </w:num>
  <w:num w:numId="55">
    <w:abstractNumId w:val="49"/>
  </w:num>
  <w:num w:numId="56">
    <w:abstractNumId w:val="108"/>
  </w:num>
  <w:num w:numId="57">
    <w:abstractNumId w:val="93"/>
  </w:num>
  <w:num w:numId="58">
    <w:abstractNumId w:val="61"/>
  </w:num>
  <w:num w:numId="59">
    <w:abstractNumId w:val="97"/>
  </w:num>
  <w:num w:numId="60">
    <w:abstractNumId w:val="29"/>
  </w:num>
  <w:num w:numId="61">
    <w:abstractNumId w:val="115"/>
  </w:num>
  <w:num w:numId="62">
    <w:abstractNumId w:val="84"/>
  </w:num>
  <w:num w:numId="63">
    <w:abstractNumId w:val="109"/>
  </w:num>
  <w:num w:numId="64">
    <w:abstractNumId w:val="76"/>
  </w:num>
  <w:num w:numId="65">
    <w:abstractNumId w:val="40"/>
  </w:num>
  <w:num w:numId="66">
    <w:abstractNumId w:val="87"/>
  </w:num>
  <w:num w:numId="67">
    <w:abstractNumId w:val="28"/>
  </w:num>
  <w:num w:numId="68">
    <w:abstractNumId w:val="113"/>
  </w:num>
  <w:num w:numId="69">
    <w:abstractNumId w:val="23"/>
  </w:num>
  <w:num w:numId="70">
    <w:abstractNumId w:val="69"/>
  </w:num>
  <w:num w:numId="71">
    <w:abstractNumId w:val="105"/>
  </w:num>
  <w:num w:numId="72">
    <w:abstractNumId w:val="71"/>
  </w:num>
  <w:num w:numId="73">
    <w:abstractNumId w:val="89"/>
  </w:num>
  <w:num w:numId="74">
    <w:abstractNumId w:val="143"/>
  </w:num>
  <w:num w:numId="75">
    <w:abstractNumId w:val="57"/>
  </w:num>
  <w:num w:numId="76">
    <w:abstractNumId w:val="41"/>
  </w:num>
  <w:num w:numId="77">
    <w:abstractNumId w:val="22"/>
  </w:num>
  <w:num w:numId="78">
    <w:abstractNumId w:val="146"/>
  </w:num>
  <w:num w:numId="79">
    <w:abstractNumId w:val="51"/>
  </w:num>
  <w:num w:numId="80">
    <w:abstractNumId w:val="31"/>
  </w:num>
  <w:num w:numId="81">
    <w:abstractNumId w:val="104"/>
  </w:num>
  <w:num w:numId="82">
    <w:abstractNumId w:val="59"/>
  </w:num>
  <w:num w:numId="83">
    <w:abstractNumId w:val="14"/>
  </w:num>
  <w:num w:numId="84">
    <w:abstractNumId w:val="131"/>
  </w:num>
  <w:num w:numId="85">
    <w:abstractNumId w:val="35"/>
  </w:num>
  <w:num w:numId="86">
    <w:abstractNumId w:val="26"/>
  </w:num>
  <w:num w:numId="87">
    <w:abstractNumId w:val="11"/>
  </w:num>
  <w:num w:numId="88">
    <w:abstractNumId w:val="18"/>
  </w:num>
  <w:num w:numId="89">
    <w:abstractNumId w:val="25"/>
  </w:num>
  <w:num w:numId="90">
    <w:abstractNumId w:val="8"/>
  </w:num>
  <w:num w:numId="91">
    <w:abstractNumId w:val="92"/>
  </w:num>
  <w:num w:numId="92">
    <w:abstractNumId w:val="36"/>
  </w:num>
  <w:num w:numId="93">
    <w:abstractNumId w:val="88"/>
  </w:num>
  <w:num w:numId="94">
    <w:abstractNumId w:val="47"/>
  </w:num>
  <w:num w:numId="95">
    <w:abstractNumId w:val="140"/>
  </w:num>
  <w:num w:numId="96">
    <w:abstractNumId w:val="0"/>
  </w:num>
  <w:num w:numId="97">
    <w:abstractNumId w:val="34"/>
  </w:num>
  <w:num w:numId="98">
    <w:abstractNumId w:val="68"/>
  </w:num>
  <w:num w:numId="99">
    <w:abstractNumId w:val="122"/>
  </w:num>
  <w:num w:numId="100">
    <w:abstractNumId w:val="85"/>
  </w:num>
  <w:num w:numId="101">
    <w:abstractNumId w:val="15"/>
  </w:num>
  <w:num w:numId="102">
    <w:abstractNumId w:val="54"/>
  </w:num>
  <w:num w:numId="103">
    <w:abstractNumId w:val="91"/>
  </w:num>
  <w:num w:numId="104">
    <w:abstractNumId w:val="119"/>
  </w:num>
  <w:num w:numId="105">
    <w:abstractNumId w:val="24"/>
  </w:num>
  <w:num w:numId="106">
    <w:abstractNumId w:val="137"/>
  </w:num>
  <w:num w:numId="107">
    <w:abstractNumId w:val="2"/>
  </w:num>
  <w:num w:numId="108">
    <w:abstractNumId w:val="5"/>
  </w:num>
  <w:num w:numId="109">
    <w:abstractNumId w:val="73"/>
  </w:num>
  <w:num w:numId="110">
    <w:abstractNumId w:val="21"/>
  </w:num>
  <w:num w:numId="111">
    <w:abstractNumId w:val="39"/>
  </w:num>
  <w:num w:numId="112">
    <w:abstractNumId w:val="43"/>
  </w:num>
  <w:num w:numId="113">
    <w:abstractNumId w:val="66"/>
  </w:num>
  <w:num w:numId="114">
    <w:abstractNumId w:val="134"/>
  </w:num>
  <w:num w:numId="115">
    <w:abstractNumId w:val="64"/>
  </w:num>
  <w:num w:numId="116">
    <w:abstractNumId w:val="128"/>
  </w:num>
  <w:num w:numId="117">
    <w:abstractNumId w:val="95"/>
  </w:num>
  <w:num w:numId="118">
    <w:abstractNumId w:val="13"/>
  </w:num>
  <w:num w:numId="119">
    <w:abstractNumId w:val="77"/>
  </w:num>
  <w:num w:numId="120">
    <w:abstractNumId w:val="20"/>
  </w:num>
  <w:num w:numId="121">
    <w:abstractNumId w:val="103"/>
  </w:num>
  <w:num w:numId="122">
    <w:abstractNumId w:val="127"/>
  </w:num>
  <w:num w:numId="123">
    <w:abstractNumId w:val="45"/>
  </w:num>
  <w:num w:numId="124">
    <w:abstractNumId w:val="16"/>
  </w:num>
  <w:num w:numId="125">
    <w:abstractNumId w:val="100"/>
  </w:num>
  <w:num w:numId="126">
    <w:abstractNumId w:val="116"/>
  </w:num>
  <w:num w:numId="127">
    <w:abstractNumId w:val="86"/>
  </w:num>
  <w:num w:numId="128">
    <w:abstractNumId w:val="124"/>
  </w:num>
  <w:num w:numId="129">
    <w:abstractNumId w:val="126"/>
  </w:num>
  <w:num w:numId="130">
    <w:abstractNumId w:val="96"/>
  </w:num>
  <w:num w:numId="131">
    <w:abstractNumId w:val="58"/>
  </w:num>
  <w:num w:numId="132">
    <w:abstractNumId w:val="19"/>
  </w:num>
  <w:num w:numId="133">
    <w:abstractNumId w:val="112"/>
  </w:num>
  <w:num w:numId="134">
    <w:abstractNumId w:val="114"/>
  </w:num>
  <w:num w:numId="135">
    <w:abstractNumId w:val="82"/>
  </w:num>
  <w:num w:numId="136">
    <w:abstractNumId w:val="142"/>
  </w:num>
  <w:num w:numId="137">
    <w:abstractNumId w:val="56"/>
  </w:num>
  <w:num w:numId="138">
    <w:abstractNumId w:val="94"/>
  </w:num>
  <w:num w:numId="139">
    <w:abstractNumId w:val="80"/>
  </w:num>
  <w:num w:numId="140">
    <w:abstractNumId w:val="60"/>
  </w:num>
  <w:num w:numId="141">
    <w:abstractNumId w:val="63"/>
  </w:num>
  <w:num w:numId="142">
    <w:abstractNumId w:val="48"/>
  </w:num>
  <w:num w:numId="143">
    <w:abstractNumId w:val="117"/>
  </w:num>
  <w:num w:numId="144">
    <w:abstractNumId w:val="65"/>
  </w:num>
  <w:num w:numId="145">
    <w:abstractNumId w:val="12"/>
  </w:num>
  <w:num w:numId="146">
    <w:abstractNumId w:val="62"/>
  </w:num>
  <w:num w:numId="147">
    <w:abstractNumId w:val="74"/>
  </w:num>
  <w:num w:numId="148">
    <w:abstractNumId w:val="44"/>
  </w:num>
  <w:num w:numId="149">
    <w:abstractNumId w:val="110"/>
  </w:num>
  <w:num w:numId="150">
    <w:abstractNumId w:val="141"/>
  </w:num>
  <w:num w:numId="15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0F5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6062</Words>
  <Characters>6788</Characters>
  <TotalTime>0</TotalTime>
  <ScaleCrop>false</ScaleCrop>
  <LinksUpToDate>false</LinksUpToDate>
  <CharactersWithSpaces>7172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2026-07-28T02:51:00Z</dcterms:created>
  <dc:creator>Apache POI</dc:creator>
  <cp:lastModifiedBy>Arthur</cp:lastModifiedBy>
  <dcterms:modified xsi:type="dcterms:W3CDTF">2026-07-28T02:52:42Z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{"Label":"1","ContentProducer":"001191110102MACQD9K64010000","ProduceID":"7667406153534197035","ReservedCode1":"","ContentPropagator":"","PropagateID":"","ReservedCode2":""}</vt:lpwstr>
  </property>
  <property fmtid="{D5CDD505-2E9C-101B-9397-08002B2CF9AE}" pid="3" name="KSOTemplateDocerSaveRecord">
    <vt:lpwstr>eyJoZGlkIjoiZWQwNTE3YWI2ZmU4OTI4M2MyNTFlNDQ1YTE3ZTZlOWEiLCJ1c2VySWQiOiI2OTUzMDU4OTMifQ==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BD050BACE50C43E2ABBEFE46DE5EE9A7_12</vt:lpwstr>
  </property>
</Properties>
</file>