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7673" w14:textId="03007EEE" w:rsidR="00E208F5" w:rsidRDefault="0060555E">
      <w:pPr>
        <w:pStyle w:val="Heading1"/>
        <w:keepNext/>
        <w:spacing w:before="240" w:after="60" w:line="276" w:lineRule="auto"/>
        <w:rPr>
          <w:b/>
          <w:bCs/>
          <w:kern w:val="32"/>
          <w:sz w:val="32"/>
          <w:szCs w:val="32"/>
        </w:rPr>
      </w:pPr>
      <w:r>
        <w:rPr>
          <w:b/>
          <w:bCs/>
          <w:kern w:val="32"/>
          <w:sz w:val="32"/>
          <w:szCs w:val="32"/>
        </w:rPr>
        <w:t>20</w:t>
      </w:r>
      <w:r w:rsidR="002A3C47">
        <w:rPr>
          <w:b/>
          <w:bCs/>
          <w:kern w:val="32"/>
          <w:sz w:val="32"/>
          <w:szCs w:val="32"/>
        </w:rPr>
        <w:t>2</w:t>
      </w:r>
      <w:r w:rsidR="00A91518">
        <w:rPr>
          <w:b/>
          <w:bCs/>
          <w:kern w:val="32"/>
          <w:sz w:val="32"/>
          <w:szCs w:val="32"/>
        </w:rPr>
        <w:t>3</w:t>
      </w:r>
      <w:r w:rsidR="00E208F5">
        <w:rPr>
          <w:b/>
          <w:bCs/>
          <w:kern w:val="32"/>
          <w:sz w:val="32"/>
          <w:szCs w:val="32"/>
        </w:rPr>
        <w:t>.</w:t>
      </w:r>
      <w:r w:rsidR="00FF39D6">
        <w:rPr>
          <w:b/>
          <w:bCs/>
          <w:kern w:val="32"/>
          <w:sz w:val="32"/>
          <w:szCs w:val="32"/>
        </w:rPr>
        <w:t>1</w:t>
      </w:r>
      <w:r w:rsidR="00E208F5">
        <w:rPr>
          <w:b/>
          <w:bCs/>
          <w:kern w:val="32"/>
          <w:sz w:val="32"/>
          <w:szCs w:val="32"/>
        </w:rPr>
        <w:t xml:space="preserve"> Required Upgrade Path</w:t>
      </w:r>
      <w:r w:rsidR="00485A1D">
        <w:rPr>
          <w:b/>
          <w:bCs/>
          <w:kern w:val="32"/>
          <w:sz w:val="32"/>
          <w:szCs w:val="32"/>
        </w:rPr>
        <w:t xml:space="preserve"> (Assuming Database is already upgraded to 20</w:t>
      </w:r>
      <w:r w:rsidR="0079155D">
        <w:rPr>
          <w:b/>
          <w:bCs/>
          <w:kern w:val="32"/>
          <w:sz w:val="32"/>
          <w:szCs w:val="32"/>
        </w:rPr>
        <w:t>20</w:t>
      </w:r>
      <w:r w:rsidR="00485A1D">
        <w:rPr>
          <w:b/>
          <w:bCs/>
          <w:kern w:val="32"/>
          <w:sz w:val="32"/>
          <w:szCs w:val="32"/>
        </w:rPr>
        <w:t>.</w:t>
      </w:r>
      <w:r w:rsidR="00AC2A70">
        <w:rPr>
          <w:b/>
          <w:bCs/>
          <w:kern w:val="32"/>
          <w:sz w:val="32"/>
          <w:szCs w:val="32"/>
        </w:rPr>
        <w:t>1</w:t>
      </w:r>
      <w:r w:rsidR="00485A1D">
        <w:rPr>
          <w:b/>
          <w:bCs/>
          <w:kern w:val="32"/>
          <w:sz w:val="32"/>
          <w:szCs w:val="32"/>
        </w:rPr>
        <w:t>)</w:t>
      </w:r>
    </w:p>
    <w:p w14:paraId="62EB4C04" w14:textId="423B3313" w:rsidR="00605630" w:rsidRPr="009148CD" w:rsidRDefault="00605630" w:rsidP="00605630">
      <w:pPr>
        <w:rPr>
          <w:b/>
          <w:bCs/>
        </w:rPr>
      </w:pPr>
      <w:r w:rsidRPr="00791ED3">
        <w:rPr>
          <w:b/>
          <w:bCs/>
          <w:highlight w:val="yellow"/>
        </w:rPr>
        <w:t xml:space="preserve">Note: </w:t>
      </w:r>
      <w:r>
        <w:rPr>
          <w:b/>
          <w:bCs/>
          <w:highlight w:val="yellow"/>
        </w:rPr>
        <w:t>2022.</w:t>
      </w:r>
      <w:r w:rsidRPr="00791ED3">
        <w:rPr>
          <w:b/>
          <w:bCs/>
          <w:highlight w:val="yellow"/>
        </w:rPr>
        <w:t>1 does not exist! It was skipped/integrated into 20</w:t>
      </w:r>
      <w:r>
        <w:rPr>
          <w:b/>
          <w:bCs/>
          <w:highlight w:val="yellow"/>
        </w:rPr>
        <w:t>23</w:t>
      </w:r>
      <w:r w:rsidRPr="00791ED3">
        <w:rPr>
          <w:b/>
          <w:bCs/>
          <w:highlight w:val="yellow"/>
        </w:rPr>
        <w:t>.</w:t>
      </w:r>
      <w:r>
        <w:rPr>
          <w:b/>
          <w:bCs/>
          <w:highlight w:val="yellow"/>
        </w:rPr>
        <w:t>1</w:t>
      </w:r>
      <w:r w:rsidRPr="00791ED3">
        <w:rPr>
          <w:b/>
          <w:bCs/>
          <w:highlight w:val="yellow"/>
        </w:rPr>
        <w:t xml:space="preserve"> (code), however, the script for 20</w:t>
      </w:r>
      <w:r>
        <w:rPr>
          <w:b/>
          <w:bCs/>
          <w:highlight w:val="yellow"/>
        </w:rPr>
        <w:t>22</w:t>
      </w:r>
      <w:r w:rsidRPr="00791ED3">
        <w:rPr>
          <w:b/>
          <w:bCs/>
          <w:highlight w:val="yellow"/>
        </w:rPr>
        <w:t>.1 is still critical to execute!</w:t>
      </w:r>
    </w:p>
    <w:p w14:paraId="45121CE5" w14:textId="77777777" w:rsidR="00605630" w:rsidRPr="00605630" w:rsidRDefault="00605630" w:rsidP="0060563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8"/>
        <w:gridCol w:w="1620"/>
        <w:gridCol w:w="3870"/>
        <w:gridCol w:w="5580"/>
      </w:tblGrid>
      <w:tr w:rsidR="00E208F5" w14:paraId="3D51E597" w14:textId="77777777" w:rsidTr="007054DD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EFB1C" w14:textId="77777777" w:rsidR="00E208F5" w:rsidRDefault="00E208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Sequence Number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43924" w14:textId="77777777" w:rsidR="00E208F5" w:rsidRDefault="00E208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0D6FE" w14:textId="77777777" w:rsidR="00E208F5" w:rsidRDefault="00E208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4C1F6" w14:textId="77777777" w:rsidR="00E208F5" w:rsidRDefault="00E208F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E40869" w14:paraId="07A6F85E" w14:textId="77777777" w:rsidTr="007054DD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1A8ED" w14:textId="77777777" w:rsidR="00E40869" w:rsidRDefault="00E40869" w:rsidP="00E408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421F" w14:textId="77777777" w:rsidR="00E40869" w:rsidRDefault="00E40869" w:rsidP="00E408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777AD" w14:textId="77777777" w:rsidR="00E40869" w:rsidRPr="00E80FE8" w:rsidRDefault="00E40869" w:rsidP="00E408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 w:rsidRPr="00E80FE8">
              <w:rPr>
                <w:rFonts w:ascii="Times New Roman" w:hAnsi="Times New Roman" w:cs="Times New Roman"/>
                <w:sz w:val="20"/>
                <w:szCs w:val="20"/>
              </w:rPr>
              <w:t xml:space="preserve"> 2020.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.sql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0E93" w14:textId="77777777" w:rsidR="00E40869" w:rsidRDefault="00E40869" w:rsidP="00E408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production database.</w:t>
            </w:r>
          </w:p>
        </w:tc>
      </w:tr>
      <w:tr w:rsidR="002A3C47" w14:paraId="18A24D01" w14:textId="77777777" w:rsidTr="007054DD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2F542" w14:textId="77777777" w:rsidR="002A3C47" w:rsidRDefault="00E40869" w:rsidP="00D35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7A6EA" w14:textId="77777777" w:rsidR="002A3C47" w:rsidRDefault="002A3C47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B32DA" w14:textId="77777777" w:rsidR="002A3C47" w:rsidRPr="00E80FE8" w:rsidRDefault="002A3C47" w:rsidP="005C7C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Migrate</w:t>
            </w:r>
            <w:r w:rsidR="0079155D">
              <w:rPr>
                <w:rFonts w:ascii="Times New Roman" w:hAnsi="Times New Roman" w:cs="Times New Roman"/>
                <w:sz w:val="20"/>
                <w:szCs w:val="20"/>
              </w:rPr>
              <w:t>GenderAndSexualOrientation</w:t>
            </w:r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.bat</w:t>
            </w:r>
            <w:r w:rsidR="00E80FE8">
              <w:rPr>
                <w:rFonts w:ascii="Times New Roman" w:hAnsi="Times New Roman" w:cs="Times New Roman"/>
                <w:sz w:val="20"/>
                <w:szCs w:val="20"/>
              </w:rPr>
              <w:t xml:space="preserve"> (and accompanying sub-directory)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AB8DA" w14:textId="77777777" w:rsidR="002A3C47" w:rsidRDefault="002A3C47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Used for running the </w:t>
            </w:r>
            <w:proofErr w:type="spellStart"/>
            <w:r w:rsidRPr="002A3C47">
              <w:rPr>
                <w:rFonts w:ascii="Times New Roman" w:hAnsi="Times New Roman" w:cs="Times New Roman"/>
                <w:sz w:val="20"/>
                <w:szCs w:val="20"/>
              </w:rPr>
              <w:t>MigrateInsightUDT</w:t>
            </w:r>
            <w:proofErr w:type="spellEnd"/>
            <w:r w:rsidRPr="002A3C47">
              <w:rPr>
                <w:rFonts w:ascii="Times New Roman" w:hAnsi="Times New Roman" w:cs="Times New Roman"/>
                <w:sz w:val="20"/>
                <w:szCs w:val="20"/>
              </w:rPr>
              <w:t xml:space="preserve"> SQL 2019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.exe tool for each datatype that needs to be updated for 2020.</w:t>
            </w:r>
            <w:r w:rsidR="007915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79155D">
              <w:rPr>
                <w:rFonts w:ascii="Times New Roman" w:hAnsi="Times New Roman" w:cs="Times New Roman"/>
                <w:sz w:val="20"/>
                <w:szCs w:val="20"/>
              </w:rPr>
              <w:t>gender_cd</w:t>
            </w:r>
            <w:proofErr w:type="spellEnd"/>
            <w:r w:rsidR="0079155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79155D">
              <w:rPr>
                <w:rFonts w:ascii="Times New Roman" w:hAnsi="Times New Roman" w:cs="Times New Roman"/>
                <w:sz w:val="20"/>
                <w:szCs w:val="20"/>
              </w:rPr>
              <w:t>sexual_orientation_cd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). This changes the </w:t>
            </w:r>
            <w:r w:rsidR="0079155D">
              <w:rPr>
                <w:rFonts w:ascii="Times New Roman" w:hAnsi="Times New Roman" w:cs="Times New Roman"/>
                <w:sz w:val="20"/>
                <w:szCs w:val="20"/>
              </w:rPr>
              <w:t>size of both GENDER_CD and SEXUAL_ORIENTATION_CD from a length of 2 to a length of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A3C47" w14:paraId="67A6841A" w14:textId="77777777" w:rsidTr="007054DD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0CF9E" w14:textId="77777777" w:rsidR="002A3C47" w:rsidRDefault="000A2147" w:rsidP="00D35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9B956" w14:textId="77777777" w:rsidR="002A3C47" w:rsidRDefault="0021094B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80963" w14:textId="77777777" w:rsidR="002A3C47" w:rsidRPr="00E80FE8" w:rsidRDefault="0021094B" w:rsidP="005C7C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 w:rsidRPr="00E80FE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F39D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F39D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.sql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CD93C" w14:textId="77777777" w:rsidR="002A3C47" w:rsidRDefault="0021094B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production database.</w:t>
            </w:r>
          </w:p>
        </w:tc>
      </w:tr>
      <w:tr w:rsidR="00A91518" w14:paraId="6E4B2360" w14:textId="77777777" w:rsidTr="007054DD"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5D09E" w14:textId="45A59C11" w:rsidR="00A91518" w:rsidRDefault="00A91518" w:rsidP="00D35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132D1" w14:textId="14A7D477" w:rsidR="00A91518" w:rsidRDefault="00A91518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72150" w14:textId="6D491817" w:rsidR="00A91518" w:rsidRPr="00E80FE8" w:rsidRDefault="00A91518" w:rsidP="005C7C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 w:rsidRPr="00E80FE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80FE8">
              <w:rPr>
                <w:rFonts w:ascii="Times New Roman" w:hAnsi="Times New Roman" w:cs="Times New Roman"/>
                <w:sz w:val="20"/>
                <w:szCs w:val="20"/>
              </w:rPr>
              <w:t>.sql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5EC68" w14:textId="2AF0D2CC" w:rsidR="00A91518" w:rsidRDefault="00A91518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production database.</w:t>
            </w:r>
          </w:p>
        </w:tc>
      </w:tr>
      <w:tr w:rsidR="00A91518" w14:paraId="4061ECC2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5B80" w14:textId="7D611190" w:rsidR="00A91518" w:rsidRDefault="00A91518" w:rsidP="00D35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BE9C7" w14:textId="058E93C1" w:rsidR="00A91518" w:rsidRDefault="00A91518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484E9" w14:textId="23605886" w:rsidR="00A91518" w:rsidRPr="00E80FE8" w:rsidRDefault="00A91518" w:rsidP="005C7C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NS-122728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IcsMain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Deprecate Unused SQL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SPs.sql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9DD0" w14:textId="4A2B6D4D" w:rsidR="00A91518" w:rsidRDefault="00A91518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production database.</w:t>
            </w:r>
          </w:p>
        </w:tc>
      </w:tr>
      <w:tr w:rsidR="00A91518" w14:paraId="4CB7E3A9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955E" w14:textId="0FEBB5E7" w:rsidR="00A91518" w:rsidRDefault="00A91518" w:rsidP="00D35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81AF4" w14:textId="49C70145" w:rsidR="00A91518" w:rsidRDefault="00A91518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EDA61" w14:textId="47B03304" w:rsidR="00A91518" w:rsidRPr="00E80FE8" w:rsidRDefault="00A91518" w:rsidP="005C7C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1518">
              <w:rPr>
                <w:rFonts w:ascii="Times New Roman" w:hAnsi="Times New Roman" w:cs="Times New Roman"/>
                <w:sz w:val="20"/>
                <w:szCs w:val="20"/>
              </w:rPr>
              <w:t xml:space="preserve">NS-122803 </w:t>
            </w:r>
            <w:proofErr w:type="spellStart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>IcsMain</w:t>
            </w:r>
            <w:proofErr w:type="spellEnd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 xml:space="preserve"> Update SQL </w:t>
            </w:r>
            <w:proofErr w:type="spellStart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>Triggers.sql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CAFF9" w14:textId="7F0D0C18" w:rsidR="00A91518" w:rsidRDefault="00A91518" w:rsidP="006D7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production database.</w:t>
            </w:r>
          </w:p>
        </w:tc>
      </w:tr>
      <w:tr w:rsidR="00A91518" w14:paraId="5FC79111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B2E2" w14:textId="3B036FE2" w:rsidR="00A91518" w:rsidRDefault="00A91518" w:rsidP="00A915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B86CE" w14:textId="25D2D1C6" w:rsidR="00A91518" w:rsidRDefault="00A91518" w:rsidP="00A91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F6C98" w14:textId="77006BA9" w:rsidR="00A91518" w:rsidRPr="00A91518" w:rsidRDefault="00A91518" w:rsidP="00A91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1518">
              <w:rPr>
                <w:rFonts w:ascii="Times New Roman" w:hAnsi="Times New Roman" w:cs="Times New Roman"/>
                <w:sz w:val="20"/>
                <w:szCs w:val="20"/>
              </w:rPr>
              <w:t xml:space="preserve">NS-152717 Update Visit Number Value in </w:t>
            </w:r>
            <w:proofErr w:type="spellStart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>Notes_FF</w:t>
            </w:r>
            <w:proofErr w:type="spellEnd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E24E" w14:textId="08831E24" w:rsidR="00A91518" w:rsidRDefault="00A91518" w:rsidP="00A91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production database.</w:t>
            </w:r>
          </w:p>
        </w:tc>
      </w:tr>
      <w:tr w:rsidR="00A91518" w14:paraId="4138CC53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3966" w14:textId="0DE801E1" w:rsidR="00A91518" w:rsidRDefault="00A91518" w:rsidP="00A9151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2A325" w14:textId="23C668CE" w:rsidR="00A91518" w:rsidRDefault="00A91518" w:rsidP="00A91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InsightCS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(main)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998E8" w14:textId="5BAEAD91" w:rsidR="00A91518" w:rsidRPr="00A91518" w:rsidRDefault="00901385" w:rsidP="00A91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91518" w:rsidRPr="00A91518">
              <w:rPr>
                <w:rFonts w:ascii="Times New Roman" w:hAnsi="Times New Roman" w:cs="Times New Roman"/>
                <w:sz w:val="20"/>
                <w:szCs w:val="20"/>
              </w:rPr>
              <w:t xml:space="preserve">S-127537 - SQL Server Audit Log </w:t>
            </w:r>
            <w:proofErr w:type="spellStart"/>
            <w:r w:rsidR="00A91518" w:rsidRPr="00A91518">
              <w:rPr>
                <w:rFonts w:ascii="Times New Roman" w:hAnsi="Times New Roman" w:cs="Times New Roman"/>
                <w:sz w:val="20"/>
                <w:szCs w:val="20"/>
              </w:rPr>
              <w:t>Specifications.sql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EDA5" w14:textId="4D03DFEF" w:rsidR="00A91518" w:rsidRDefault="00A91518" w:rsidP="00A915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production database.</w:t>
            </w:r>
          </w:p>
        </w:tc>
      </w:tr>
      <w:tr w:rsidR="00605630" w14:paraId="0C51659C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51BE3" w14:textId="7EBD7F0A" w:rsidR="00605630" w:rsidRDefault="00605630" w:rsidP="0060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BAA29" w14:textId="4FB9E116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BA070" w14:textId="2296C18F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2022.1.sql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6D5B5" w14:textId="0893F72F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Run on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605630" w14:paraId="16C8093B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39869" w14:textId="3E667EE4" w:rsidR="00605630" w:rsidRDefault="00605630" w:rsidP="0060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AD0D4" w14:textId="0D792730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A494F" w14:textId="05E14207" w:rsidR="00605630" w:rsidRPr="00A91518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2023.1.sql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B0B94" w14:textId="2134B9BC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Run on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605630" w14:paraId="0111CDE9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BEC1A" w14:textId="0052C25C" w:rsidR="00605630" w:rsidRDefault="00605630" w:rsidP="0060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4CAE" w14:textId="12C3E2D3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381A1" w14:textId="086AE3BB" w:rsidR="00605630" w:rsidRPr="00A91518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1518">
              <w:rPr>
                <w:rFonts w:ascii="Times New Roman" w:hAnsi="Times New Roman" w:cs="Times New Roman"/>
                <w:sz w:val="20"/>
                <w:szCs w:val="20"/>
              </w:rPr>
              <w:t xml:space="preserve">NS-122728 </w:t>
            </w:r>
            <w:proofErr w:type="spellStart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 xml:space="preserve"> Deprecate Unused SQL </w:t>
            </w:r>
            <w:proofErr w:type="spellStart"/>
            <w:r w:rsidRPr="00A91518">
              <w:rPr>
                <w:rFonts w:ascii="Times New Roman" w:hAnsi="Times New Roman" w:cs="Times New Roman"/>
                <w:sz w:val="20"/>
                <w:szCs w:val="20"/>
              </w:rPr>
              <w:t>SPs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0F632" w14:textId="65AA8BC8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Run on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Sislnk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database.</w:t>
            </w:r>
          </w:p>
        </w:tc>
      </w:tr>
      <w:tr w:rsidR="00605630" w14:paraId="0DC67DB1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BED7" w14:textId="78795D99" w:rsidR="00605630" w:rsidRDefault="00605630" w:rsidP="0060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21AF" w14:textId="54E5CEB6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Collector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1FC6" w14:textId="5675C2C2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Collector 2022.1.sql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5C9AB" w14:textId="35BCEBB1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Collector database.</w:t>
            </w:r>
          </w:p>
        </w:tc>
      </w:tr>
      <w:tr w:rsidR="00605630" w14:paraId="7A7DA726" w14:textId="77777777" w:rsidTr="007054DD">
        <w:trPr>
          <w:trHeight w:val="525"/>
        </w:trPr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6454" w14:textId="20EED108" w:rsidR="00605630" w:rsidRDefault="00605630" w:rsidP="006056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AD537" w14:textId="71A54F33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Collector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6BA1" w14:textId="66B333EC" w:rsidR="00605630" w:rsidRPr="00A91518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Collector 2023.1.sql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F8B9" w14:textId="4CE462BF" w:rsidR="00605630" w:rsidRDefault="00605630" w:rsidP="006056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Run on the Collector database.</w:t>
            </w:r>
          </w:p>
        </w:tc>
      </w:tr>
    </w:tbl>
    <w:p w14:paraId="7A26B7D8" w14:textId="77777777" w:rsidR="00E208F5" w:rsidRDefault="00E208F5" w:rsidP="00E208F5">
      <w:pPr>
        <w:pStyle w:val="Heading2"/>
      </w:pPr>
      <w:r>
        <w:t xml:space="preserve">Detailed </w:t>
      </w:r>
      <w:r w:rsidR="00570A82">
        <w:t xml:space="preserve">Migration </w:t>
      </w:r>
      <w:r>
        <w:t>Instructions</w:t>
      </w:r>
    </w:p>
    <w:p w14:paraId="3A67C54B" w14:textId="77777777" w:rsidR="0057396A" w:rsidRDefault="0057396A" w:rsidP="00E208F5">
      <w:r>
        <w:t xml:space="preserve">The following steps should be performed </w:t>
      </w:r>
      <w:r w:rsidRPr="00570A82">
        <w:rPr>
          <w:b/>
          <w:bCs/>
          <w:i/>
          <w:iCs/>
          <w:color w:val="FF0000"/>
          <w:sz w:val="28"/>
          <w:szCs w:val="28"/>
        </w:rPr>
        <w:t>from the database server</w:t>
      </w:r>
      <w:r>
        <w:t>, not a user’s machine</w:t>
      </w:r>
      <w:r w:rsidR="00E80FE8">
        <w:t xml:space="preserve"> or different server</w:t>
      </w:r>
      <w:r>
        <w:t>.</w:t>
      </w:r>
      <w:r w:rsidR="00E208F5">
        <w:tab/>
      </w:r>
      <w:r w:rsidR="00E208F5">
        <w:tab/>
      </w:r>
    </w:p>
    <w:p w14:paraId="3A089069" w14:textId="77777777" w:rsidR="00E208F5" w:rsidRDefault="00E208F5" w:rsidP="00E208F5">
      <w:r>
        <w:tab/>
      </w:r>
      <w:r>
        <w:tab/>
      </w:r>
      <w:r>
        <w:tab/>
      </w:r>
    </w:p>
    <w:p w14:paraId="7598CE87" w14:textId="77777777" w:rsidR="00E208F5" w:rsidRDefault="00E208F5">
      <w:p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Before You Begin</w:t>
      </w:r>
    </w:p>
    <w:p w14:paraId="02380EB4" w14:textId="77777777" w:rsidR="00E208F5" w:rsidRDefault="00E208F5">
      <w:pPr>
        <w:rPr>
          <w:rFonts w:ascii="Tahoma" w:hAnsi="Tahoma" w:cs="Tahoma"/>
          <w:sz w:val="22"/>
          <w:szCs w:val="22"/>
        </w:rPr>
      </w:pPr>
    </w:p>
    <w:p w14:paraId="3B98B408" w14:textId="77777777" w:rsidR="00BB5440" w:rsidRPr="005E40C5" w:rsidRDefault="00E208F5" w:rsidP="005E40C5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ahoma" w:hAnsi="Tahoma" w:cs="Tahoma"/>
          <w:sz w:val="16"/>
          <w:szCs w:val="16"/>
        </w:rPr>
      </w:pPr>
      <w:r w:rsidRPr="005E40C5">
        <w:rPr>
          <w:rFonts w:ascii="Tahoma" w:hAnsi="Tahoma" w:cs="Tahoma"/>
        </w:rPr>
        <w:lastRenderedPageBreak/>
        <w:t xml:space="preserve">Locate </w:t>
      </w:r>
      <w:r w:rsidR="00BB5440" w:rsidRPr="005E40C5">
        <w:rPr>
          <w:rFonts w:ascii="Tahoma" w:hAnsi="Tahoma" w:cs="Tahoma"/>
        </w:rPr>
        <w:t xml:space="preserve">the </w:t>
      </w:r>
      <w:r w:rsidRPr="005E40C5">
        <w:rPr>
          <w:rFonts w:ascii="Tahoma" w:hAnsi="Tahoma" w:cs="Tahoma"/>
        </w:rPr>
        <w:t xml:space="preserve">Migration Scripts and </w:t>
      </w:r>
      <w:r w:rsidR="00E80FE8" w:rsidRPr="005E40C5">
        <w:rPr>
          <w:rFonts w:ascii="Tahoma" w:hAnsi="Tahoma" w:cs="Tahoma"/>
        </w:rPr>
        <w:t>Batch file</w:t>
      </w:r>
      <w:r w:rsidR="00BB5440" w:rsidRPr="005E40C5">
        <w:rPr>
          <w:rFonts w:ascii="Tahoma" w:hAnsi="Tahoma" w:cs="Tahoma"/>
        </w:rPr>
        <w:t xml:space="preserve"> mentioned above. For 2020.1, these items can be found in the Scripts folder. The executable requires additional files that are found in the scripts\MigrationAssistant2019 folder. Do </w:t>
      </w:r>
      <w:r w:rsidR="00BB5440" w:rsidRPr="005E40C5">
        <w:rPr>
          <w:rFonts w:ascii="Tahoma" w:hAnsi="Tahoma" w:cs="Tahoma"/>
          <w:i/>
          <w:iCs/>
        </w:rPr>
        <w:t>not</w:t>
      </w:r>
      <w:r w:rsidR="00BB5440" w:rsidRPr="005E40C5">
        <w:rPr>
          <w:rFonts w:ascii="Tahoma" w:hAnsi="Tahoma" w:cs="Tahoma"/>
        </w:rPr>
        <w:t xml:space="preserve"> rename the folder. Make sure all files are copied to the </w:t>
      </w:r>
      <w:r w:rsidR="00BB5440" w:rsidRPr="005E40C5">
        <w:rPr>
          <w:rFonts w:ascii="Tahoma" w:hAnsi="Tahoma" w:cs="Tahoma"/>
          <w:b/>
          <w:bCs/>
          <w:i/>
          <w:iCs/>
        </w:rPr>
        <w:t>database server</w:t>
      </w:r>
      <w:r w:rsidR="00BB5440" w:rsidRPr="005E40C5">
        <w:rPr>
          <w:rFonts w:ascii="Tahoma" w:hAnsi="Tahoma" w:cs="Tahoma"/>
        </w:rPr>
        <w:t>.</w:t>
      </w:r>
    </w:p>
    <w:p w14:paraId="6C3F69ED" w14:textId="77777777" w:rsidR="00E42533" w:rsidRDefault="00E42533" w:rsidP="00E42533">
      <w:pPr>
        <w:tabs>
          <w:tab w:val="left" w:pos="360"/>
        </w:tabs>
        <w:rPr>
          <w:rFonts w:ascii="Tahoma" w:hAnsi="Tahoma" w:cs="Tahoma"/>
          <w:sz w:val="22"/>
          <w:szCs w:val="22"/>
        </w:rPr>
      </w:pPr>
    </w:p>
    <w:p w14:paraId="57CFA3D4" w14:textId="77777777" w:rsidR="00E208F5" w:rsidRDefault="00E208F5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Migrate the </w:t>
      </w:r>
      <w:proofErr w:type="spellStart"/>
      <w:r>
        <w:rPr>
          <w:rFonts w:ascii="Tahoma" w:hAnsi="Tahoma" w:cs="Tahoma"/>
          <w:b/>
          <w:bCs/>
          <w:sz w:val="22"/>
          <w:szCs w:val="22"/>
        </w:rPr>
        <w:t>InsightCS</w:t>
      </w:r>
      <w:proofErr w:type="spellEnd"/>
      <w:r>
        <w:rPr>
          <w:rFonts w:ascii="Tahoma" w:hAnsi="Tahoma" w:cs="Tahoma"/>
          <w:b/>
          <w:bCs/>
          <w:sz w:val="22"/>
          <w:szCs w:val="22"/>
        </w:rPr>
        <w:t xml:space="preserve"> Database</w:t>
      </w:r>
    </w:p>
    <w:p w14:paraId="53CCEA3C" w14:textId="77777777" w:rsidR="00E208F5" w:rsidRDefault="00E208F5">
      <w:pPr>
        <w:rPr>
          <w:rFonts w:ascii="Tahoma" w:hAnsi="Tahoma" w:cs="Tahoma"/>
          <w:sz w:val="16"/>
          <w:szCs w:val="16"/>
        </w:rPr>
      </w:pPr>
    </w:p>
    <w:p w14:paraId="0CE49B2E" w14:textId="77777777" w:rsidR="005E40C5" w:rsidRPr="009E533E" w:rsidRDefault="005E40C5" w:rsidP="005E40C5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ahoma" w:hAnsi="Tahoma" w:cs="Tahoma"/>
        </w:rPr>
      </w:pPr>
      <w:r w:rsidRPr="009E533E">
        <w:rPr>
          <w:rFonts w:ascii="Tahoma" w:hAnsi="Tahoma" w:cs="Tahoma"/>
        </w:rPr>
        <w:t xml:space="preserve">Back Up </w:t>
      </w:r>
      <w:proofErr w:type="gramStart"/>
      <w:r w:rsidRPr="009E533E">
        <w:rPr>
          <w:rFonts w:ascii="Tahoma" w:hAnsi="Tahoma" w:cs="Tahoma"/>
        </w:rPr>
        <w:t>The</w:t>
      </w:r>
      <w:proofErr w:type="gramEnd"/>
      <w:r w:rsidRPr="009E533E">
        <w:rPr>
          <w:rFonts w:ascii="Tahoma" w:hAnsi="Tahoma" w:cs="Tahoma"/>
        </w:rPr>
        <w:t xml:space="preserve"> </w:t>
      </w:r>
      <w:proofErr w:type="spellStart"/>
      <w:r w:rsidRPr="009E533E">
        <w:rPr>
          <w:rFonts w:ascii="Tahoma" w:hAnsi="Tahoma" w:cs="Tahoma"/>
        </w:rPr>
        <w:t>InsightCS</w:t>
      </w:r>
      <w:proofErr w:type="spellEnd"/>
      <w:r w:rsidRPr="009E533E">
        <w:rPr>
          <w:rFonts w:ascii="Tahoma" w:hAnsi="Tahoma" w:cs="Tahoma"/>
        </w:rPr>
        <w:t xml:space="preserve"> Database</w:t>
      </w:r>
    </w:p>
    <w:p w14:paraId="3921FEB7" w14:textId="77777777" w:rsidR="005E40C5" w:rsidRDefault="005E40C5" w:rsidP="005E40C5">
      <w:pPr>
        <w:pStyle w:val="ListParagraph"/>
        <w:numPr>
          <w:ilvl w:val="1"/>
          <w:numId w:val="10"/>
        </w:numPr>
        <w:tabs>
          <w:tab w:val="left" w:pos="720"/>
        </w:tabs>
        <w:rPr>
          <w:rFonts w:ascii="Tahoma" w:hAnsi="Tahoma" w:cs="Tahoma"/>
        </w:rPr>
      </w:pPr>
      <w:r w:rsidRPr="009E533E">
        <w:rPr>
          <w:rFonts w:ascii="Tahoma" w:hAnsi="Tahoma" w:cs="Tahoma"/>
        </w:rPr>
        <w:t xml:space="preserve">Back up the </w:t>
      </w:r>
      <w:proofErr w:type="spellStart"/>
      <w:r w:rsidRPr="009E533E">
        <w:rPr>
          <w:rFonts w:ascii="Tahoma" w:hAnsi="Tahoma" w:cs="Tahoma"/>
        </w:rPr>
        <w:t>InsightCS</w:t>
      </w:r>
      <w:proofErr w:type="spellEnd"/>
      <w:r w:rsidRPr="009E533E">
        <w:rPr>
          <w:rFonts w:ascii="Tahoma" w:hAnsi="Tahoma" w:cs="Tahoma"/>
        </w:rPr>
        <w:t xml:space="preserve"> database, or ensure that a current database backup is available, to prevent data loss if something goes wrong. Should a catastrophic or unrecoverable error occur, the proper course is to rollback (restore) from the backup and abort the upgrade.</w:t>
      </w:r>
    </w:p>
    <w:p w14:paraId="748CDF42" w14:textId="64F38438" w:rsidR="005E40C5" w:rsidRPr="005E40C5" w:rsidRDefault="005E40C5" w:rsidP="005E40C5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Ensure that production and test databases have compatibility set to SQL 2017.</w:t>
      </w:r>
    </w:p>
    <w:p w14:paraId="2E2E3B6C" w14:textId="77777777" w:rsidR="005E40C5" w:rsidRDefault="005E40C5" w:rsidP="005E40C5">
      <w:pPr>
        <w:tabs>
          <w:tab w:val="left" w:pos="720"/>
        </w:tabs>
        <w:rPr>
          <w:rFonts w:ascii="Tahoma" w:hAnsi="Tahoma" w:cs="Tahoma"/>
        </w:rPr>
      </w:pPr>
    </w:p>
    <w:p w14:paraId="3204221F" w14:textId="2BEB5350" w:rsidR="005E40C5" w:rsidRDefault="005E40C5" w:rsidP="005E40C5">
      <w:p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Implementation Notes</w:t>
      </w:r>
    </w:p>
    <w:p w14:paraId="46BF8734" w14:textId="77777777" w:rsidR="005E40C5" w:rsidRDefault="005E40C5" w:rsidP="005E40C5">
      <w:pPr>
        <w:rPr>
          <w:rFonts w:ascii="Tahoma" w:hAnsi="Tahoma" w:cs="Tahoma"/>
          <w:b/>
          <w:bCs/>
          <w:sz w:val="22"/>
          <w:szCs w:val="22"/>
        </w:rPr>
      </w:pPr>
    </w:p>
    <w:p w14:paraId="2ECA2212" w14:textId="07A7DAA4" w:rsidR="005E40C5" w:rsidRDefault="005E40C5" w:rsidP="005E40C5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Angular Web Framework used by RCM Cloud will no longer support Internet Explorer. Chrome is the default/preferred browser for RCM Cloud.</w:t>
      </w:r>
    </w:p>
    <w:p w14:paraId="16E2689C" w14:textId="49DE91F5" w:rsidR="005E40C5" w:rsidRDefault="005E40C5" w:rsidP="005E40C5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WebScanningHost</w:t>
      </w:r>
      <w:proofErr w:type="spellEnd"/>
      <w:r>
        <w:rPr>
          <w:rFonts w:ascii="Tahoma" w:hAnsi="Tahoma" w:cs="Tahoma"/>
        </w:rPr>
        <w:t xml:space="preserve"> is versioned as of the 2023.1 release. Installations of RCM Cloud release 2023.1 and higher should match the version of the </w:t>
      </w:r>
      <w:proofErr w:type="spellStart"/>
      <w:r>
        <w:rPr>
          <w:rFonts w:ascii="Tahoma" w:hAnsi="Tahoma" w:cs="Tahoma"/>
        </w:rPr>
        <w:t>WebScanningHost</w:t>
      </w:r>
      <w:proofErr w:type="spellEnd"/>
      <w:r>
        <w:rPr>
          <w:rFonts w:ascii="Tahoma" w:hAnsi="Tahoma" w:cs="Tahoma"/>
        </w:rPr>
        <w:t xml:space="preserve"> File.</w:t>
      </w:r>
    </w:p>
    <w:p w14:paraId="556CEF62" w14:textId="5449DC99" w:rsidR="005E40C5" w:rsidRPr="005E40C5" w:rsidRDefault="005E40C5" w:rsidP="005E40C5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clients who will implement the Audit Logging and Reporting functionality (Case 127537), a </w:t>
      </w:r>
      <w:r w:rsidR="00901385">
        <w:rPr>
          <w:rFonts w:ascii="Tahoma" w:hAnsi="Tahoma" w:cs="Tahoma"/>
        </w:rPr>
        <w:t>technical design document with an Implementation section</w:t>
      </w:r>
      <w:r>
        <w:rPr>
          <w:rFonts w:ascii="Tahoma" w:hAnsi="Tahoma" w:cs="Tahoma"/>
        </w:rPr>
        <w:t xml:space="preserve"> can be found here: </w:t>
      </w:r>
      <w:hyperlink r:id="rId5" w:history="1">
        <w:r w:rsidR="00901385">
          <w:rPr>
            <w:noProof/>
            <w:color w:val="0000FF"/>
            <w:shd w:val="clear" w:color="auto" w:fill="F3F2F1"/>
          </w:rPr>
          <w:drawing>
            <wp:inline distT="0" distB="0" distL="0" distR="0" wp14:anchorId="63E56E96" wp14:editId="0DA975DA">
              <wp:extent cx="152400" cy="152400"/>
              <wp:effectExtent l="0" t="0" r="0" b="0"/>
              <wp:docPr id="2" name="Picture 2" descr="​docx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​docx icon"/>
                      <pic:cNvPicPr>
                        <a:picLocks noChangeAspect="1" noChangeArrowheads="1"/>
                      </pic:cNvPicPr>
                    </pic:nvPicPr>
                    <pic:blipFill>
                      <a:blip r:embed="rId6"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01385">
          <w:rPr>
            <w:rStyle w:val="SmartLink"/>
          </w:rPr>
          <w:t xml:space="preserve"> SQL </w:t>
        </w:r>
        <w:proofErr w:type="spellStart"/>
        <w:r w:rsidR="00901385">
          <w:rPr>
            <w:rStyle w:val="SmartLink"/>
          </w:rPr>
          <w:t>Aduit</w:t>
        </w:r>
        <w:proofErr w:type="spellEnd"/>
        <w:r w:rsidR="00901385">
          <w:rPr>
            <w:rStyle w:val="SmartLink"/>
          </w:rPr>
          <w:t xml:space="preserve"> Log.docx</w:t>
        </w:r>
      </w:hyperlink>
    </w:p>
    <w:p w14:paraId="639DCFBC" w14:textId="77777777" w:rsidR="005E40C5" w:rsidRPr="005E40C5" w:rsidRDefault="005E40C5" w:rsidP="005E40C5">
      <w:pPr>
        <w:rPr>
          <w:rFonts w:ascii="Tahoma" w:hAnsi="Tahoma" w:cs="Tahoma"/>
          <w:sz w:val="22"/>
          <w:szCs w:val="22"/>
        </w:rPr>
      </w:pPr>
    </w:p>
    <w:p w14:paraId="51421A01" w14:textId="77777777" w:rsidR="005E40C5" w:rsidRPr="005E40C5" w:rsidRDefault="005E40C5" w:rsidP="005E40C5">
      <w:pPr>
        <w:tabs>
          <w:tab w:val="left" w:pos="720"/>
        </w:tabs>
        <w:rPr>
          <w:rFonts w:ascii="Tahoma" w:hAnsi="Tahoma" w:cs="Tahoma"/>
          <w:sz w:val="22"/>
          <w:szCs w:val="22"/>
        </w:rPr>
      </w:pPr>
    </w:p>
    <w:p w14:paraId="08D6B81C" w14:textId="77777777" w:rsidR="00E208F5" w:rsidRDefault="00E42533" w:rsidP="00E42533">
      <w:pPr>
        <w:rPr>
          <w:rFonts w:ascii="Tahoma" w:hAnsi="Tahoma" w:cs="Tahoma"/>
          <w:sz w:val="16"/>
          <w:szCs w:val="16"/>
        </w:rPr>
      </w:pPr>
      <w:r>
        <w:br w:type="page"/>
      </w:r>
      <w:r w:rsidR="00E40869">
        <w:rPr>
          <w:rFonts w:ascii="Tahoma" w:hAnsi="Tahoma" w:cs="Tahoma"/>
          <w:sz w:val="22"/>
          <w:szCs w:val="22"/>
        </w:rPr>
        <w:lastRenderedPageBreak/>
        <w:t>2)</w:t>
      </w:r>
      <w:r w:rsidR="00E40869">
        <w:rPr>
          <w:rFonts w:ascii="Tahoma" w:hAnsi="Tahoma" w:cs="Tahoma"/>
          <w:sz w:val="22"/>
          <w:szCs w:val="22"/>
        </w:rPr>
        <w:tab/>
      </w:r>
      <w:r w:rsidR="00E208F5">
        <w:rPr>
          <w:rFonts w:ascii="Tahoma" w:hAnsi="Tahoma" w:cs="Tahoma"/>
          <w:sz w:val="22"/>
          <w:szCs w:val="22"/>
        </w:rPr>
        <w:t>Run Migration</w:t>
      </w:r>
      <w:r w:rsidR="00BB5440">
        <w:rPr>
          <w:rFonts w:ascii="Tahoma" w:hAnsi="Tahoma" w:cs="Tahoma"/>
          <w:sz w:val="22"/>
          <w:szCs w:val="22"/>
        </w:rPr>
        <w:t xml:space="preserve"> (this path assumes a warehouse database exists and is currently operating. If not, skip any step related to the warehouse/replication)</w:t>
      </w:r>
    </w:p>
    <w:p w14:paraId="3061B7BB" w14:textId="77777777" w:rsidR="00BB5440" w:rsidRPr="00E80FE8" w:rsidRDefault="00BB5440" w:rsidP="00BB5440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E80FE8">
        <w:rPr>
          <w:rFonts w:ascii="Tahoma" w:hAnsi="Tahoma" w:cs="Tahoma"/>
        </w:rPr>
        <w:t>View Snapshot &amp; Subscription details (from Replication Monitor) and ensure replication is up &amp; running without issue.</w:t>
      </w:r>
    </w:p>
    <w:p w14:paraId="2FD24532" w14:textId="77777777" w:rsidR="00BB5440" w:rsidRPr="00E80FE8" w:rsidRDefault="00BB5440" w:rsidP="00BB5440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E80FE8">
        <w:rPr>
          <w:rFonts w:ascii="Tahoma" w:hAnsi="Tahoma" w:cs="Tahoma"/>
        </w:rPr>
        <w:t xml:space="preserve">Run </w:t>
      </w:r>
      <w:r w:rsidRPr="00E80FE8">
        <w:rPr>
          <w:rFonts w:ascii="Tahoma" w:hAnsi="Tahoma" w:cs="Tahoma"/>
          <w:b/>
          <w:bCs/>
        </w:rPr>
        <w:t>UDT migration</w:t>
      </w:r>
      <w:r w:rsidRPr="00E80FE8">
        <w:rPr>
          <w:rFonts w:ascii="Tahoma" w:hAnsi="Tahoma" w:cs="Tahoma"/>
        </w:rPr>
        <w:t xml:space="preserve"> on </w:t>
      </w:r>
      <w:r w:rsidRPr="00E80FE8">
        <w:rPr>
          <w:rFonts w:ascii="Tahoma" w:hAnsi="Tahoma" w:cs="Tahoma"/>
          <w:b/>
          <w:bCs/>
          <w:i/>
          <w:iCs/>
        </w:rPr>
        <w:t>main</w:t>
      </w:r>
      <w:r w:rsidRPr="00E80FE8">
        <w:rPr>
          <w:rFonts w:ascii="Tahoma" w:hAnsi="Tahoma" w:cs="Tahoma"/>
          <w:b/>
          <w:bCs/>
        </w:rPr>
        <w:t xml:space="preserve"> (literally run the migration on the server box)</w:t>
      </w:r>
      <w:r w:rsidRPr="00E80FE8">
        <w:rPr>
          <w:rFonts w:ascii="Tahoma" w:hAnsi="Tahoma" w:cs="Tahoma"/>
        </w:rPr>
        <w:t>.</w:t>
      </w:r>
    </w:p>
    <w:p w14:paraId="30B554D9" w14:textId="77777777" w:rsidR="00BB5440" w:rsidRPr="00E80FE8" w:rsidRDefault="00BB5440" w:rsidP="00BB5440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E80FE8">
        <w:rPr>
          <w:rFonts w:ascii="Tahoma" w:hAnsi="Tahoma" w:cs="Tahoma"/>
        </w:rPr>
        <w:t>Note: For SQL2012 &amp; under, .NET 4.7.2 is required.</w:t>
      </w:r>
    </w:p>
    <w:p w14:paraId="3784DFD3" w14:textId="77777777" w:rsidR="00BB5440" w:rsidRPr="00E80FE8" w:rsidRDefault="00BB5440" w:rsidP="00BB5440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E80FE8">
        <w:rPr>
          <w:rFonts w:ascii="Tahoma" w:hAnsi="Tahoma" w:cs="Tahoma"/>
        </w:rPr>
        <w:t>Use the Migrate</w:t>
      </w:r>
      <w:r w:rsidR="000A2147">
        <w:rPr>
          <w:rFonts w:ascii="Tahoma" w:hAnsi="Tahoma" w:cs="Tahoma"/>
        </w:rPr>
        <w:t>GenderAndSexualOrientation.</w:t>
      </w:r>
      <w:r w:rsidRPr="00E80FE8">
        <w:rPr>
          <w:rFonts w:ascii="Tahoma" w:hAnsi="Tahoma" w:cs="Tahoma"/>
        </w:rPr>
        <w:t>bat file with server and database for arguments:</w:t>
      </w:r>
    </w:p>
    <w:p w14:paraId="7F8B7711" w14:textId="77777777" w:rsidR="00BB5440" w:rsidRPr="00E80FE8" w:rsidRDefault="00BB5440" w:rsidP="00BB5440">
      <w:pPr>
        <w:pStyle w:val="ListParagraph"/>
        <w:numPr>
          <w:ilvl w:val="2"/>
          <w:numId w:val="3"/>
        </w:numPr>
        <w:rPr>
          <w:rFonts w:ascii="Tahoma" w:hAnsi="Tahoma" w:cs="Tahoma"/>
        </w:rPr>
      </w:pPr>
      <w:r w:rsidRPr="00E80FE8">
        <w:rPr>
          <w:rFonts w:ascii="Tahoma" w:hAnsi="Tahoma" w:cs="Tahoma"/>
        </w:rPr>
        <w:t xml:space="preserve">Command Line Example: </w:t>
      </w:r>
      <w:r w:rsidRPr="00E80FE8">
        <w:rPr>
          <w:rFonts w:ascii="Tahoma" w:hAnsi="Tahoma" w:cs="Tahoma"/>
          <w:b/>
          <w:bCs/>
          <w:i/>
          <w:iCs/>
        </w:rPr>
        <w:t>Migrate</w:t>
      </w:r>
      <w:r w:rsidR="000A2147">
        <w:rPr>
          <w:rFonts w:ascii="Tahoma" w:hAnsi="Tahoma" w:cs="Tahoma"/>
          <w:b/>
          <w:bCs/>
          <w:i/>
          <w:iCs/>
        </w:rPr>
        <w:t>GenderAndSexualOrientation.bat</w:t>
      </w:r>
      <w:r w:rsidRPr="00E80FE8"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 w:rsidRPr="00E80FE8">
        <w:rPr>
          <w:rFonts w:ascii="Tahoma" w:hAnsi="Tahoma" w:cs="Tahoma"/>
          <w:b/>
          <w:bCs/>
          <w:i/>
          <w:iCs/>
        </w:rPr>
        <w:t>Stkl-Sql</w:t>
      </w:r>
      <w:proofErr w:type="spellEnd"/>
      <w:r w:rsidRPr="00E80FE8">
        <w:rPr>
          <w:rFonts w:ascii="Tahoma" w:hAnsi="Tahoma" w:cs="Tahoma"/>
          <w:b/>
          <w:bCs/>
          <w:i/>
          <w:iCs/>
        </w:rPr>
        <w:t xml:space="preserve"> </w:t>
      </w:r>
      <w:proofErr w:type="spellStart"/>
      <w:r w:rsidRPr="00E80FE8">
        <w:rPr>
          <w:rFonts w:ascii="Tahoma" w:hAnsi="Tahoma" w:cs="Tahoma"/>
          <w:b/>
          <w:bCs/>
          <w:i/>
          <w:iCs/>
        </w:rPr>
        <w:t>IcsDev</w:t>
      </w:r>
      <w:proofErr w:type="spellEnd"/>
    </w:p>
    <w:p w14:paraId="2463CA14" w14:textId="77777777" w:rsidR="00BB5440" w:rsidRDefault="00BB5440" w:rsidP="00BB5440">
      <w:pPr>
        <w:pStyle w:val="ListParagraph"/>
        <w:numPr>
          <w:ilvl w:val="1"/>
          <w:numId w:val="3"/>
        </w:numPr>
        <w:rPr>
          <w:rFonts w:ascii="Tahoma" w:hAnsi="Tahoma" w:cs="Tahoma"/>
        </w:rPr>
      </w:pPr>
      <w:r w:rsidRPr="00E80FE8">
        <w:rPr>
          <w:rFonts w:ascii="Tahoma" w:hAnsi="Tahoma" w:cs="Tahoma"/>
        </w:rPr>
        <w:t>Ensure migration is successful (screen/log file)</w:t>
      </w:r>
    </w:p>
    <w:p w14:paraId="234C2155" w14:textId="77777777" w:rsidR="002E1580" w:rsidRDefault="002E1580" w:rsidP="002E1580">
      <w:pPr>
        <w:pStyle w:val="ListParagraph"/>
        <w:ind w:left="1440"/>
        <w:rPr>
          <w:rFonts w:ascii="Tahoma" w:hAnsi="Tahoma" w:cs="Tahoma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1901"/>
      </w:tblGrid>
      <w:tr w:rsidR="002E1580" w14:paraId="45D899AF" w14:textId="77777777" w:rsidTr="002E1580">
        <w:tc>
          <w:tcPr>
            <w:tcW w:w="10350" w:type="dxa"/>
          </w:tcPr>
          <w:p w14:paraId="3AA778F8" w14:textId="53034634" w:rsidR="002E1580" w:rsidRPr="002E1580" w:rsidRDefault="002E1580" w:rsidP="002E1580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 xml:space="preserve">NOTE:  </w:t>
            </w:r>
            <w:r>
              <w:rPr>
                <w:rFonts w:ascii="Tahoma" w:hAnsi="Tahoma" w:cs="Tahoma"/>
              </w:rPr>
              <w:t>Depending on the origin of the database, this migration may result in messages that indicate that the targeted columns already reflect the desired outcome.</w:t>
            </w:r>
            <w:r w:rsidR="00E42533">
              <w:rPr>
                <w:rFonts w:ascii="Tahoma" w:hAnsi="Tahoma" w:cs="Tahoma"/>
              </w:rPr>
              <w:t xml:space="preserve">   There is no risk in this outcome.  In fact, it ensures that there is either a preferred outcome, or an inherent outcome.</w:t>
            </w:r>
            <w:r w:rsidR="00E42533">
              <w:rPr>
                <w:rFonts w:ascii="Tahoma" w:hAnsi="Tahoma" w:cs="Tahoma"/>
              </w:rPr>
              <w:br/>
            </w:r>
            <w:r w:rsidR="00F713F4" w:rsidRPr="00E42533">
              <w:rPr>
                <w:rFonts w:ascii="Tahoma" w:hAnsi="Tahoma" w:cs="Tahoma"/>
                <w:noProof/>
              </w:rPr>
              <w:drawing>
                <wp:inline distT="0" distB="0" distL="0" distR="0" wp14:anchorId="0768EDF5" wp14:editId="483FCF5F">
                  <wp:extent cx="7419975" cy="3514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9975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CB561" w14:textId="77777777" w:rsidR="000A2147" w:rsidRPr="00E80FE8" w:rsidRDefault="000A2147" w:rsidP="002E1580">
      <w:pPr>
        <w:pStyle w:val="ListParagraph"/>
        <w:rPr>
          <w:rFonts w:ascii="Tahoma" w:hAnsi="Tahoma" w:cs="Tahoma"/>
        </w:rPr>
      </w:pPr>
    </w:p>
    <w:p w14:paraId="2E1705CF" w14:textId="77777777" w:rsidR="00BB5440" w:rsidRPr="00E80FE8" w:rsidRDefault="000A2147" w:rsidP="000A2147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B5440" w:rsidRPr="00E80FE8">
        <w:rPr>
          <w:rFonts w:ascii="Tahoma" w:hAnsi="Tahoma" w:cs="Tahoma"/>
        </w:rPr>
        <w:t>Script: Run the annual/release script (</w:t>
      </w:r>
      <w:proofErr w:type="spellStart"/>
      <w:r w:rsidR="00BB5440" w:rsidRPr="00E80FE8">
        <w:rPr>
          <w:rFonts w:ascii="Tahoma" w:hAnsi="Tahoma" w:cs="Tahoma"/>
          <w:b/>
          <w:bCs/>
        </w:rPr>
        <w:t>InsightCS</w:t>
      </w:r>
      <w:proofErr w:type="spellEnd"/>
      <w:r w:rsidR="00BB5440" w:rsidRPr="00E80FE8">
        <w:rPr>
          <w:rFonts w:ascii="Tahoma" w:hAnsi="Tahoma" w:cs="Tahoma"/>
          <w:b/>
          <w:bCs/>
        </w:rPr>
        <w:t xml:space="preserve"> 202</w:t>
      </w:r>
      <w:r w:rsidR="00FF39D6">
        <w:rPr>
          <w:rFonts w:ascii="Tahoma" w:hAnsi="Tahoma" w:cs="Tahoma"/>
          <w:b/>
          <w:bCs/>
        </w:rPr>
        <w:t>2</w:t>
      </w:r>
      <w:r w:rsidR="00BB5440" w:rsidRPr="00E80FE8">
        <w:rPr>
          <w:rFonts w:ascii="Tahoma" w:hAnsi="Tahoma" w:cs="Tahoma"/>
          <w:b/>
          <w:bCs/>
        </w:rPr>
        <w:t>.</w:t>
      </w:r>
      <w:r w:rsidR="00FF39D6">
        <w:rPr>
          <w:rFonts w:ascii="Tahoma" w:hAnsi="Tahoma" w:cs="Tahoma"/>
          <w:b/>
          <w:bCs/>
        </w:rPr>
        <w:t>1</w:t>
      </w:r>
      <w:r w:rsidR="00BB5440" w:rsidRPr="00E80FE8">
        <w:rPr>
          <w:rFonts w:ascii="Tahoma" w:hAnsi="Tahoma" w:cs="Tahoma"/>
          <w:b/>
          <w:bCs/>
        </w:rPr>
        <w:t>.sql</w:t>
      </w:r>
      <w:r w:rsidR="00BB5440" w:rsidRPr="00E80FE8">
        <w:rPr>
          <w:rFonts w:ascii="Tahoma" w:hAnsi="Tahoma" w:cs="Tahoma"/>
        </w:rPr>
        <w:t xml:space="preserve">) on </w:t>
      </w:r>
      <w:r w:rsidR="00BB5440" w:rsidRPr="00E80FE8">
        <w:rPr>
          <w:rFonts w:ascii="Tahoma" w:hAnsi="Tahoma" w:cs="Tahoma"/>
          <w:b/>
          <w:bCs/>
          <w:i/>
          <w:iCs/>
        </w:rPr>
        <w:t>main</w:t>
      </w:r>
      <w:r w:rsidR="00BB5440" w:rsidRPr="00E80FE8">
        <w:rPr>
          <w:rFonts w:ascii="Tahoma" w:hAnsi="Tahoma" w:cs="Tahoma"/>
        </w:rPr>
        <w:t>.</w:t>
      </w:r>
    </w:p>
    <w:p w14:paraId="4446992F" w14:textId="77777777" w:rsidR="00BB5440" w:rsidRPr="00E80FE8" w:rsidRDefault="00BB5440" w:rsidP="000A2147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E80FE8">
        <w:rPr>
          <w:rFonts w:ascii="Tahoma" w:hAnsi="Tahoma" w:cs="Tahoma"/>
        </w:rPr>
        <w:t>View Snapshot &amp; Subscription details (from Replication Monitor), ensure snapshot updates complete (if any) and is running without error.</w:t>
      </w:r>
    </w:p>
    <w:p w14:paraId="636F88BF" w14:textId="77777777" w:rsidR="00E208F5" w:rsidRDefault="00E208F5">
      <w:pPr>
        <w:rPr>
          <w:rFonts w:ascii="Tahoma" w:hAnsi="Tahoma" w:cs="Tahoma"/>
          <w:sz w:val="16"/>
          <w:szCs w:val="16"/>
        </w:rPr>
      </w:pPr>
    </w:p>
    <w:p w14:paraId="48DDFE13" w14:textId="77777777" w:rsidR="00E208F5" w:rsidRDefault="00E208F5">
      <w:pPr>
        <w:rPr>
          <w:rFonts w:ascii="Times New Roman" w:hAnsi="Times New Roman" w:cs="Times New Roman"/>
        </w:rPr>
      </w:pPr>
    </w:p>
    <w:sectPr w:rsidR="00E208F5" w:rsidSect="00E42533"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940"/>
    <w:multiLevelType w:val="multilevel"/>
    <w:tmpl w:val="FFFFFFFF"/>
    <w:styleLink w:val="CurrentList1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1E645C3"/>
    <w:multiLevelType w:val="hybridMultilevel"/>
    <w:tmpl w:val="FFFFFFFF"/>
    <w:lvl w:ilvl="0" w:tplc="04090011">
      <w:start w:val="3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B2E4FB3"/>
    <w:multiLevelType w:val="hybridMultilevel"/>
    <w:tmpl w:val="E82A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55A19"/>
    <w:multiLevelType w:val="hybridMultilevel"/>
    <w:tmpl w:val="5A0C0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8412E"/>
    <w:multiLevelType w:val="hybridMultilevel"/>
    <w:tmpl w:val="FFFFFFFF"/>
    <w:lvl w:ilvl="0" w:tplc="30EC484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29C5"/>
    <w:multiLevelType w:val="hybridMultilevel"/>
    <w:tmpl w:val="12B03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D5401C"/>
    <w:multiLevelType w:val="hybridMultilevel"/>
    <w:tmpl w:val="6412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2617F"/>
    <w:multiLevelType w:val="hybridMultilevel"/>
    <w:tmpl w:val="34CE3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5666FE"/>
    <w:multiLevelType w:val="hybridMultilevel"/>
    <w:tmpl w:val="B2C231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061AF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04621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831799610">
    <w:abstractNumId w:val="4"/>
  </w:num>
  <w:num w:numId="2" w16cid:durableId="48112149">
    <w:abstractNumId w:val="10"/>
  </w:num>
  <w:num w:numId="3" w16cid:durableId="817963687">
    <w:abstractNumId w:val="9"/>
  </w:num>
  <w:num w:numId="4" w16cid:durableId="102964084">
    <w:abstractNumId w:val="0"/>
  </w:num>
  <w:num w:numId="5" w16cid:durableId="1598443457">
    <w:abstractNumId w:val="5"/>
  </w:num>
  <w:num w:numId="6" w16cid:durableId="1956474841">
    <w:abstractNumId w:val="1"/>
  </w:num>
  <w:num w:numId="7" w16cid:durableId="1665008477">
    <w:abstractNumId w:val="3"/>
  </w:num>
  <w:num w:numId="8" w16cid:durableId="1578321530">
    <w:abstractNumId w:val="8"/>
  </w:num>
  <w:num w:numId="9" w16cid:durableId="868031121">
    <w:abstractNumId w:val="2"/>
  </w:num>
  <w:num w:numId="10" w16cid:durableId="1940219057">
    <w:abstractNumId w:val="6"/>
  </w:num>
  <w:num w:numId="11" w16cid:durableId="1754935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F5"/>
    <w:rsid w:val="000A2147"/>
    <w:rsid w:val="000F7CF6"/>
    <w:rsid w:val="00102D78"/>
    <w:rsid w:val="00154EBC"/>
    <w:rsid w:val="00175034"/>
    <w:rsid w:val="0021094B"/>
    <w:rsid w:val="002A3C47"/>
    <w:rsid w:val="002B736A"/>
    <w:rsid w:val="002E1580"/>
    <w:rsid w:val="003D0D67"/>
    <w:rsid w:val="004365E4"/>
    <w:rsid w:val="00476A12"/>
    <w:rsid w:val="00485A1D"/>
    <w:rsid w:val="005038C2"/>
    <w:rsid w:val="00536114"/>
    <w:rsid w:val="00570A82"/>
    <w:rsid w:val="0057396A"/>
    <w:rsid w:val="00591D96"/>
    <w:rsid w:val="00595164"/>
    <w:rsid w:val="005C7C43"/>
    <w:rsid w:val="005E40C5"/>
    <w:rsid w:val="0060555E"/>
    <w:rsid w:val="00605630"/>
    <w:rsid w:val="006266EB"/>
    <w:rsid w:val="006C5636"/>
    <w:rsid w:val="006D7681"/>
    <w:rsid w:val="007054DD"/>
    <w:rsid w:val="007619E4"/>
    <w:rsid w:val="00764553"/>
    <w:rsid w:val="00780743"/>
    <w:rsid w:val="0079155D"/>
    <w:rsid w:val="00792C6B"/>
    <w:rsid w:val="00901385"/>
    <w:rsid w:val="009E533E"/>
    <w:rsid w:val="00A91518"/>
    <w:rsid w:val="00AC2A70"/>
    <w:rsid w:val="00AD5E5A"/>
    <w:rsid w:val="00B11E31"/>
    <w:rsid w:val="00B34A5A"/>
    <w:rsid w:val="00B6578F"/>
    <w:rsid w:val="00BA394B"/>
    <w:rsid w:val="00BB5440"/>
    <w:rsid w:val="00C175D9"/>
    <w:rsid w:val="00C47E0B"/>
    <w:rsid w:val="00CD22BF"/>
    <w:rsid w:val="00D13AB6"/>
    <w:rsid w:val="00D35E13"/>
    <w:rsid w:val="00D615DE"/>
    <w:rsid w:val="00DC6182"/>
    <w:rsid w:val="00E208F5"/>
    <w:rsid w:val="00E40869"/>
    <w:rsid w:val="00E42533"/>
    <w:rsid w:val="00E80FE8"/>
    <w:rsid w:val="00ED0020"/>
    <w:rsid w:val="00F713F4"/>
    <w:rsid w:val="00FE3E03"/>
    <w:rsid w:val="00FF0717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A8FCC"/>
  <w14:defaultImageDpi w14:val="0"/>
  <w15:docId w15:val="{F80595A9-88FA-4BA5-B052-558A17EC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208F5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208F5"/>
    <w:rPr>
      <w:rFonts w:ascii="Cambria" w:hAnsi="Cambria" w:cs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5440"/>
    <w:pPr>
      <w:widowControl/>
      <w:autoSpaceDE/>
      <w:autoSpaceDN/>
      <w:adjustRightInd/>
      <w:ind w:left="720"/>
    </w:pPr>
    <w:rPr>
      <w:rFonts w:ascii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locked/>
    <w:rsid w:val="002E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pPr>
      <w:numPr>
        <w:numId w:val="4"/>
      </w:numPr>
    </w:pPr>
  </w:style>
  <w:style w:type="character" w:styleId="SmartLink">
    <w:name w:val="Smart Link"/>
    <w:basedOn w:val="DefaultParagraphFont"/>
    <w:uiPriority w:val="99"/>
    <w:semiHidden/>
    <w:unhideWhenUsed/>
    <w:rsid w:val="00901385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1.png@01D9712B.34CDDF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sphere.sharepoint.com/:w:/g/STL/Development/EYGe54XhRg9In0ScOAlCnXoBTNgO1DYxp1Sq3ZGR-Nzmfw?e=obZry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597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stockell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</dc:creator>
  <cp:keywords/>
  <dc:description/>
  <cp:lastModifiedBy>Brian Dietz</cp:lastModifiedBy>
  <cp:revision>7</cp:revision>
  <dcterms:created xsi:type="dcterms:W3CDTF">2023-01-09T20:31:00Z</dcterms:created>
  <dcterms:modified xsi:type="dcterms:W3CDTF">2023-04-17T17:56:00Z</dcterms:modified>
</cp:coreProperties>
</file>