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8661417322827"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sz w:val="45"/>
          <w:szCs w:val="45"/>
          <w:rtl w:val="0"/>
        </w:rPr>
        <w:t xml:space="preserve">AI-Based Academic Tutoring approaches: A Mini Systematic Literature Reviews</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 </w:t>
      </w:r>
    </w:p>
    <w:bookmarkStart w:colFirst="0" w:colLast="0" w:name="8ur5wi51um7l" w:id="0"/>
    <w:bookmarkEnd w:id="0"/>
    <w:p w:rsidR="00000000" w:rsidDel="00000000" w:rsidP="00000000" w:rsidRDefault="00000000" w:rsidRPr="00000000" w14:paraId="00000002">
      <w:pPr>
        <w:widowControl w:val="0"/>
        <w:spacing w:line="240" w:lineRule="auto"/>
        <w:ind w:right="-145.866141732282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Therusha REDDY</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Nosipho DLAMINI</w:t>
      </w:r>
      <w:r w:rsidDel="00000000" w:rsidR="00000000" w:rsidRPr="00000000">
        <w:rPr>
          <w:rFonts w:ascii="Times New Roman" w:cs="Times New Roman" w:eastAsia="Times New Roman" w:hAnsi="Times New Roman"/>
          <w:sz w:val="25"/>
          <w:szCs w:val="25"/>
          <w:vertAlign w:val="superscript"/>
          <w:rtl w:val="0"/>
        </w:rPr>
        <w:t xml:space="preserve">2 </w:t>
      </w:r>
      <w:r w:rsidDel="00000000" w:rsidR="00000000" w:rsidRPr="00000000">
        <w:rPr>
          <w:rFonts w:ascii="Times New Roman" w:cs="Times New Roman" w:eastAsia="Times New Roman" w:hAnsi="Times New Roman"/>
          <w:sz w:val="25"/>
          <w:szCs w:val="25"/>
          <w:rtl w:val="0"/>
        </w:rPr>
        <w:t xml:space="preserve">,</w:t>
      </w:r>
      <w:r w:rsidDel="00000000" w:rsidR="00000000" w:rsidRPr="00000000">
        <w:rPr>
          <w:rFonts w:ascii="Times New Roman" w:cs="Times New Roman" w:eastAsia="Times New Roman" w:hAnsi="Times New Roman"/>
          <w:rtl w:val="0"/>
        </w:rPr>
        <w:t xml:space="preserve"> Sandhya HARRINARAIN</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Keagile MOLATEDI</w:t>
      </w:r>
      <w:r w:rsidDel="00000000" w:rsidR="00000000" w:rsidRPr="00000000">
        <w:rPr>
          <w:rFonts w:ascii="Times New Roman" w:cs="Times New Roman" w:eastAsia="Times New Roman" w:hAnsi="Times New Roman"/>
          <w:vertAlign w:val="superscript"/>
          <w:rtl w:val="0"/>
        </w:rPr>
        <w:t xml:space="preserve">4</w:t>
      </w:r>
      <w:r w:rsidDel="00000000" w:rsidR="00000000" w:rsidRPr="00000000">
        <w:rPr>
          <w:rFonts w:ascii="Times New Roman" w:cs="Times New Roman" w:eastAsia="Times New Roman" w:hAnsi="Times New Roman"/>
          <w:rtl w:val="0"/>
        </w:rPr>
        <w:t xml:space="preserve">, Bongiwe </w:t>
      </w:r>
      <w:r w:rsidDel="00000000" w:rsidR="00000000" w:rsidRPr="00000000">
        <w:rPr>
          <w:rFonts w:ascii="Times New Roman" w:cs="Times New Roman" w:eastAsia="Times New Roman" w:hAnsi="Times New Roman"/>
          <w:rtl w:val="0"/>
        </w:rPr>
        <w:t xml:space="preserve">MACUACUA</w:t>
      </w:r>
      <w:r w:rsidDel="00000000" w:rsidR="00000000" w:rsidRPr="00000000">
        <w:rPr>
          <w:rFonts w:ascii="Times New Roman" w:cs="Times New Roman" w:eastAsia="Times New Roman" w:hAnsi="Times New Roman"/>
          <w:vertAlign w:val="superscript"/>
          <w:rtl w:val="0"/>
        </w:rPr>
        <w:t xml:space="preserve">5</w:t>
      </w:r>
      <w:r w:rsidDel="00000000" w:rsidR="00000000" w:rsidRPr="00000000">
        <w:rPr>
          <w:rtl w:val="0"/>
        </w:rPr>
      </w:r>
    </w:p>
    <w:p w:rsidR="00000000" w:rsidDel="00000000" w:rsidP="00000000" w:rsidRDefault="00000000" w:rsidRPr="00000000" w14:paraId="00000003">
      <w:pPr>
        <w:widowControl w:val="0"/>
        <w:spacing w:line="240" w:lineRule="auto"/>
        <w:ind w:right="-145.8661417322827"/>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Durban University of Technology , 7 Ritson Road, Durban, 4001, South Africa</w:t>
      </w:r>
    </w:p>
    <w:p w:rsidR="00000000" w:rsidDel="00000000" w:rsidP="00000000" w:rsidRDefault="00000000" w:rsidRPr="00000000" w14:paraId="00000004">
      <w:pPr>
        <w:widowControl w:val="0"/>
        <w:spacing w:line="240" w:lineRule="auto"/>
        <w:ind w:right="-145.8661417322827"/>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Tel: +27 31 373 2000 , Fax:+27 31 373 2175 , Email: </w:t>
      </w:r>
      <w:r w:rsidDel="00000000" w:rsidR="00000000" w:rsidRPr="00000000">
        <w:rPr>
          <w:rFonts w:ascii="Times New Roman" w:cs="Times New Roman" w:eastAsia="Times New Roman" w:hAnsi="Times New Roman"/>
          <w:i w:val="1"/>
          <w:iCs w:val="1"/>
          <w:vertAlign w:val="superscript"/>
          <w:rtl w:val="0"/>
        </w:rPr>
        <w:t xml:space="preserve">1</w:t>
      </w:r>
      <w:hyperlink r:id="rId6">
        <w:r w:rsidDel="00000000" w:rsidR="00000000" w:rsidRPr="00000000">
          <w:rPr>
            <w:rFonts w:ascii="Times New Roman" w:cs="Times New Roman" w:eastAsia="Times New Roman" w:hAnsi="Times New Roman"/>
            <w:i w:val="1"/>
            <w:iCs w:val="1"/>
            <w:color w:val="0000ff"/>
            <w:sz w:val="18"/>
            <w:szCs w:val="18"/>
            <w:u w:val="single"/>
            <w:rtl w:val="0"/>
          </w:rPr>
          <w:t xml:space="preserve">22406937@</w:t>
        </w:r>
      </w:hyperlink>
      <w:hyperlink r:id="rId7">
        <w:r w:rsidDel="00000000" w:rsidR="00000000" w:rsidRPr="00000000">
          <w:rPr>
            <w:rFonts w:ascii="Times New Roman" w:cs="Times New Roman" w:eastAsia="Times New Roman" w:hAnsi="Times New Roman"/>
            <w:i w:val="1"/>
            <w:iCs w:val="1"/>
            <w:color w:val="0000ff"/>
            <w:u w:val="single"/>
            <w:rtl w:val="0"/>
          </w:rPr>
          <w:t xml:space="preserve">dut4life.ac.za</w:t>
        </w:r>
      </w:hyperlink>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i w:val="1"/>
          <w:iCs w:val="1"/>
          <w:vertAlign w:val="superscript"/>
          <w:rtl w:val="0"/>
        </w:rPr>
        <w:t xml:space="preserve">2</w:t>
      </w:r>
      <w:hyperlink r:id="rId8">
        <w:r w:rsidDel="00000000" w:rsidR="00000000" w:rsidRPr="00000000">
          <w:rPr>
            <w:rFonts w:ascii="Times New Roman" w:cs="Times New Roman" w:eastAsia="Times New Roman" w:hAnsi="Times New Roman"/>
            <w:i w:val="1"/>
            <w:iCs w:val="1"/>
            <w:color w:val="0000ff"/>
            <w:u w:val="single"/>
            <w:rtl w:val="0"/>
          </w:rPr>
          <w:t xml:space="preserve">22411296@dut4life.ac.za</w:t>
        </w:r>
      </w:hyperlink>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i w:val="1"/>
          <w:iCs w:val="1"/>
          <w:vertAlign w:val="superscript"/>
          <w:rtl w:val="0"/>
        </w:rPr>
        <w:t xml:space="preserve">3</w:t>
      </w:r>
      <w:hyperlink r:id="rId9">
        <w:r w:rsidDel="00000000" w:rsidR="00000000" w:rsidRPr="00000000">
          <w:rPr>
            <w:rFonts w:ascii="Times New Roman" w:cs="Times New Roman" w:eastAsia="Times New Roman" w:hAnsi="Times New Roman"/>
            <w:i w:val="1"/>
            <w:iCs w:val="1"/>
            <w:color w:val="0000ff"/>
            <w:sz w:val="18"/>
            <w:szCs w:val="18"/>
            <w:u w:val="single"/>
            <w:rtl w:val="0"/>
          </w:rPr>
          <w:t xml:space="preserve">22458894</w:t>
        </w:r>
      </w:hyperlink>
      <w:hyperlink r:id="rId10">
        <w:r w:rsidDel="00000000" w:rsidR="00000000" w:rsidRPr="00000000">
          <w:rPr>
            <w:rFonts w:ascii="Times New Roman" w:cs="Times New Roman" w:eastAsia="Times New Roman" w:hAnsi="Times New Roman"/>
            <w:i w:val="1"/>
            <w:iCs w:val="1"/>
            <w:color w:val="0000ff"/>
            <w:u w:val="single"/>
            <w:rtl w:val="0"/>
          </w:rPr>
          <w:t xml:space="preserve">@dut4life.ac.za</w:t>
        </w:r>
      </w:hyperlink>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i w:val="1"/>
          <w:iCs w:val="1"/>
          <w:vertAlign w:val="superscript"/>
          <w:rtl w:val="0"/>
        </w:rPr>
        <w:t xml:space="preserve">4</w:t>
      </w:r>
      <w:hyperlink r:id="rId11">
        <w:r w:rsidDel="00000000" w:rsidR="00000000" w:rsidRPr="00000000">
          <w:rPr>
            <w:rFonts w:ascii="Times New Roman" w:cs="Times New Roman" w:eastAsia="Times New Roman" w:hAnsi="Times New Roman"/>
            <w:i w:val="1"/>
            <w:iCs w:val="1"/>
            <w:color w:val="0000ff"/>
            <w:sz w:val="18"/>
            <w:szCs w:val="18"/>
            <w:u w:val="single"/>
            <w:rtl w:val="0"/>
          </w:rPr>
          <w:t xml:space="preserve">22433887</w:t>
        </w:r>
      </w:hyperlink>
      <w:hyperlink r:id="rId12">
        <w:r w:rsidDel="00000000" w:rsidR="00000000" w:rsidRPr="00000000">
          <w:rPr>
            <w:rFonts w:ascii="Times New Roman" w:cs="Times New Roman" w:eastAsia="Times New Roman" w:hAnsi="Times New Roman"/>
            <w:i w:val="1"/>
            <w:iCs w:val="1"/>
            <w:color w:val="0000ff"/>
            <w:u w:val="single"/>
            <w:rtl w:val="0"/>
          </w:rPr>
          <w:t xml:space="preserve">@dut4life.ac.za</w:t>
        </w:r>
      </w:hyperlink>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i w:val="1"/>
          <w:iCs w:val="1"/>
          <w:vertAlign w:val="superscript"/>
          <w:rtl w:val="0"/>
        </w:rPr>
        <w:t xml:space="preserve">5</w:t>
      </w:r>
      <w:hyperlink r:id="rId13">
        <w:r w:rsidDel="00000000" w:rsidR="00000000" w:rsidRPr="00000000">
          <w:rPr>
            <w:rFonts w:ascii="Times New Roman" w:cs="Times New Roman" w:eastAsia="Times New Roman" w:hAnsi="Times New Roman"/>
            <w:i w:val="1"/>
            <w:iCs w:val="1"/>
            <w:color w:val="0000ff"/>
            <w:sz w:val="18"/>
            <w:szCs w:val="18"/>
            <w:u w:val="single"/>
            <w:rtl w:val="0"/>
          </w:rPr>
          <w:t xml:space="preserve">22419010</w:t>
        </w:r>
      </w:hyperlink>
      <w:hyperlink r:id="rId14">
        <w:r w:rsidDel="00000000" w:rsidR="00000000" w:rsidRPr="00000000">
          <w:rPr>
            <w:rFonts w:ascii="Times New Roman" w:cs="Times New Roman" w:eastAsia="Times New Roman" w:hAnsi="Times New Roman"/>
            <w:i w:val="1"/>
            <w:iCs w:val="1"/>
            <w:color w:val="0000ff"/>
            <w:u w:val="single"/>
            <w:rtl w:val="0"/>
          </w:rPr>
          <w:t xml:space="preserve">@dut4life.ac.za</w:t>
        </w:r>
      </w:hyperlink>
      <w:r w:rsidDel="00000000" w:rsidR="00000000" w:rsidRPr="00000000">
        <w:rPr>
          <w:rtl w:val="0"/>
        </w:rPr>
      </w:r>
    </w:p>
    <w:p w:rsidR="00000000" w:rsidDel="00000000" w:rsidP="00000000" w:rsidRDefault="00000000" w:rsidRPr="00000000" w14:paraId="00000005">
      <w:pPr>
        <w:widowControl w:val="0"/>
        <w:spacing w:before="195.52001953125" w:line="240" w:lineRule="auto"/>
        <w:ind w:left="1020.0999450683594" w:right="-145.8661417322827" w:firstLine="0.400085449218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Abstract</w:t>
      </w:r>
      <w:r w:rsidDel="00000000" w:rsidR="00000000" w:rsidRPr="00000000">
        <w:rPr>
          <w:rFonts w:ascii="Times New Roman" w:cs="Times New Roman" w:eastAsia="Times New Roman" w:hAnsi="Times New Roman"/>
          <w:rtl w:val="0"/>
        </w:rPr>
        <w:t xml:space="preserve">: Include a short abstract of about 100-150 words summarising the problem statement, aim of the work, research method applied, results and conclusion in one paragraph.. Use abstract style.</w:t>
      </w:r>
    </w:p>
    <w:p w:rsidR="00000000" w:rsidDel="00000000" w:rsidP="00000000" w:rsidRDefault="00000000" w:rsidRPr="00000000" w14:paraId="00000006">
      <w:pPr>
        <w:widowControl w:val="0"/>
        <w:spacing w:before="195.52001953125" w:line="240" w:lineRule="auto"/>
        <w:ind w:left="1020.0999450683594" w:right="-145.8661417322827" w:firstLine="0.40008544921875"/>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Keywords:</w:t>
      </w:r>
      <w:r w:rsidDel="00000000" w:rsidR="00000000" w:rsidRPr="00000000">
        <w:rPr>
          <w:rFonts w:ascii="Times New Roman" w:cs="Times New Roman" w:eastAsia="Times New Roman" w:hAnsi="Times New Roman"/>
          <w:rtl w:val="0"/>
        </w:rPr>
        <w:t xml:space="preserve"> </w:t>
        <w:tab/>
        <w:t xml:space="preserve">Insert main key words.</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2001953125" w:line="240" w:lineRule="auto"/>
        <w:ind w:left="0" w:right="-145.8661417322827"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Introduction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2001953125" w:line="240" w:lineRule="auto"/>
        <w:ind w:left="0" w:right="-145.866141732282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P1- Context. Current state of academic tutoring in higher education.The availability bottleneck caused by high student-to-tutor ratios.Mention of traditional on-campus support models and their limitations.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2001953125" w:line="240" w:lineRule="auto"/>
        <w:ind w:left="0" w:right="-145.866141732282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P2- brief description, review solution and mention aspects not able to be addressed.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2001953125" w:line="240" w:lineRule="auto"/>
        <w:ind w:left="0" w:right="-145.866141732282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P3 - explaining certain aspects, expand and explain why its important to use.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2001953125" w:line="240" w:lineRule="auto"/>
        <w:ind w:left="0" w:right="-145.866141732282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P4 This study seeks to address (limitation)…. Methodology identifies problem, proposed solution, evaluate, etc. using metrics. Data will be gathered from….. Uses primary/secondary dataset.The study utilises these tools….Mention languages and db. This study is guided by the following objectives…</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447265625" w:line="240" w:lineRule="auto"/>
        <w:ind w:left="23.040008544921875" w:right="-145.8661417322827"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1.1 </w:t>
      </w:r>
      <w:r w:rsidDel="00000000" w:rsidR="00000000" w:rsidRPr="00000000">
        <w:rPr>
          <w:rFonts w:ascii="Times New Roman" w:cs="Times New Roman" w:eastAsia="Times New Roman" w:hAnsi="Times New Roman"/>
          <w:i w:val="1"/>
          <w:iCs w:val="1"/>
          <w:rtl w:val="0"/>
        </w:rPr>
        <w:t xml:space="preserve">Proposed Solution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0003662109375" w:line="240" w:lineRule="auto"/>
        <w:ind w:left="23.040008544921875" w:right="-145.8661417322827" w:firstLine="0"/>
        <w:jc w:val="left"/>
        <w:rPr>
          <w:rFonts w:ascii="Times New Roman" w:cs="Times New Roman" w:eastAsia="Times New Roman" w:hAnsi="Times New Roman"/>
          <w:b w:val="0"/>
          <w:bCs w:val="0"/>
          <w:i w:val="1"/>
          <w:iCs w:val="1"/>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1.2 Objectives </w:t>
      </w:r>
    </w:p>
    <w:p w:rsidR="00000000" w:rsidDel="00000000" w:rsidP="00000000" w:rsidRDefault="00000000" w:rsidRPr="00000000" w14:paraId="0000000E">
      <w:pPr>
        <w:widowControl w:val="0"/>
        <w:numPr>
          <w:ilvl w:val="0"/>
          <w:numId w:val="1"/>
        </w:numPr>
        <w:spacing w:line="240" w:lineRule="auto"/>
        <w:ind w:left="720" w:right="-145.8661417322827"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conduct a literature on AI-based tutoring and identify the limitations.</w:t>
      </w:r>
    </w:p>
    <w:p w:rsidR="00000000" w:rsidDel="00000000" w:rsidP="00000000" w:rsidRDefault="00000000" w:rsidRPr="00000000" w14:paraId="0000000F">
      <w:pPr>
        <w:widowControl w:val="0"/>
        <w:numPr>
          <w:ilvl w:val="0"/>
          <w:numId w:val="1"/>
        </w:numPr>
        <w:spacing w:line="240" w:lineRule="auto"/>
        <w:ind w:left="720" w:right="-145.8661417322827"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 propose a solution for…</w:t>
      </w:r>
    </w:p>
    <w:p w:rsidR="00000000" w:rsidDel="00000000" w:rsidP="00000000" w:rsidRDefault="00000000" w:rsidRPr="00000000" w14:paraId="00000010">
      <w:pPr>
        <w:widowControl w:val="0"/>
        <w:numPr>
          <w:ilvl w:val="0"/>
          <w:numId w:val="1"/>
        </w:numPr>
        <w:spacing w:line="240" w:lineRule="auto"/>
        <w:ind w:left="720" w:right="-145.8661417322827"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 design and develop…</w:t>
      </w:r>
    </w:p>
    <w:p w:rsidR="00000000" w:rsidDel="00000000" w:rsidP="00000000" w:rsidRDefault="00000000" w:rsidRPr="00000000" w14:paraId="00000011">
      <w:pPr>
        <w:widowControl w:val="0"/>
        <w:numPr>
          <w:ilvl w:val="0"/>
          <w:numId w:val="1"/>
        </w:numPr>
        <w:spacing w:line="240" w:lineRule="auto"/>
        <w:ind w:left="720" w:right="-145.8661417322827"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 evaluate the performance of hybrid systems using accuracy, recall, precision and  F1 score.</w:t>
      </w:r>
    </w:p>
    <w:p w:rsidR="00000000" w:rsidDel="00000000" w:rsidP="00000000" w:rsidRDefault="00000000" w:rsidRPr="00000000" w14:paraId="00000012">
      <w:pPr>
        <w:widowControl w:val="0"/>
        <w:spacing w:line="240" w:lineRule="auto"/>
        <w:ind w:left="0" w:right="-145.8661417322827" w:firstLine="0"/>
        <w:jc w:val="both"/>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13">
      <w:pPr>
        <w:widowControl w:val="0"/>
        <w:spacing w:after="0" w:before="112" w:line="240" w:lineRule="auto"/>
        <w:ind w:right="-145.8661417322827"/>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w:t>
      </w:r>
      <w:bookmarkStart w:colFirst="0" w:colLast="0" w:name="2j07kgtp0qa4" w:id="1"/>
      <w:bookmarkEnd w:id="1"/>
      <w:r w:rsidDel="00000000" w:rsidR="00000000" w:rsidRPr="00000000">
        <w:rPr>
          <w:rFonts w:ascii="Times New Roman" w:cs="Times New Roman" w:eastAsia="Times New Roman" w:hAnsi="Times New Roman"/>
          <w:b w:val="1"/>
          <w:bCs w:val="1"/>
          <w:sz w:val="26"/>
          <w:szCs w:val="26"/>
          <w:rtl w:val="0"/>
        </w:rPr>
        <w:t xml:space="preserve">Literature Review</w:t>
      </w:r>
    </w:p>
    <w:p w:rsidR="00000000" w:rsidDel="00000000" w:rsidP="00000000" w:rsidRDefault="00000000" w:rsidRPr="00000000" w14:paraId="00000014">
      <w:pPr>
        <w:widowControl w:val="0"/>
        <w:spacing w:after="0" w:line="240" w:lineRule="auto"/>
        <w:ind w:right="-145.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goal of this literature review is to provide a systematic thematic synthesis of research on AI-based academic tutoring systems. This section is guided by the four research questions established in the study's research methodology, which progress from technical foundations to educational outcomes. It emphasizes the descriptive mapping of themes throughout the final 24 chosen articles.</w:t>
      </w:r>
    </w:p>
    <w:p w:rsidR="00000000" w:rsidDel="00000000" w:rsidP="00000000" w:rsidRDefault="00000000" w:rsidRPr="00000000" w14:paraId="00000015">
      <w:pPr>
        <w:widowControl w:val="0"/>
        <w:spacing w:after="0" w:line="240" w:lineRule="auto"/>
        <w:ind w:right="-145.8661417322827"/>
        <w:jc w:val="both"/>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016">
      <w:pPr>
        <w:widowControl w:val="0"/>
        <w:spacing w:after="0" w:before="0" w:line="240" w:lineRule="auto"/>
        <w:ind w:left="0" w:right="-145.8661417322827" w:firstLine="0"/>
        <w:jc w:val="both"/>
        <w:rPr>
          <w:rFonts w:ascii="Times New Roman" w:cs="Times New Roman" w:eastAsia="Times New Roman" w:hAnsi="Times New Roman"/>
          <w:i w:val="1"/>
          <w:iCs w:val="1"/>
          <w:sz w:val="10"/>
          <w:szCs w:val="10"/>
        </w:rPr>
      </w:pPr>
      <w:r w:rsidDel="00000000" w:rsidR="00000000" w:rsidRPr="00000000">
        <w:rPr>
          <w:rFonts w:ascii="Times New Roman" w:cs="Times New Roman" w:eastAsia="Times New Roman" w:hAnsi="Times New Roman"/>
          <w:i w:val="1"/>
          <w:iCs w:val="1"/>
          <w:rtl w:val="0"/>
        </w:rPr>
        <w:t xml:space="preserve">2.1 </w:t>
      </w:r>
      <w:bookmarkStart w:colFirst="0" w:colLast="0" w:name="zgdfcrx1lwop" w:id="2"/>
      <w:bookmarkEnd w:id="2"/>
      <w:r w:rsidDel="00000000" w:rsidR="00000000" w:rsidRPr="00000000">
        <w:rPr>
          <w:rFonts w:ascii="Times New Roman" w:cs="Times New Roman" w:eastAsia="Times New Roman" w:hAnsi="Times New Roman"/>
          <w:i w:val="1"/>
          <w:iCs w:val="1"/>
          <w:rtl w:val="0"/>
        </w:rPr>
        <w:t xml:space="preserve">Existing AI </w:t>
      </w:r>
      <w:bookmarkStart w:colFirst="0" w:colLast="0" w:name="uvs0fqfiihtw" w:id="3"/>
      <w:bookmarkEnd w:id="3"/>
      <w:r w:rsidDel="00000000" w:rsidR="00000000" w:rsidRPr="00000000">
        <w:rPr>
          <w:rFonts w:ascii="Times New Roman" w:cs="Times New Roman" w:eastAsia="Times New Roman" w:hAnsi="Times New Roman"/>
          <w:i w:val="1"/>
          <w:iCs w:val="1"/>
          <w:rtl w:val="0"/>
        </w:rPr>
        <w:t xml:space="preserve">approaches for Academic Tutoring</w:t>
      </w:r>
      <w:r w:rsidDel="00000000" w:rsidR="00000000" w:rsidRPr="00000000">
        <w:rPr>
          <w:rtl w:val="0"/>
        </w:rPr>
      </w:r>
    </w:p>
    <w:p w:rsidR="00000000" w:rsidDel="00000000" w:rsidP="00000000" w:rsidRDefault="00000000" w:rsidRPr="00000000" w14:paraId="00000017">
      <w:pPr>
        <w:widowControl w:val="0"/>
        <w:spacing w:before="0" w:line="240" w:lineRule="auto"/>
        <w:ind w:left="11" w:right="-145.866141732282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literature reveals five main architectural approaches. These are LLMs, MIA systems, Hybrid approaches and rule-based systems, along with Machine Learning (ML) and RAG (standalone approaches). </w:t>
      </w:r>
      <w:r w:rsidDel="00000000" w:rsidR="00000000" w:rsidRPr="00000000">
        <w:rPr>
          <w:rtl w:val="0"/>
        </w:rPr>
      </w:r>
    </w:p>
    <w:p w:rsidR="00000000" w:rsidDel="00000000" w:rsidP="00000000" w:rsidRDefault="00000000" w:rsidRPr="00000000" w14:paraId="00000018">
      <w:pPr>
        <w:widowControl w:val="0"/>
        <w:spacing w:after="0" w:before="0" w:line="240" w:lineRule="auto"/>
        <w:ind w:left="11" w:right="-145.866141732282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LLM-Based systems are represented by 66% of the reviewed studies. These systems utilise models such as GPT-4, Llama-3, and</w:t>
      </w:r>
    </w:p>
    <w:p w:rsidR="00000000" w:rsidDel="00000000" w:rsidP="00000000" w:rsidRDefault="00000000" w:rsidRPr="00000000" w14:paraId="00000019">
      <w:pPr>
        <w:widowControl w:val="0"/>
        <w:spacing w:after="0" w:before="0" w:line="240" w:lineRule="auto"/>
        <w:ind w:left="11" w:right="-145.866141732282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DeepSeek R1, which generate fluid, human-like explanations in real time[4], [12], [15]. These systems demonstrate high technical performance such as the Eliminate-Then-Select framework which achieved a 96.1% accuracy on ScienceQA benchmarks [12]. However, it carries serious risks, such as a 28% factual error rate and a 45% student over-reliance rate where learners simply copy answers without active thinking [4], [9]. </w:t>
      </w:r>
    </w:p>
    <w:p w:rsidR="00000000" w:rsidDel="00000000" w:rsidP="00000000" w:rsidRDefault="00000000" w:rsidRPr="00000000" w14:paraId="0000001A">
      <w:pPr>
        <w:widowControl w:val="0"/>
        <w:spacing w:after="0" w:before="0" w:line="240" w:lineRule="auto"/>
        <w:ind w:left="11" w:right="-145.8661417322827"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MIA</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appeared in  approximately 38% of systems from the reviewed studies. This system</w:t>
      </w:r>
      <w:r w:rsidDel="00000000" w:rsidR="00000000" w:rsidRPr="00000000">
        <w:rPr>
          <w:rFonts w:ascii="Times New Roman" w:cs="Times New Roman" w:eastAsia="Times New Roman" w:hAnsi="Times New Roman"/>
          <w:rtl w:val="0"/>
        </w:rPr>
        <w:t xml:space="preserve"> was developed to split different teaching tasks like testing and lesson planning among cooperative specialized software agents. This system prioritises structure and accountability over conversational flexibility however, it still suffered from mechanical and robotic dialogue [5], [6].            </w:t>
      </w:r>
    </w:p>
    <w:p w:rsidR="00000000" w:rsidDel="00000000" w:rsidP="00000000" w:rsidRDefault="00000000" w:rsidRPr="00000000" w14:paraId="0000001B">
      <w:pPr>
        <w:widowControl w:val="0"/>
        <w:spacing w:after="0" w:before="0" w:line="240" w:lineRule="auto"/>
        <w:ind w:left="11" w:right="-145.8661417322827"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Historically rule-based systems used strict, pre-programmed guidelines to provide tutoring responses. Although the system is highly reliable and safe, they could not adapt to unpredictable student questions [4].      </w:t>
      </w:r>
    </w:p>
    <w:p w:rsidR="00000000" w:rsidDel="00000000" w:rsidP="00000000" w:rsidRDefault="00000000" w:rsidRPr="00000000" w14:paraId="0000001C">
      <w:pPr>
        <w:widowControl w:val="0"/>
        <w:spacing w:after="0" w:before="0" w:line="240" w:lineRule="auto"/>
        <w:ind w:left="11" w:right="-145.8661417322827"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percentage overlap of 66% (LLM) and 37% (MIA/rule-based) indicates hybrid implementations that combine LLM flexibility with agent-based control structures [6], [20].</w:t>
      </w:r>
    </w:p>
    <w:p w:rsidR="00000000" w:rsidDel="00000000" w:rsidP="00000000" w:rsidRDefault="00000000" w:rsidRPr="00000000" w14:paraId="0000001D">
      <w:pPr>
        <w:spacing w:after="200" w:line="240" w:lineRule="auto"/>
        <w:ind w:right="-145.8661417322827"/>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Figure 1:  Various AI-Based Approaches Across 24 Articles</w:t>
      </w:r>
      <w:r w:rsidDel="00000000" w:rsidR="00000000" w:rsidRPr="00000000">
        <w:drawing>
          <wp:anchor allowOverlap="1" behindDoc="0" distB="0" distT="0" distL="0" distR="0" hidden="0" layoutInCell="1" locked="0" relativeHeight="0" simplePos="0">
            <wp:simplePos x="0" y="0"/>
            <wp:positionH relativeFrom="column">
              <wp:posOffset>1751291</wp:posOffset>
            </wp:positionH>
            <wp:positionV relativeFrom="paragraph">
              <wp:posOffset>0</wp:posOffset>
            </wp:positionV>
            <wp:extent cx="2377758" cy="1457325"/>
            <wp:effectExtent b="0" l="0" r="0" t="0"/>
            <wp:wrapTopAndBottom distB="0" distT="0"/>
            <wp:docPr id="1" name="image2.png"/>
            <a:graphic>
              <a:graphicData uri="http://schemas.openxmlformats.org/drawingml/2006/picture">
                <pic:pic>
                  <pic:nvPicPr>
                    <pic:cNvPr id="0" name="image2.png"/>
                    <pic:cNvPicPr preferRelativeResize="0"/>
                  </pic:nvPicPr>
                  <pic:blipFill>
                    <a:blip r:embed="rId15"/>
                    <a:srcRect b="0" l="0" r="15529" t="0"/>
                    <a:stretch>
                      <a:fillRect/>
                    </a:stretch>
                  </pic:blipFill>
                  <pic:spPr>
                    <a:xfrm>
                      <a:off x="0" y="0"/>
                      <a:ext cx="2377758" cy="1457325"/>
                    </a:xfrm>
                    <a:prstGeom prst="rect"/>
                    <a:ln/>
                  </pic:spPr>
                </pic:pic>
              </a:graphicData>
            </a:graphic>
          </wp:anchor>
        </w:drawing>
      </w:r>
    </w:p>
    <w:p w:rsidR="00000000" w:rsidDel="00000000" w:rsidP="00000000" w:rsidRDefault="00000000" w:rsidRPr="00000000" w14:paraId="0000001E">
      <w:pPr>
        <w:spacing w:after="200" w:line="240" w:lineRule="auto"/>
        <w:ind w:right="-145.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Figure 2 summarises the main AI-based tutoring approaches and outcomes identified across the 24 selected studies. LLM/GenAI appears in 66% of studies, while Rule/MIA appears in 38%. Notably, pedagogical scaffolding appears in only 33% of implementations, revealing a focus on technology over teaching. However, the success of all these systems depends heavily on the data they are trained on.</w:t>
      </w:r>
    </w:p>
    <w:p w:rsidR="00000000" w:rsidDel="00000000" w:rsidP="00000000" w:rsidRDefault="00000000" w:rsidRPr="00000000" w14:paraId="0000001F">
      <w:pPr>
        <w:widowControl w:val="0"/>
        <w:spacing w:before="0" w:line="240" w:lineRule="auto"/>
        <w:ind w:right="-145.8661417322827"/>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2.2. Theoretical Evaluation of approaches</w:t>
      </w:r>
    </w:p>
    <w:p w:rsidR="00000000" w:rsidDel="00000000" w:rsidP="00000000" w:rsidRDefault="00000000" w:rsidRPr="00000000" w14:paraId="00000020">
      <w:pPr>
        <w:widowControl w:val="0"/>
        <w:spacing w:before="0" w:line="240" w:lineRule="auto"/>
        <w:ind w:right="-145.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table below presents a comparative theoretical evaluation of the approaches mentioned previously in the literature. The evaluation examines each approach across six key metrics.  </w:t>
      </w:r>
    </w:p>
    <w:p w:rsidR="00000000" w:rsidDel="00000000" w:rsidP="00000000" w:rsidRDefault="00000000" w:rsidRPr="00000000" w14:paraId="00000021">
      <w:pPr>
        <w:widowControl w:val="0"/>
        <w:spacing w:before="112" w:line="240" w:lineRule="auto"/>
        <w:ind w:right="-145.8661417322827"/>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1"/>
          <w:iCs w:val="1"/>
          <w:sz w:val="18"/>
          <w:szCs w:val="18"/>
          <w:rtl w:val="0"/>
        </w:rPr>
        <w:t xml:space="preserve">Table 1:  Comparative Evaluation of AI Tutoring System Architectures </w:t>
      </w:r>
    </w:p>
    <w:p w:rsidR="00000000" w:rsidDel="00000000" w:rsidP="00000000" w:rsidRDefault="00000000" w:rsidRPr="00000000" w14:paraId="00000022">
      <w:pPr>
        <w:widowControl w:val="0"/>
        <w:spacing w:before="112" w:line="240" w:lineRule="auto"/>
        <w:ind w:right="-145.8661417322827"/>
        <w:jc w:val="center"/>
        <w:rPr>
          <w:rFonts w:ascii="Times New Roman" w:cs="Times New Roman" w:eastAsia="Times New Roman" w:hAnsi="Times New Roman"/>
          <w:i w:val="1"/>
          <w:iCs w:val="1"/>
          <w:sz w:val="2"/>
          <w:szCs w:val="2"/>
        </w:rPr>
      </w:pPr>
      <w:r w:rsidDel="00000000" w:rsidR="00000000" w:rsidRPr="00000000">
        <w:rPr>
          <w:rtl w:val="0"/>
        </w:rPr>
      </w:r>
    </w:p>
    <w:tbl>
      <w:tblPr>
        <w:tblStyle w:val="Table1"/>
        <w:tblW w:w="10545.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945"/>
        <w:gridCol w:w="975"/>
        <w:gridCol w:w="1395"/>
        <w:gridCol w:w="1425"/>
        <w:gridCol w:w="1740"/>
        <w:gridCol w:w="2040"/>
        <w:tblGridChange w:id="0">
          <w:tblGrid>
            <w:gridCol w:w="2025"/>
            <w:gridCol w:w="945"/>
            <w:gridCol w:w="975"/>
            <w:gridCol w:w="1395"/>
            <w:gridCol w:w="1425"/>
            <w:gridCol w:w="1740"/>
            <w:gridCol w:w="2040"/>
          </w:tblGrid>
        </w:tblGridChange>
      </w:tblGrid>
      <w:tr>
        <w:trPr>
          <w:cantSplit w:val="1"/>
          <w:trHeight w:val="56.69291338582678" w:hRule="atLeast"/>
          <w:tblHeader w:val="0"/>
        </w:trPr>
        <w:tc>
          <w:tcPr>
            <w:tcBorders>
              <w:top w:color="000000" w:space="0" w:sz="24" w:val="single"/>
              <w:left w:color="000000" w:space="0" w:sz="0" w:val="nil"/>
              <w:bottom w:color="000000" w:space="0" w:sz="24" w:val="single"/>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8661417322827"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Approach</w:t>
            </w:r>
          </w:p>
        </w:tc>
        <w:tc>
          <w:tcPr>
            <w:tcBorders>
              <w:top w:color="000000" w:space="0" w:sz="24" w:val="single"/>
              <w:left w:color="000000" w:space="0" w:sz="0" w:val="nil"/>
              <w:bottom w:color="000000" w:space="0" w:sz="24" w:val="single"/>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8661417322827"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Accuracy</w:t>
            </w:r>
          </w:p>
        </w:tc>
        <w:tc>
          <w:tcPr>
            <w:tcBorders>
              <w:top w:color="000000" w:space="0" w:sz="24" w:val="single"/>
              <w:left w:color="000000" w:space="0" w:sz="0" w:val="nil"/>
              <w:bottom w:color="000000" w:space="0" w:sz="24" w:val="single"/>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8661417322827"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Precision</w:t>
            </w:r>
          </w:p>
        </w:tc>
        <w:tc>
          <w:tcPr>
            <w:tcBorders>
              <w:top w:color="000000" w:space="0" w:sz="24" w:val="single"/>
              <w:left w:color="000000" w:space="0" w:sz="0" w:val="nil"/>
              <w:bottom w:color="000000" w:space="0" w:sz="24" w:val="single"/>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8661417322827"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Factual Error Rate</w:t>
            </w:r>
          </w:p>
        </w:tc>
        <w:tc>
          <w:tcPr>
            <w:tcBorders>
              <w:top w:color="000000" w:space="0" w:sz="24" w:val="single"/>
              <w:left w:color="000000" w:space="0" w:sz="0" w:val="nil"/>
              <w:bottom w:color="000000" w:space="0" w:sz="24" w:val="single"/>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8661417322827"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 over-reliance</w:t>
            </w:r>
          </w:p>
        </w:tc>
        <w:tc>
          <w:tcPr>
            <w:tcBorders>
              <w:top w:color="000000" w:space="0" w:sz="24" w:val="single"/>
              <w:left w:color="000000" w:space="0" w:sz="0" w:val="nil"/>
              <w:bottom w:color="000000" w:space="0" w:sz="24" w:val="single"/>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8661417322827"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Pedagogical Grounding </w:t>
            </w:r>
          </w:p>
        </w:tc>
        <w:tc>
          <w:tcPr>
            <w:tcBorders>
              <w:top w:color="000000" w:space="0" w:sz="24" w:val="single"/>
              <w:left w:color="000000" w:space="0" w:sz="0" w:val="nil"/>
              <w:bottom w:color="000000" w:space="0" w:sz="24" w:val="single"/>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8661417322827"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Response </w:t>
            </w:r>
            <w:r w:rsidDel="00000000" w:rsidR="00000000" w:rsidRPr="00000000">
              <w:rPr>
                <w:rFonts w:ascii="Times New Roman" w:cs="Times New Roman" w:eastAsia="Times New Roman" w:hAnsi="Times New Roman"/>
                <w:sz w:val="20"/>
                <w:szCs w:val="20"/>
                <w:rtl w:val="0"/>
              </w:rPr>
              <w:t xml:space="preserve">Adaptability</w:t>
            </w:r>
            <w:r w:rsidDel="00000000" w:rsidR="00000000" w:rsidRPr="00000000">
              <w:rPr>
                <w:rtl w:val="0"/>
              </w:rPr>
            </w:r>
          </w:p>
        </w:tc>
      </w:tr>
      <w:tr>
        <w:trPr>
          <w:cantSplit w:val="1"/>
          <w:trHeight w:val="56.69291338582678" w:hRule="atLeast"/>
          <w:tblHeader w:val="0"/>
        </w:trPr>
        <w:tc>
          <w:tcPr>
            <w:tcBorders>
              <w:top w:color="000000" w:space="0" w:sz="24" w:val="single"/>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8661417322827"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LLM Systems</w:t>
            </w:r>
          </w:p>
        </w:tc>
        <w:tc>
          <w:tcPr>
            <w:tcBorders>
              <w:top w:color="000000" w:space="0" w:sz="24" w:val="single"/>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8661417322827" w:firstLine="0"/>
              <w:jc w:val="left"/>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24" w:val="single"/>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2C">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24" w:val="single"/>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8661417322827" w:firstLine="0"/>
              <w:jc w:val="left"/>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24" w:val="single"/>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2E">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24" w:val="single"/>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2F">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24" w:val="single"/>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0">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1"/>
          <w:trHeight w:val="56.69291338582678" w:hRule="atLeast"/>
          <w:tblHeader w:val="0"/>
        </w:trPr>
        <w:tc>
          <w:tcPr>
            <w:tcBorders>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8661417322827"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MIA Systems</w:t>
            </w:r>
          </w:p>
        </w:tc>
        <w:tc>
          <w:tcPr>
            <w:tcBorders>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2">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3">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4">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5">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6">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7">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1"/>
          <w:trHeight w:val="56.69291338582678" w:hRule="atLeast"/>
          <w:tblHeader w:val="0"/>
        </w:trPr>
        <w:tc>
          <w:tcPr>
            <w:tcBorders>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8661417322827"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Rule-based Systems</w:t>
            </w:r>
          </w:p>
        </w:tc>
        <w:tc>
          <w:tcPr>
            <w:tcBorders>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9">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A">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B">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C">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D">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E">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1"/>
          <w:trHeight w:val="56.69291338582678" w:hRule="atLeast"/>
          <w:tblHeader w:val="0"/>
        </w:trPr>
        <w:tc>
          <w:tcPr>
            <w:tcBorders>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8661417322827"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Hybrid Systems</w:t>
            </w:r>
          </w:p>
        </w:tc>
        <w:tc>
          <w:tcPr>
            <w:tcBorders>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0">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1">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2">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3">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4">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5">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r>
    </w:tbl>
    <w:p w:rsidR="00000000" w:rsidDel="00000000" w:rsidP="00000000" w:rsidRDefault="00000000" w:rsidRPr="00000000" w14:paraId="00000046">
      <w:pPr>
        <w:widowControl w:val="0"/>
        <w:spacing w:before="112" w:line="240" w:lineRule="auto"/>
        <w:ind w:right="-145.8661417322827"/>
        <w:jc w:val="both"/>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47">
      <w:pPr>
        <w:widowControl w:val="0"/>
        <w:spacing w:before="112" w:line="240" w:lineRule="auto"/>
        <w:ind w:right="-145.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evaluation reveals distinct competing differences in the architectural approaches. LLM systems achieve high technical performance metrics (96.1% accuracy, 0.995 precision) [12], [17]. It also introduces significant pedagogical risks including a 28% factual error rate and 45% student over-reliance [4], [9]. Furthermore, 68% of LLM implementations lack grounding in formal learning theories such as Constructivism or Bloom's Taxonomy [18]. Rule-based systems offer reliability and strong pedagogical grounding through pre-programmed guidelines but cannot adapt to unpredictable student queries [4]. MIA systems provide structured task delegation and lower over-reliance risks but suffer from mechanical dialogue [5], [6]. Hybrid architectures emerge as the optimal theoretical balance, combining LLM conversational flexibility with MIA accountability and RAG integration for improved factual grounding, though their pedagogical grounding remains unproven [6], [8], [14].</w:t>
      </w:r>
    </w:p>
    <w:p w:rsidR="00000000" w:rsidDel="00000000" w:rsidP="00000000" w:rsidRDefault="00000000" w:rsidRPr="00000000" w14:paraId="00000048">
      <w:pPr>
        <w:widowControl w:val="0"/>
        <w:spacing w:before="112" w:line="240" w:lineRule="auto"/>
        <w:ind w:right="-145.8661417322827"/>
        <w:jc w:val="both"/>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49">
      <w:pPr>
        <w:keepNext w:val="1"/>
        <w:spacing w:after="0" w:line="240" w:lineRule="auto"/>
        <w:ind w:right="-145.8661417322827"/>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2.3. Theoretical evaluation of Hybrid Systems</w:t>
      </w:r>
    </w:p>
    <w:p w:rsidR="00000000" w:rsidDel="00000000" w:rsidP="00000000" w:rsidRDefault="00000000" w:rsidRPr="00000000" w14:paraId="0000004A">
      <w:pPr>
        <w:keepNext w:val="1"/>
        <w:spacing w:after="0" w:before="0" w:line="240" w:lineRule="auto"/>
        <w:ind w:right="-145.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theoretical evaluation of the approaches, hybrid architectures emerge as the most promising approach for AI-based academic tutoring. </w:t>
      </w:r>
    </w:p>
    <w:p w:rsidR="00000000" w:rsidDel="00000000" w:rsidP="00000000" w:rsidRDefault="00000000" w:rsidRPr="00000000" w14:paraId="0000004B">
      <w:pPr>
        <w:keepNext w:val="1"/>
        <w:spacing w:after="0" w:before="0" w:line="240" w:lineRule="auto"/>
        <w:ind w:right="-145.8661417322827"/>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04C">
      <w:pPr>
        <w:widowControl w:val="0"/>
        <w:spacing w:before="112" w:line="240" w:lineRule="auto"/>
        <w:ind w:right="-145.8661417322827"/>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Table 2: In-Depth Evaluation of Hybrid System Sub-Approaches</w:t>
      </w:r>
    </w:p>
    <w:p w:rsidR="00000000" w:rsidDel="00000000" w:rsidP="00000000" w:rsidRDefault="00000000" w:rsidRPr="00000000" w14:paraId="0000004D">
      <w:pPr>
        <w:widowControl w:val="0"/>
        <w:spacing w:before="112" w:line="240" w:lineRule="auto"/>
        <w:ind w:right="-145.8661417322827"/>
        <w:jc w:val="center"/>
        <w:rPr>
          <w:rFonts w:ascii="Times New Roman" w:cs="Times New Roman" w:eastAsia="Times New Roman" w:hAnsi="Times New Roman"/>
          <w:i w:val="1"/>
          <w:iCs w:val="1"/>
          <w:sz w:val="2"/>
          <w:szCs w:val="2"/>
        </w:rPr>
      </w:pPr>
      <w:r w:rsidDel="00000000" w:rsidR="00000000" w:rsidRPr="00000000">
        <w:rPr>
          <w:rtl w:val="0"/>
        </w:rPr>
      </w:r>
    </w:p>
    <w:tbl>
      <w:tblPr>
        <w:tblStyle w:val="Table2"/>
        <w:tblW w:w="10755.0" w:type="dxa"/>
        <w:jc w:val="left"/>
        <w:tblInd w:w="-10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1035"/>
        <w:gridCol w:w="1035"/>
        <w:gridCol w:w="1335"/>
        <w:gridCol w:w="1320"/>
        <w:gridCol w:w="2145"/>
        <w:gridCol w:w="1140"/>
        <w:tblGridChange w:id="0">
          <w:tblGrid>
            <w:gridCol w:w="2745"/>
            <w:gridCol w:w="1035"/>
            <w:gridCol w:w="1035"/>
            <w:gridCol w:w="1335"/>
            <w:gridCol w:w="1320"/>
            <w:gridCol w:w="2145"/>
            <w:gridCol w:w="1140"/>
          </w:tblGrid>
        </w:tblGridChange>
      </w:tblGrid>
      <w:tr>
        <w:trPr>
          <w:cantSplit w:val="1"/>
          <w:tblHeader w:val="0"/>
        </w:trPr>
        <w:tc>
          <w:tcPr>
            <w:tcBorders>
              <w:top w:color="000000" w:space="0" w:sz="24" w:val="single"/>
              <w:left w:color="000000" w:space="0" w:sz="0" w:val="nil"/>
              <w:bottom w:color="000000" w:space="0" w:sz="24" w:val="single"/>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8661417322827"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Hybrid Sub-Approach</w:t>
            </w:r>
          </w:p>
        </w:tc>
        <w:tc>
          <w:tcPr>
            <w:tcBorders>
              <w:top w:color="000000" w:space="0" w:sz="24" w:val="single"/>
              <w:left w:color="000000" w:space="0" w:sz="0" w:val="nil"/>
              <w:bottom w:color="000000" w:space="0" w:sz="24" w:val="single"/>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8661417322827"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Accuracy</w:t>
            </w:r>
          </w:p>
        </w:tc>
        <w:tc>
          <w:tcPr>
            <w:tcBorders>
              <w:top w:color="000000" w:space="0" w:sz="24" w:val="single"/>
              <w:left w:color="000000" w:space="0" w:sz="0" w:val="nil"/>
              <w:bottom w:color="000000" w:space="0" w:sz="24" w:val="single"/>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8661417322827"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Precision</w:t>
            </w:r>
          </w:p>
        </w:tc>
        <w:tc>
          <w:tcPr>
            <w:tcBorders>
              <w:top w:color="000000" w:space="0" w:sz="24" w:val="single"/>
              <w:left w:color="000000" w:space="0" w:sz="0" w:val="nil"/>
              <w:bottom w:color="000000" w:space="0" w:sz="24" w:val="single"/>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8661417322827"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Factual Errors </w:t>
            </w:r>
          </w:p>
        </w:tc>
        <w:tc>
          <w:tcPr>
            <w:tcBorders>
              <w:top w:color="000000" w:space="0" w:sz="24" w:val="single"/>
              <w:left w:color="000000" w:space="0" w:sz="0" w:val="nil"/>
              <w:bottom w:color="000000" w:space="0" w:sz="24" w:val="single"/>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8661417322827"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Over-reliance</w:t>
            </w:r>
          </w:p>
        </w:tc>
        <w:tc>
          <w:tcPr>
            <w:tcBorders>
              <w:top w:color="000000" w:space="0" w:sz="24" w:val="single"/>
              <w:left w:color="000000" w:space="0" w:sz="0" w:val="nil"/>
              <w:bottom w:color="000000" w:space="0" w:sz="24" w:val="single"/>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3">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Pedagogical Grounding </w:t>
            </w:r>
          </w:p>
        </w:tc>
        <w:tc>
          <w:tcPr>
            <w:tcBorders>
              <w:top w:color="000000" w:space="0" w:sz="24" w:val="single"/>
              <w:left w:color="000000" w:space="0" w:sz="0" w:val="nil"/>
              <w:bottom w:color="000000" w:space="0" w:sz="24" w:val="single"/>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4">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Adaptability</w:t>
            </w:r>
            <w:r w:rsidDel="00000000" w:rsidR="00000000" w:rsidRPr="00000000">
              <w:rPr>
                <w:rtl w:val="0"/>
              </w:rPr>
            </w:r>
          </w:p>
        </w:tc>
      </w:tr>
      <w:tr>
        <w:trPr>
          <w:cantSplit w:val="1"/>
          <w:tblHeader w:val="0"/>
        </w:trPr>
        <w:tc>
          <w:tcPr>
            <w:tcBorders>
              <w:top w:color="000000" w:space="0" w:sz="24" w:val="single"/>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8661417322827"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RAG-Enhanced Systems</w:t>
            </w:r>
          </w:p>
        </w:tc>
        <w:tc>
          <w:tcPr>
            <w:tcBorders>
              <w:top w:color="000000" w:space="0" w:sz="24" w:val="single"/>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8661417322827" w:firstLine="0"/>
              <w:jc w:val="left"/>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24" w:val="single"/>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7">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24" w:val="single"/>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8">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24" w:val="single"/>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9">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24" w:val="single"/>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A">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24" w:val="single"/>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B">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1"/>
          <w:tblHeader w:val="0"/>
        </w:trPr>
        <w:tc>
          <w:tcPr>
            <w:tcBorders>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8661417322827"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Agent-Orchestrated Systems</w:t>
            </w:r>
          </w:p>
        </w:tc>
        <w:tc>
          <w:tcPr>
            <w:tcBorders>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D">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E">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F">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0">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1">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2">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1"/>
          <w:tblHeader w:val="0"/>
        </w:trPr>
        <w:tc>
          <w:tcPr>
            <w:tcBorders>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8661417322827"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Scaffolding-Integrated Systems </w:t>
            </w:r>
          </w:p>
        </w:tc>
        <w:tc>
          <w:tcPr>
            <w:tcBorders>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4">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5">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6">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7">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8">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left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9">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1"/>
          <w:tblHeader w:val="0"/>
        </w:trPr>
        <w:tc>
          <w:tcPr>
            <w:tcBorders>
              <w:left w:color="000000" w:space="0" w:sz="0" w:val="nil"/>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8661417322827"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Full-Stack Hybrid Systems </w:t>
            </w:r>
          </w:p>
        </w:tc>
        <w:tc>
          <w:tcPr>
            <w:tcBorders>
              <w:left w:color="000000" w:space="0" w:sz="0" w:val="nil"/>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B">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left w:color="000000" w:space="0" w:sz="0" w:val="nil"/>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C">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left w:color="000000" w:space="0" w:sz="0" w:val="nil"/>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D">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left w:color="000000" w:space="0" w:sz="0" w:val="nil"/>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E">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left w:color="000000" w:space="0" w:sz="0" w:val="nil"/>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F">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left w:color="000000" w:space="0" w:sz="0" w:val="nil"/>
              <w:bottom w:color="000000" w:space="0" w:sz="0" w:val="nil"/>
              <w:right w:color="000000" w:space="0" w:sz="0" w:val="nil"/>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0">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w:t>
            </w:r>
          </w:p>
        </w:tc>
      </w:tr>
    </w:tbl>
    <w:p w:rsidR="00000000" w:rsidDel="00000000" w:rsidP="00000000" w:rsidRDefault="00000000" w:rsidRPr="00000000" w14:paraId="00000071">
      <w:pPr>
        <w:keepNext w:val="1"/>
        <w:spacing w:after="0" w:before="0" w:line="240" w:lineRule="auto"/>
        <w:ind w:right="-145.8661417322827"/>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072">
      <w:pPr>
        <w:spacing w:after="0" w:before="0" w:line="240" w:lineRule="auto"/>
        <w:ind w:left="11" w:right="-145.866141732282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RAG-Enhanced Systems reduce hallucination rates below 28% by grounding responses in institutional datasets, however it remains vulnerable to over-reliance [9], [14]. Agent-Orchestrated Systems (CrewAI, LangGraph) distribute functions across specialised agents, improving accountability [6], [8]. Scaffolding-Integrated Systems incorporate heuristic questioning and hint generation, though only 33% of current implementations include these safeguards [15], [17]. Full-Stack Hybrid Systems combine all three approaches, offering the greatest potential for balancing LLM fluency with pedagogical effectiveness and reduced cognitive risks [6], [8], [14], [15], [17].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73">
      <w:pPr>
        <w:spacing w:before="112" w:line="240" w:lineRule="auto"/>
        <w:ind w:left="11" w:right="-145.8661417322827"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2</w:t>
      </w:r>
      <w:r w:rsidDel="00000000" w:rsidR="00000000" w:rsidRPr="00000000">
        <w:rPr>
          <w:rFonts w:ascii="Times New Roman" w:cs="Times New Roman" w:eastAsia="Times New Roman" w:hAnsi="Times New Roman"/>
          <w:i w:val="1"/>
          <w:iCs w:val="1"/>
          <w:rtl w:val="0"/>
        </w:rPr>
        <w:t xml:space="preserve">.4. Technical tools</w:t>
      </w:r>
    </w:p>
    <w:p w:rsidR="00000000" w:rsidDel="00000000" w:rsidP="00000000" w:rsidRDefault="00000000" w:rsidRPr="00000000" w14:paraId="00000074">
      <w:pPr>
        <w:spacing w:before="0" w:line="240" w:lineRule="auto"/>
        <w:ind w:left="11" w:right="-145.866141732282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presents the technical infrastructure supporting AI-based tutoring systems, including programming languages, frameworks, databases, and deployment environments. The analysis examines how architectural choices influence system capabilities and limitations.</w:t>
      </w:r>
    </w:p>
    <w:p w:rsidR="00000000" w:rsidDel="00000000" w:rsidP="00000000" w:rsidRDefault="00000000" w:rsidRPr="00000000" w14:paraId="00000075">
      <w:pPr>
        <w:spacing w:before="112" w:line="240" w:lineRule="auto"/>
        <w:ind w:left="11" w:right="-145.8661417322827" w:firstLine="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Table  3: Technical Implementation of AI Tutoring Systems</w:t>
      </w:r>
    </w:p>
    <w:p w:rsidR="00000000" w:rsidDel="00000000" w:rsidP="00000000" w:rsidRDefault="00000000" w:rsidRPr="00000000" w14:paraId="00000076">
      <w:pPr>
        <w:spacing w:before="112" w:line="240" w:lineRule="auto"/>
        <w:ind w:left="0" w:right="-145.8661417322827" w:firstLine="0"/>
        <w:jc w:val="left"/>
        <w:rPr>
          <w:rFonts w:ascii="Times New Roman" w:cs="Times New Roman" w:eastAsia="Times New Roman" w:hAnsi="Times New Roman"/>
          <w:sz w:val="4"/>
          <w:szCs w:val="4"/>
        </w:rPr>
      </w:pPr>
      <w:r w:rsidDel="00000000" w:rsidR="00000000" w:rsidRPr="00000000">
        <w:rPr>
          <w:rtl w:val="0"/>
        </w:rPr>
      </w:r>
    </w:p>
    <w:tbl>
      <w:tblPr>
        <w:tblStyle w:val="Table3"/>
        <w:tblpPr w:leftFromText="180" w:rightFromText="180" w:topFromText="180" w:bottomFromText="180" w:vertAnchor="text" w:horzAnchor="text" w:tblpX="-1097.1000671386716" w:tblpY="0"/>
        <w:tblW w:w="10995.0" w:type="dxa"/>
        <w:jc w:val="left"/>
        <w:tblInd w:w="1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2385"/>
        <w:gridCol w:w="2745"/>
        <w:gridCol w:w="1920"/>
        <w:gridCol w:w="2520"/>
        <w:tblGridChange w:id="0">
          <w:tblGrid>
            <w:gridCol w:w="1425"/>
            <w:gridCol w:w="2385"/>
            <w:gridCol w:w="2745"/>
            <w:gridCol w:w="1920"/>
            <w:gridCol w:w="2520"/>
          </w:tblGrid>
        </w:tblGridChange>
      </w:tblGrid>
      <w:tr>
        <w:trPr>
          <w:cantSplit w:val="1"/>
          <w:tblHeader w:val="0"/>
        </w:trPr>
        <w:tc>
          <w:tcPr>
            <w:tcBorders>
              <w:top w:color="000000" w:space="0" w:sz="24" w:val="single"/>
              <w:left w:color="000000" w:space="0" w:sz="0" w:val="nil"/>
              <w:bottom w:color="000000" w:space="0" w:sz="24" w:val="single"/>
              <w:right w:color="000000" w:space="0" w:sz="0" w:val="nil"/>
            </w:tcBorders>
            <w:tcMar>
              <w:top w:w="0.0" w:type="dxa"/>
              <w:left w:w="0.0" w:type="dxa"/>
              <w:bottom w:w="0.0" w:type="dxa"/>
              <w:right w:w="0.0" w:type="dxa"/>
            </w:tcMar>
          </w:tcPr>
          <w:p w:rsidR="00000000" w:rsidDel="00000000" w:rsidP="00000000" w:rsidRDefault="00000000" w:rsidRPr="00000000" w14:paraId="00000077">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Component </w:t>
            </w:r>
          </w:p>
        </w:tc>
        <w:tc>
          <w:tcPr>
            <w:tcBorders>
              <w:top w:color="000000" w:space="0" w:sz="24" w:val="single"/>
              <w:left w:color="000000" w:space="0" w:sz="0" w:val="nil"/>
              <w:bottom w:color="000000" w:space="0" w:sz="24" w:val="single"/>
              <w:right w:color="000000" w:space="0" w:sz="0" w:val="nil"/>
            </w:tcBorders>
            <w:tcMar>
              <w:top w:w="0.0" w:type="dxa"/>
              <w:left w:w="0.0" w:type="dxa"/>
              <w:bottom w:w="0.0" w:type="dxa"/>
              <w:right w:w="0.0" w:type="dxa"/>
            </w:tcMar>
          </w:tcPr>
          <w:p w:rsidR="00000000" w:rsidDel="00000000" w:rsidP="00000000" w:rsidRDefault="00000000" w:rsidRPr="00000000" w14:paraId="00000078">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LLM systems</w:t>
            </w:r>
          </w:p>
        </w:tc>
        <w:tc>
          <w:tcPr>
            <w:tcBorders>
              <w:top w:color="000000" w:space="0" w:sz="24" w:val="single"/>
              <w:left w:color="000000" w:space="0" w:sz="0" w:val="nil"/>
              <w:bottom w:color="000000" w:space="0" w:sz="24" w:val="single"/>
              <w:right w:color="000000" w:space="0" w:sz="0" w:val="nil"/>
            </w:tcBorders>
            <w:tcMar>
              <w:top w:w="0.0" w:type="dxa"/>
              <w:left w:w="0.0" w:type="dxa"/>
              <w:bottom w:w="0.0" w:type="dxa"/>
              <w:right w:w="0.0" w:type="dxa"/>
            </w:tcMar>
          </w:tcPr>
          <w:p w:rsidR="00000000" w:rsidDel="00000000" w:rsidP="00000000" w:rsidRDefault="00000000" w:rsidRPr="00000000" w14:paraId="00000079">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MIA Systems</w:t>
            </w:r>
          </w:p>
        </w:tc>
        <w:tc>
          <w:tcPr>
            <w:tcBorders>
              <w:top w:color="000000" w:space="0" w:sz="24" w:val="single"/>
              <w:left w:color="000000" w:space="0" w:sz="0" w:val="nil"/>
              <w:bottom w:color="000000" w:space="0" w:sz="24" w:val="single"/>
              <w:right w:color="000000" w:space="0" w:sz="0" w:val="nil"/>
            </w:tcBorders>
            <w:tcMar>
              <w:top w:w="0.0" w:type="dxa"/>
              <w:left w:w="0.0" w:type="dxa"/>
              <w:bottom w:w="0.0" w:type="dxa"/>
              <w:right w:w="0.0" w:type="dxa"/>
            </w:tcMar>
          </w:tcPr>
          <w:p w:rsidR="00000000" w:rsidDel="00000000" w:rsidP="00000000" w:rsidRDefault="00000000" w:rsidRPr="00000000" w14:paraId="0000007A">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Rule-Based S</w:t>
            </w:r>
          </w:p>
        </w:tc>
        <w:tc>
          <w:tcPr>
            <w:tcBorders>
              <w:top w:color="000000" w:space="0" w:sz="24" w:val="single"/>
              <w:left w:color="000000" w:space="0" w:sz="0" w:val="nil"/>
              <w:bottom w:color="000000" w:space="0" w:sz="24" w:val="single"/>
              <w:right w:color="000000" w:space="0" w:sz="0" w:val="nil"/>
            </w:tcBorders>
            <w:tcMar>
              <w:top w:w="0.0" w:type="dxa"/>
              <w:left w:w="0.0" w:type="dxa"/>
              <w:bottom w:w="0.0" w:type="dxa"/>
              <w:right w:w="0.0" w:type="dxa"/>
            </w:tcMar>
          </w:tcPr>
          <w:p w:rsidR="00000000" w:rsidDel="00000000" w:rsidP="00000000" w:rsidRDefault="00000000" w:rsidRPr="00000000" w14:paraId="0000007B">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Hybrid Systems</w:t>
            </w:r>
          </w:p>
        </w:tc>
      </w:tr>
      <w:tr>
        <w:trPr>
          <w:cantSplit w:val="1"/>
          <w:trHeight w:val="56.69291338582678" w:hRule="atLeast"/>
          <w:tblHeader w:val="0"/>
        </w:trPr>
        <w:tc>
          <w:tcPr>
            <w:tcBorders>
              <w:top w:color="000000" w:space="0" w:sz="24" w:val="single"/>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7C">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Languages</w:t>
            </w:r>
          </w:p>
        </w:tc>
        <w:tc>
          <w:tcPr>
            <w:tcBorders>
              <w:top w:color="000000" w:space="0" w:sz="24" w:val="single"/>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7D">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Python,JavaScript</w:t>
            </w:r>
          </w:p>
        </w:tc>
        <w:tc>
          <w:tcPr>
            <w:tcBorders>
              <w:top w:color="000000" w:space="0" w:sz="24" w:val="single"/>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7E">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Python, Java, Prolog</w:t>
            </w:r>
          </w:p>
        </w:tc>
        <w:tc>
          <w:tcPr>
            <w:tcBorders>
              <w:top w:color="000000" w:space="0" w:sz="24" w:val="single"/>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7F">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Prolog, Python, Java</w:t>
            </w:r>
          </w:p>
        </w:tc>
        <w:tc>
          <w:tcPr>
            <w:tcBorders>
              <w:top w:color="000000" w:space="0" w:sz="24" w:val="single"/>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0">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Python (LangChain, CrewAI)</w:t>
            </w:r>
          </w:p>
        </w:tc>
      </w:tr>
      <w:tr>
        <w:trPr>
          <w:cantSplit w:val="1"/>
          <w:trHeight w:val="56.69291338582678" w:hRule="atLeast"/>
          <w:tblHeader w:val="0"/>
        </w:trPr>
        <w:tc>
          <w:tcPr>
            <w:tcBorders>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1">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LLM Backbones</w:t>
            </w:r>
          </w:p>
        </w:tc>
        <w:tc>
          <w:tcPr>
            <w:tcBorders>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2">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GPT-4,Liama-3,DeepSeek</w:t>
            </w:r>
          </w:p>
        </w:tc>
        <w:tc>
          <w:tcPr>
            <w:tcBorders>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3">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Smaller task- specific models</w:t>
            </w:r>
          </w:p>
        </w:tc>
        <w:tc>
          <w:tcPr>
            <w:tcBorders>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4">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5">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Multiple LLMs integrated</w:t>
            </w:r>
          </w:p>
        </w:tc>
      </w:tr>
      <w:tr>
        <w:trPr>
          <w:cantSplit w:val="1"/>
          <w:trHeight w:val="56.69291338582678" w:hRule="atLeast"/>
          <w:tblHeader w:val="0"/>
        </w:trPr>
        <w:tc>
          <w:tcPr>
            <w:tcBorders>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6">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Databases</w:t>
            </w:r>
          </w:p>
        </w:tc>
        <w:tc>
          <w:tcPr>
            <w:tcBorders>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7">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Vector(Pinecone,Weaviate,</w:t>
            </w:r>
          </w:p>
          <w:p w:rsidR="00000000" w:rsidDel="00000000" w:rsidP="00000000" w:rsidRDefault="00000000" w:rsidRPr="00000000" w14:paraId="00000088">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PostgreSQL</w:t>
            </w:r>
          </w:p>
        </w:tc>
        <w:tc>
          <w:tcPr>
            <w:tcBorders>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9">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SQLite,MOngoDB, GraphDB</w:t>
            </w:r>
          </w:p>
        </w:tc>
        <w:tc>
          <w:tcPr>
            <w:tcBorders>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A">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Relational</w:t>
            </w:r>
          </w:p>
        </w:tc>
        <w:tc>
          <w:tcPr>
            <w:tcBorders>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B">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Vector+Relational + Graph</w:t>
            </w:r>
          </w:p>
        </w:tc>
      </w:tr>
      <w:tr>
        <w:trPr>
          <w:cantSplit w:val="1"/>
          <w:trHeight w:val="56.69291338582678" w:hRule="atLeast"/>
          <w:tblHeader w:val="0"/>
        </w:trPr>
        <w:tc>
          <w:tcPr>
            <w:tcBorders>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C">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Deployment</w:t>
            </w:r>
          </w:p>
        </w:tc>
        <w:tc>
          <w:tcPr>
            <w:tcBorders>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D">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Cloud (AWS, Azure, GCP)</w:t>
            </w:r>
          </w:p>
        </w:tc>
        <w:tc>
          <w:tcPr>
            <w:tcBorders>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E">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Distributed/On-premise</w:t>
            </w:r>
          </w:p>
        </w:tc>
        <w:tc>
          <w:tcPr>
            <w:tcBorders>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F">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On-Premise/Local</w:t>
            </w:r>
          </w:p>
        </w:tc>
        <w:tc>
          <w:tcPr>
            <w:tcBorders>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0">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Hybrid cloud/on-premise</w:t>
            </w:r>
          </w:p>
        </w:tc>
      </w:tr>
      <w:tr>
        <w:trPr>
          <w:cantSplit w:val="1"/>
          <w:trHeight w:val="56.69291338582678" w:hRule="atLeast"/>
          <w:tblHeader w:val="0"/>
        </w:trPr>
        <w:tc>
          <w:tcPr>
            <w:tcBorders>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1">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Frameworks</w:t>
            </w:r>
          </w:p>
        </w:tc>
        <w:tc>
          <w:tcPr>
            <w:tcBorders>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2">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OpenAI API, Hugging Face</w:t>
            </w:r>
          </w:p>
        </w:tc>
        <w:tc>
          <w:tcPr>
            <w:tcBorders>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3">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JADE, Jason, SPADE</w:t>
            </w:r>
          </w:p>
        </w:tc>
        <w:tc>
          <w:tcPr>
            <w:tcBorders>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4">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 rule engines</w:t>
            </w:r>
          </w:p>
        </w:tc>
        <w:tc>
          <w:tcPr>
            <w:tcBorders>
              <w:left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5">
            <w:pPr>
              <w:widowControl w:val="0"/>
              <w:spacing w:line="240" w:lineRule="auto"/>
              <w:ind w:right="-145.8661417322827"/>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LangGraph, CrewAI, RAG</w:t>
            </w:r>
          </w:p>
        </w:tc>
      </w:tr>
    </w:tbl>
    <w:p w:rsidR="00000000" w:rsidDel="00000000" w:rsidP="00000000" w:rsidRDefault="00000000" w:rsidRPr="00000000" w14:paraId="00000096">
      <w:pPr>
        <w:widowControl w:val="0"/>
        <w:spacing w:after="0" w:before="0" w:line="240" w:lineRule="auto"/>
        <w:ind w:left="11" w:right="-145.8661417322827" w:firstLine="0"/>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ab/>
        <w:t xml:space="preserve">LLM-based systems dominate in infrastructure complexity, requiring substantial computational resources (such as 8+ GPUs for 70B parameter models) and cloud deployment [12], [16]. Vector databases enable RAG implementation for improved factual grounding [14]. MIA systems utilise distributed agent frameworks (JADE, Jason) for task specialisation [6], 8]. Rule-based systems remain lightweight, operating on local servers with relational databases [4]. Hybrid implementations leverage orchestration frameworks (CrewAI, LangGraph) to coordinate multiple agents and LLMs, offering the most comprehensive technical architecture with improved transparency through traceable decision pathways [6], [8], [14].</w:t>
      </w:r>
    </w:p>
    <w:p w:rsidR="00000000" w:rsidDel="00000000" w:rsidP="00000000" w:rsidRDefault="00000000" w:rsidRPr="00000000" w14:paraId="00000097">
      <w:pPr>
        <w:widowControl w:val="0"/>
        <w:spacing w:after="0" w:before="0" w:line="240" w:lineRule="auto"/>
        <w:ind w:left="11" w:right="-145.8661417322827" w:firstLine="709"/>
        <w:jc w:val="both"/>
        <w:rPr>
          <w:rFonts w:ascii="Times New Roman" w:cs="Times New Roman" w:eastAsia="Times New Roman" w:hAnsi="Times New Roman"/>
          <w:color w:val="0f1115"/>
        </w:rPr>
      </w:pPr>
      <w:r w:rsidDel="00000000" w:rsidR="00000000" w:rsidRPr="00000000">
        <w:rPr>
          <w:rFonts w:ascii="Times New Roman" w:cs="Times New Roman" w:eastAsia="Times New Roman" w:hAnsi="Times New Roman"/>
          <w:color w:val="0f1115"/>
          <w:rtl w:val="0"/>
        </w:rPr>
        <w:t xml:space="preserve">This literature review examined AI-based academic tutoring systems across architectural approaches, theoretical evaluation, and technical implementation. Hybrid architectures combining LLM fluency with MIA accountability and RAG grounding emerge as the most effective approach, offering the optimal balance of technical performance (96.1% accuracy), reduced factual errors, and mitigated student over-reliance through structured scaffolding. LLM systems introduce significant pedagogical risks including 28% factual error rates and 45% student over-reliance, highlighting the necessity of hybrid designs that embed pedagogical controls. </w:t>
      </w:r>
    </w:p>
    <w:p w:rsidR="00000000" w:rsidDel="00000000" w:rsidP="00000000" w:rsidRDefault="00000000" w:rsidRPr="00000000" w14:paraId="00000098">
      <w:pPr>
        <w:widowControl w:val="0"/>
        <w:spacing w:after="0" w:before="0" w:line="240" w:lineRule="auto"/>
        <w:ind w:left="11" w:right="-145.8661417322827" w:firstLine="709"/>
        <w:jc w:val="both"/>
        <w:rPr>
          <w:rFonts w:ascii="Times New Roman" w:cs="Times New Roman" w:eastAsia="Times New Roman" w:hAnsi="Times New Roman"/>
          <w:color w:val="0f1115"/>
          <w:sz w:val="12"/>
          <w:szCs w:val="12"/>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993408203125" w:right="-145.8661417322827"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6"/>
          <w:szCs w:val="26"/>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Methodology </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993408203125" w:right="-145.8661417322827" w:firstLine="0"/>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b w:val="0"/>
          <w:bCs w:val="0"/>
          <w:sz w:val="22"/>
          <w:szCs w:val="22"/>
          <w:rtl w:val="0"/>
        </w:rPr>
        <w:t xml:space="preserve">his study uses the Design Science Research M</w:t>
      </w:r>
      <w:r w:rsidDel="00000000" w:rsidR="00000000" w:rsidRPr="00000000">
        <w:rPr>
          <w:rFonts w:ascii="Times New Roman" w:cs="Times New Roman" w:eastAsia="Times New Roman" w:hAnsi="Times New Roman"/>
          <w:rtl w:val="0"/>
        </w:rPr>
        <w:t xml:space="preserve">ethodology</w:t>
      </w:r>
      <w:r w:rsidDel="00000000" w:rsidR="00000000" w:rsidRPr="00000000">
        <w:rPr>
          <w:rFonts w:ascii="Times New Roman" w:cs="Times New Roman" w:eastAsia="Times New Roman" w:hAnsi="Times New Roman"/>
          <w:b w:val="0"/>
          <w:bCs w:val="0"/>
          <w:sz w:val="22"/>
          <w:szCs w:val="22"/>
          <w:rtl w:val="0"/>
        </w:rPr>
        <w:t xml:space="preserve"> (DSRM)</w:t>
      </w:r>
      <w:r w:rsidDel="00000000" w:rsidR="00000000" w:rsidRPr="00000000">
        <w:rPr>
          <w:rFonts w:ascii="Times New Roman" w:cs="Times New Roman" w:eastAsia="Times New Roman" w:hAnsi="Times New Roman"/>
          <w:rtl w:val="0"/>
        </w:rPr>
        <w:t xml:space="preserve">, as proposed by Peffers et al. [25]. This methodology is used</w:t>
      </w:r>
      <w:r w:rsidDel="00000000" w:rsidR="00000000" w:rsidRPr="00000000">
        <w:rPr>
          <w:rFonts w:ascii="Times New Roman" w:cs="Times New Roman" w:eastAsia="Times New Roman" w:hAnsi="Times New Roman"/>
          <w:b w:val="0"/>
          <w:bCs w:val="0"/>
          <w:sz w:val="22"/>
          <w:szCs w:val="22"/>
          <w:rtl w:val="0"/>
        </w:rPr>
        <w:t xml:space="preserve"> to structure the design and evaluation of the proposed AI-based academic tutoring system. </w:t>
      </w:r>
    </w:p>
    <w:p w:rsidR="00000000" w:rsidDel="00000000" w:rsidP="00000000" w:rsidRDefault="00000000" w:rsidRPr="00000000" w14:paraId="0000009B">
      <w:pPr>
        <w:pStyle w:val="Heading1"/>
        <w:keepNext w:val="0"/>
        <w:keepLines w:val="0"/>
        <w:spacing w:after="140" w:before="300" w:line="240" w:lineRule="auto"/>
        <w:ind w:right="-145.8661417322827"/>
        <w:jc w:val="center"/>
        <w:rPr>
          <w:rFonts w:ascii="Times New Roman" w:cs="Times New Roman" w:eastAsia="Times New Roman" w:hAnsi="Times New Roman"/>
          <w:b w:val="0"/>
          <w:bCs w:val="0"/>
          <w:i w:val="1"/>
          <w:iCs w:val="1"/>
          <w:sz w:val="22"/>
          <w:szCs w:val="22"/>
        </w:rPr>
      </w:pPr>
      <w:r w:rsidDel="00000000" w:rsidR="00000000" w:rsidRPr="00000000">
        <w:rPr>
          <w:rFonts w:ascii="Times New Roman" w:cs="Times New Roman" w:eastAsia="Times New Roman" w:hAnsi="Times New Roman"/>
          <w:b w:val="0"/>
          <w:bCs w:val="0"/>
          <w:i w:val="1"/>
          <w:iCs w:val="1"/>
          <w:sz w:val="22"/>
          <w:szCs w:val="22"/>
          <w:rtl w:val="0"/>
        </w:rPr>
        <w:t xml:space="preserve"> Figure 2. Design Science Research Methodology Diagram</w:t>
      </w:r>
      <w:r w:rsidDel="00000000" w:rsidR="00000000" w:rsidRPr="00000000">
        <w:drawing>
          <wp:anchor allowOverlap="1" behindDoc="0" distB="0" distT="0" distL="0" distR="0" hidden="0" layoutInCell="1" locked="0" relativeHeight="0" simplePos="0">
            <wp:simplePos x="0" y="0"/>
            <wp:positionH relativeFrom="column">
              <wp:posOffset>104775</wp:posOffset>
            </wp:positionH>
            <wp:positionV relativeFrom="paragraph">
              <wp:posOffset>114300</wp:posOffset>
            </wp:positionV>
            <wp:extent cx="5667375" cy="664781"/>
            <wp:effectExtent b="0" l="0" r="0" t="0"/>
            <wp:wrapTopAndBottom distB="0" distT="0"/>
            <wp:docPr id="2"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667375" cy="664781"/>
                    </a:xfrm>
                    <a:prstGeom prst="rect"/>
                    <a:ln/>
                  </pic:spPr>
                </pic:pic>
              </a:graphicData>
            </a:graphic>
          </wp:anchor>
        </w:drawing>
      </w:r>
    </w:p>
    <w:p w:rsidR="00000000" w:rsidDel="00000000" w:rsidP="00000000" w:rsidRDefault="00000000" w:rsidRPr="00000000" w14:paraId="0000009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methodology consists of six phases which include problem identification, the proposed solution, data acquisition, design and development, evaluation and lastly results communication.</w:t>
      </w:r>
      <w:r w:rsidDel="00000000" w:rsidR="00000000" w:rsidRPr="00000000">
        <w:rPr>
          <w:rtl w:val="0"/>
        </w:rPr>
      </w:r>
    </w:p>
    <w:p w:rsidR="00000000" w:rsidDel="00000000" w:rsidP="00000000" w:rsidRDefault="00000000" w:rsidRPr="00000000" w14:paraId="0000009D">
      <w:pPr>
        <w:pStyle w:val="Heading1"/>
        <w:keepNext w:val="0"/>
        <w:keepLines w:val="0"/>
        <w:spacing w:after="0" w:before="300" w:line="240" w:lineRule="auto"/>
        <w:ind w:right="-145.8661417322827"/>
        <w:rPr>
          <w:rFonts w:ascii="Times New Roman" w:cs="Times New Roman" w:eastAsia="Times New Roman" w:hAnsi="Times New Roman"/>
          <w:b w:val="0"/>
          <w:bCs w:val="0"/>
          <w:i w:val="1"/>
          <w:iCs w:val="1"/>
          <w:sz w:val="22"/>
          <w:szCs w:val="22"/>
        </w:rPr>
      </w:pPr>
      <w:r w:rsidDel="00000000" w:rsidR="00000000" w:rsidRPr="00000000">
        <w:rPr>
          <w:rFonts w:ascii="Times New Roman" w:cs="Times New Roman" w:eastAsia="Times New Roman" w:hAnsi="Times New Roman"/>
          <w:b w:val="0"/>
          <w:bCs w:val="0"/>
          <w:i w:val="1"/>
          <w:iCs w:val="1"/>
          <w:sz w:val="22"/>
          <w:szCs w:val="22"/>
          <w:rtl w:val="0"/>
        </w:rPr>
        <w:t xml:space="preserve">3.1 Proposed solution</w:t>
      </w:r>
    </w:p>
    <w:p w:rsidR="00000000" w:rsidDel="00000000" w:rsidP="00000000" w:rsidRDefault="00000000" w:rsidRPr="00000000" w14:paraId="0000009E">
      <w:pPr>
        <w:spacing w:line="240" w:lineRule="auto"/>
        <w:ind w:right="-145.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system is a hybrid AI-based academic tutoring architecture integrating a LLM, RAG, MIA, and pedagogical scaffolding, to reduce student over-reliance (identified in 45% of reviewed studies) and pedagogical ungroundedness (identified in 68% of reviewed studies).</w:t>
      </w:r>
    </w:p>
    <w:p w:rsidR="00000000" w:rsidDel="00000000" w:rsidP="00000000" w:rsidRDefault="00000000" w:rsidRPr="00000000" w14:paraId="0000009F">
      <w:pPr>
        <w:spacing w:line="240" w:lineRule="auto"/>
        <w:ind w:right="-145.866141732282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LLM layer utilises local open-weight models, specifically DeepSeek-R1 and Qwen 3.5 running locally via Ollama, to generate explanations rather than immediate direct answers. The MIA layer divides backend operations into specialised, rule-based scripts. An Intent Agent intercepts and classifies the student's query to trigger cognitive forcing prompts. A RAG Agent retrieves relevant curriculum and a Guardrail Agent audits final outputs to block leaked complete answers. The RAG layer performs semantic search over the vector database, grounding responses in verified content. The Scaffolding layer uses a few‑shot prompting to guide students through a Socratic progression which follows the order provided in the diagram below. </w:t>
      </w:r>
    </w:p>
    <w:p w:rsidR="00000000" w:rsidDel="00000000" w:rsidP="00000000" w:rsidRDefault="00000000" w:rsidRPr="00000000" w14:paraId="000000A0">
      <w:pPr>
        <w:spacing w:line="240" w:lineRule="auto"/>
        <w:ind w:right="-145.866141732282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1">
      <w:pPr>
        <w:pStyle w:val="Heading1"/>
        <w:keepNext w:val="0"/>
        <w:keepLines w:val="0"/>
        <w:spacing w:after="140" w:before="300" w:line="240" w:lineRule="auto"/>
        <w:ind w:right="-145.8661417322827"/>
        <w:jc w:val="center"/>
        <w:rPr>
          <w:rFonts w:ascii="Times New Roman" w:cs="Times New Roman" w:eastAsia="Times New Roman" w:hAnsi="Times New Roman"/>
        </w:rPr>
      </w:pPr>
      <w:bookmarkStart w:colFirst="0" w:colLast="0" w:name="_ywgbdw2d8j48" w:id="4"/>
      <w:bookmarkEnd w:id="4"/>
      <w:r w:rsidDel="00000000" w:rsidR="00000000" w:rsidRPr="00000000">
        <w:rPr>
          <w:rFonts w:ascii="Times New Roman" w:cs="Times New Roman" w:eastAsia="Times New Roman" w:hAnsi="Times New Roman"/>
          <w:b w:val="0"/>
          <w:bCs w:val="0"/>
          <w:i w:val="1"/>
          <w:iCs w:val="1"/>
          <w:sz w:val="22"/>
          <w:szCs w:val="22"/>
          <w:rtl w:val="0"/>
        </w:rPr>
        <w:t xml:space="preserve"> Figure 3. Socratic progression chain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466725</wp:posOffset>
            </wp:positionH>
            <wp:positionV relativeFrom="paragraph">
              <wp:posOffset>0</wp:posOffset>
            </wp:positionV>
            <wp:extent cx="4508754" cy="727218"/>
            <wp:effectExtent b="0" l="0" r="0" t="0"/>
            <wp:wrapTopAndBottom distB="0" distT="0"/>
            <wp:docPr id="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4508754" cy="727218"/>
                    </a:xfrm>
                    <a:prstGeom prst="rect"/>
                    <a:ln/>
                  </pic:spPr>
                </pic:pic>
              </a:graphicData>
            </a:graphic>
          </wp:anchor>
        </w:drawing>
      </w:r>
    </w:p>
    <w:p w:rsidR="00000000" w:rsidDel="00000000" w:rsidP="00000000" w:rsidRDefault="00000000" w:rsidRPr="00000000" w14:paraId="000000A2">
      <w:pPr>
        <w:spacing w:line="240" w:lineRule="auto"/>
        <w:ind w:right="-145.866141732282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Together, this integrated system operates as a secure, sequential pipeline that moves from Student Query, Intent Analysis ,Curriculum Retrieval, Scaffolded LLM Response, Guardrail Check and Output. to foster active cognitive engagement and mitigate the risk of student over-reliance.</w:t>
      </w:r>
    </w:p>
    <w:p w:rsidR="00000000" w:rsidDel="00000000" w:rsidP="00000000" w:rsidRDefault="00000000" w:rsidRPr="00000000" w14:paraId="000000A3">
      <w:pPr>
        <w:spacing w:line="240" w:lineRule="auto"/>
        <w:ind w:right="-145.8661417322827"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spacing w:after="0" w:before="0" w:line="240" w:lineRule="auto"/>
        <w:ind w:left="0" w:right="-145.866141732282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i w:val="1"/>
          <w:iCs w:val="1"/>
          <w:sz w:val="22"/>
          <w:szCs w:val="22"/>
          <w:rtl w:val="0"/>
        </w:rPr>
        <w:t xml:space="preserve">3.2 Data Gathering</w:t>
      </w:r>
      <w:r w:rsidDel="00000000" w:rsidR="00000000" w:rsidRPr="00000000">
        <w:rPr>
          <w:rtl w:val="0"/>
        </w:rPr>
      </w:r>
    </w:p>
    <w:p w:rsidR="00000000" w:rsidDel="00000000" w:rsidP="00000000" w:rsidRDefault="00000000" w:rsidRPr="00000000" w14:paraId="000000A5">
      <w:pPr>
        <w:spacing w:line="240" w:lineRule="auto"/>
        <w:ind w:right="-145.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dataset consists of institutional curriculum material such as lecture notes, course packs, tutorial sheets, and instructional guides covering first- to third-year content within the selected BINCT modules. This is restricted to material formally approved by the relevant faculty and department. Acquisition proceeds in five stages. First securing permission from the Head of Department and module lecturers, specifying which modules fall within scope. Secondly, obtaining the current approved version of each resource, avoiding outdated content. Thirdly, standardising collected material (PDF, DOCX, PPTX) into plain text. Fourth, dividing this text into semantically coherent chunks sized to balance specificity with retained context and fifth, embedding each chunk and storing it in a vector database with associated metadata, making it retrievable by the RAG Agent at query time. The table below presents a sample of the primary dataset that will be used. </w:t>
      </w:r>
    </w:p>
    <w:p w:rsidR="00000000" w:rsidDel="00000000" w:rsidP="00000000" w:rsidRDefault="00000000" w:rsidRPr="00000000" w14:paraId="000000A6">
      <w:pPr>
        <w:spacing w:before="112" w:line="240" w:lineRule="auto"/>
        <w:ind w:left="11" w:right="-145.8661417322827" w:firstLine="0"/>
        <w:jc w:val="center"/>
        <w:rPr>
          <w:rFonts w:ascii="Times New Roman" w:cs="Times New Roman" w:eastAsia="Times New Roman" w:hAnsi="Times New Roman"/>
          <w:color w:val="151517"/>
        </w:rPr>
      </w:pPr>
      <w:r w:rsidDel="00000000" w:rsidR="00000000" w:rsidRPr="00000000">
        <w:rPr>
          <w:rFonts w:ascii="Times New Roman" w:cs="Times New Roman" w:eastAsia="Times New Roman" w:hAnsi="Times New Roman"/>
          <w:i w:val="1"/>
          <w:iCs w:val="1"/>
          <w:sz w:val="20"/>
          <w:szCs w:val="20"/>
          <w:rtl w:val="0"/>
        </w:rPr>
        <w:t xml:space="preserve">Table  4: Dataset Sample</w:t>
      </w:r>
      <w:r w:rsidDel="00000000" w:rsidR="00000000" w:rsidRPr="00000000">
        <w:rPr>
          <w:rtl w:val="0"/>
        </w:rPr>
      </w:r>
    </w:p>
    <w:tbl>
      <w:tblPr>
        <w:tblStyle w:val="Table4"/>
        <w:tblW w:w="11070.0" w:type="dxa"/>
        <w:jc w:val="left"/>
        <w:tblInd w:w="-10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1320"/>
        <w:gridCol w:w="975"/>
        <w:gridCol w:w="1410"/>
        <w:gridCol w:w="4200"/>
        <w:gridCol w:w="1890"/>
        <w:tblGridChange w:id="0">
          <w:tblGrid>
            <w:gridCol w:w="1275"/>
            <w:gridCol w:w="1320"/>
            <w:gridCol w:w="975"/>
            <w:gridCol w:w="1410"/>
            <w:gridCol w:w="4200"/>
            <w:gridCol w:w="1890"/>
          </w:tblGrid>
        </w:tblGridChange>
      </w:tblGrid>
      <w:tr>
        <w:trPr>
          <w:cantSplit w:val="0"/>
          <w:tblHeader w:val="0"/>
        </w:trPr>
        <w:tc>
          <w:tcPr>
            <w:tcBorders>
              <w:top w:color="000000" w:space="0" w:sz="24" w:val="single"/>
              <w:left w:color="000000" w:space="0" w:sz="0" w:val="nil"/>
              <w:bottom w:color="000000" w:space="0" w:sz="24" w:val="single"/>
              <w:right w:color="000000" w:space="0" w:sz="0" w:val="nil"/>
            </w:tcBorders>
            <w:tcMar>
              <w:top w:w="-510.236220472441" w:type="dxa"/>
              <w:left w:w="-510.236220472441" w:type="dxa"/>
              <w:bottom w:w="-510.236220472441" w:type="dxa"/>
              <w:right w:w="-510.236220472441" w:type="dxa"/>
            </w:tcMar>
            <w:vAlign w:val="center"/>
          </w:tcPr>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Course/Module </w:t>
            </w:r>
          </w:p>
        </w:tc>
        <w:tc>
          <w:tcPr>
            <w:tcBorders>
              <w:top w:color="000000" w:space="0" w:sz="24" w:val="single"/>
              <w:left w:color="000000" w:space="0" w:sz="0" w:val="nil"/>
              <w:bottom w:color="000000" w:space="0" w:sz="24" w:val="single"/>
              <w:right w:color="000000" w:space="0" w:sz="0" w:val="nil"/>
            </w:tcBorders>
            <w:tcMar>
              <w:top w:w="-510.236220472441" w:type="dxa"/>
              <w:left w:w="-510.236220472441" w:type="dxa"/>
              <w:bottom w:w="-510.236220472441" w:type="dxa"/>
              <w:right w:w="-510.236220472441" w:type="dxa"/>
            </w:tcMar>
            <w:vAlign w:val="center"/>
          </w:tcPr>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Topic </w:t>
            </w:r>
          </w:p>
        </w:tc>
        <w:tc>
          <w:tcPr>
            <w:tcBorders>
              <w:top w:color="000000" w:space="0" w:sz="24" w:val="single"/>
              <w:left w:color="000000" w:space="0" w:sz="0" w:val="nil"/>
              <w:bottom w:color="000000" w:space="0" w:sz="24" w:val="single"/>
              <w:right w:color="000000" w:space="0" w:sz="0" w:val="nil"/>
            </w:tcBorders>
            <w:tcMar>
              <w:top w:w="-510.236220472441" w:type="dxa"/>
              <w:left w:w="-510.236220472441" w:type="dxa"/>
              <w:bottom w:w="-510.236220472441" w:type="dxa"/>
              <w:right w:w="-510.236220472441" w:type="dxa"/>
            </w:tcMar>
            <w:vAlign w:val="center"/>
          </w:tcPr>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Year/Level </w:t>
            </w:r>
          </w:p>
        </w:tc>
        <w:tc>
          <w:tcPr>
            <w:tcBorders>
              <w:top w:color="000000" w:space="0" w:sz="24" w:val="single"/>
              <w:left w:color="000000" w:space="0" w:sz="0" w:val="nil"/>
              <w:bottom w:color="000000" w:space="0" w:sz="24" w:val="single"/>
              <w:right w:color="000000" w:space="0" w:sz="0" w:val="nil"/>
            </w:tcBorders>
            <w:tcMar>
              <w:top w:w="-510.236220472441" w:type="dxa"/>
              <w:left w:w="-510.236220472441" w:type="dxa"/>
              <w:bottom w:w="-510.236220472441" w:type="dxa"/>
              <w:right w:w="-510.236220472441" w:type="dxa"/>
            </w:tcMar>
            <w:vAlign w:val="center"/>
          </w:tcPr>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 Type </w:t>
            </w:r>
          </w:p>
        </w:tc>
        <w:tc>
          <w:tcPr>
            <w:tcBorders>
              <w:top w:color="000000" w:space="0" w:sz="24" w:val="single"/>
              <w:left w:color="000000" w:space="0" w:sz="0" w:val="nil"/>
              <w:bottom w:color="000000" w:space="0" w:sz="24" w:val="single"/>
              <w:right w:color="000000" w:space="0" w:sz="0" w:val="nil"/>
            </w:tcBorders>
            <w:tcMar>
              <w:top w:w="-510.236220472441" w:type="dxa"/>
              <w:left w:w="-510.236220472441" w:type="dxa"/>
              <w:bottom w:w="-510.236220472441" w:type="dxa"/>
              <w:right w:w="-510.236220472441" w:type="dxa"/>
            </w:tcMar>
            <w:vAlign w:val="center"/>
          </w:tcPr>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Content/Chunk (excerpt) </w:t>
            </w:r>
          </w:p>
        </w:tc>
        <w:tc>
          <w:tcPr>
            <w:tcBorders>
              <w:top w:color="000000" w:space="0" w:sz="24" w:val="single"/>
              <w:left w:color="000000" w:space="0" w:sz="0" w:val="nil"/>
              <w:bottom w:color="000000" w:space="0" w:sz="24" w:val="single"/>
              <w:right w:color="000000" w:space="0" w:sz="0" w:val="nil"/>
            </w:tcBorders>
            <w:tcMar>
              <w:top w:w="-510.236220472441" w:type="dxa"/>
              <w:left w:w="-510.236220472441" w:type="dxa"/>
              <w:bottom w:w="-510.236220472441" w:type="dxa"/>
              <w:right w:w="-510.236220472441" w:type="dxa"/>
            </w:tcMar>
            <w:vAlign w:val="center"/>
          </w:tcPr>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1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Source Reference </w:t>
            </w:r>
          </w:p>
        </w:tc>
      </w:tr>
      <w:tr>
        <w:trPr>
          <w:cantSplit w:val="0"/>
          <w:tblHeader w:val="0"/>
        </w:trPr>
        <w:tc>
          <w:tcPr>
            <w:tcBorders>
              <w:top w:color="000000" w:space="0" w:sz="24" w:val="single"/>
              <w:left w:color="000000" w:space="0" w:sz="0" w:val="nil"/>
              <w:bottom w:color="000000" w:space="0" w:sz="5" w:val="single"/>
              <w:right w:color="000000" w:space="0" w:sz="0" w:val="nil"/>
            </w:tcBorders>
            <w:tcMar>
              <w:top w:w="-510.236220472441" w:type="dxa"/>
              <w:left w:w="-510.236220472441" w:type="dxa"/>
              <w:bottom w:w="-510.236220472441" w:type="dxa"/>
              <w:right w:w="-510.236220472441" w:type="dxa"/>
            </w:tcMar>
            <w:vAlign w:val="center"/>
          </w:tcPr>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BICT101 </w:t>
            </w:r>
          </w:p>
        </w:tc>
        <w:tc>
          <w:tcPr>
            <w:tcBorders>
              <w:top w:color="000000" w:space="0" w:sz="24" w:val="single"/>
              <w:left w:color="000000" w:space="0" w:sz="0" w:val="nil"/>
              <w:bottom w:color="000000" w:space="0" w:sz="5" w:val="single"/>
              <w:right w:color="000000" w:space="0" w:sz="0" w:val="nil"/>
            </w:tcBorders>
            <w:tcMar>
              <w:top w:w="-510.236220472441" w:type="dxa"/>
              <w:left w:w="-510.236220472441" w:type="dxa"/>
              <w:bottom w:w="-510.236220472441" w:type="dxa"/>
              <w:right w:w="-510.236220472441" w:type="dxa"/>
            </w:tcMar>
            <w:vAlign w:val="center"/>
          </w:tcPr>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 Fundamentals </w:t>
            </w:r>
          </w:p>
        </w:tc>
        <w:tc>
          <w:tcPr>
            <w:tcBorders>
              <w:top w:color="000000" w:space="0" w:sz="24" w:val="single"/>
              <w:left w:color="000000" w:space="0" w:sz="0" w:val="nil"/>
              <w:bottom w:color="000000" w:space="0" w:sz="5" w:val="single"/>
              <w:right w:color="000000" w:space="0" w:sz="0" w:val="nil"/>
            </w:tcBorders>
            <w:tcMar>
              <w:top w:w="-510.236220472441" w:type="dxa"/>
              <w:left w:w="-510.236220472441" w:type="dxa"/>
              <w:bottom w:w="-510.236220472441" w:type="dxa"/>
              <w:right w:w="-510.236220472441" w:type="dxa"/>
            </w:tcMar>
            <w:vAlign w:val="center"/>
          </w:tcPr>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1st </w:t>
            </w:r>
          </w:p>
        </w:tc>
        <w:tc>
          <w:tcPr>
            <w:tcBorders>
              <w:top w:color="000000" w:space="0" w:sz="24" w:val="single"/>
              <w:left w:color="000000" w:space="0" w:sz="0" w:val="nil"/>
              <w:bottom w:color="000000" w:space="0" w:sz="5" w:val="single"/>
              <w:right w:color="000000" w:space="0" w:sz="0" w:val="nil"/>
            </w:tcBorders>
            <w:tcMar>
              <w:top w:w="-510.236220472441" w:type="dxa"/>
              <w:left w:w="-510.236220472441" w:type="dxa"/>
              <w:bottom w:w="-510.236220472441" w:type="dxa"/>
              <w:right w:w="-510.236220472441" w:type="dxa"/>
            </w:tcMar>
            <w:vAlign w:val="center"/>
          </w:tcPr>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Lecture Notes </w:t>
            </w:r>
          </w:p>
        </w:tc>
        <w:tc>
          <w:tcPr>
            <w:tcBorders>
              <w:top w:color="000000" w:space="0" w:sz="24" w:val="single"/>
              <w:left w:color="000000" w:space="0" w:sz="0" w:val="nil"/>
              <w:bottom w:color="000000" w:space="0" w:sz="5" w:val="single"/>
              <w:right w:color="000000" w:space="0" w:sz="0" w:val="nil"/>
            </w:tcBorders>
            <w:tcMar>
              <w:top w:w="-510.236220472441" w:type="dxa"/>
              <w:left w:w="-510.236220472441" w:type="dxa"/>
              <w:bottom w:w="-510.236220472441" w:type="dxa"/>
              <w:right w:w="-510.236220472441" w:type="dxa"/>
            </w:tcMar>
            <w:vAlign w:val="center"/>
          </w:tcPr>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"Relational databases organise data into tables with rows and columns..." </w:t>
            </w:r>
          </w:p>
        </w:tc>
        <w:tc>
          <w:tcPr>
            <w:tcBorders>
              <w:top w:color="000000" w:space="0" w:sz="24" w:val="single"/>
              <w:left w:color="000000" w:space="0" w:sz="0" w:val="nil"/>
              <w:bottom w:color="000000" w:space="0" w:sz="5" w:val="single"/>
              <w:right w:color="000000" w:space="0" w:sz="0" w:val="nil"/>
            </w:tcBorders>
            <w:tcMar>
              <w:top w:w="-510.236220472441" w:type="dxa"/>
              <w:left w:w="-510.236220472441" w:type="dxa"/>
              <w:bottom w:w="-510.236220472441" w:type="dxa"/>
              <w:right w:w="-510.236220472441" w:type="dxa"/>
            </w:tcMar>
            <w:vAlign w:val="center"/>
          </w:tcPr>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DB101_Module.pdf </w:t>
            </w:r>
          </w:p>
        </w:tc>
      </w:tr>
      <w:tr>
        <w:trPr>
          <w:cantSplit w:val="0"/>
          <w:tblHeader w:val="0"/>
        </w:trPr>
        <w:tc>
          <w:tcPr>
            <w:tcBorders>
              <w:top w:color="000000" w:space="0" w:sz="0" w:val="nil"/>
              <w:left w:color="000000" w:space="0" w:sz="0" w:val="nil"/>
              <w:bottom w:color="000000" w:space="0" w:sz="5" w:val="single"/>
              <w:right w:color="000000" w:space="0" w:sz="0" w:val="nil"/>
            </w:tcBorders>
            <w:tcMar>
              <w:top w:w="-510.236220472441" w:type="dxa"/>
              <w:left w:w="-510.236220472441" w:type="dxa"/>
              <w:bottom w:w="-510.236220472441" w:type="dxa"/>
              <w:right w:w="-510.236220472441" w:type="dxa"/>
            </w:tcMar>
            <w:vAlign w:val="center"/>
          </w:tcPr>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BICT101 </w:t>
            </w:r>
          </w:p>
        </w:tc>
        <w:tc>
          <w:tcPr>
            <w:tcBorders>
              <w:top w:color="000000" w:space="0" w:sz="0" w:val="nil"/>
              <w:left w:color="000000" w:space="0" w:sz="0" w:val="nil"/>
              <w:bottom w:color="000000" w:space="0" w:sz="5" w:val="single"/>
              <w:right w:color="000000" w:space="0" w:sz="0" w:val="nil"/>
            </w:tcBorders>
            <w:tcMar>
              <w:top w:w="-510.236220472441" w:type="dxa"/>
              <w:left w:w="-510.236220472441" w:type="dxa"/>
              <w:bottom w:w="-510.236220472441" w:type="dxa"/>
              <w:right w:w="-510.236220472441" w:type="dxa"/>
            </w:tcMar>
            <w:vAlign w:val="center"/>
          </w:tcPr>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SQL Queries </w:t>
            </w:r>
          </w:p>
        </w:tc>
        <w:tc>
          <w:tcPr>
            <w:tcBorders>
              <w:top w:color="000000" w:space="0" w:sz="0" w:val="nil"/>
              <w:left w:color="000000" w:space="0" w:sz="0" w:val="nil"/>
              <w:bottom w:color="000000" w:space="0" w:sz="5" w:val="single"/>
              <w:right w:color="000000" w:space="0" w:sz="0" w:val="nil"/>
            </w:tcBorders>
            <w:tcMar>
              <w:top w:w="-510.236220472441" w:type="dxa"/>
              <w:left w:w="-510.236220472441" w:type="dxa"/>
              <w:bottom w:w="-510.236220472441" w:type="dxa"/>
              <w:right w:w="-510.236220472441" w:type="dxa"/>
            </w:tcMar>
            <w:vAlign w:val="center"/>
          </w:tcPr>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1st </w:t>
            </w:r>
          </w:p>
        </w:tc>
        <w:tc>
          <w:tcPr>
            <w:tcBorders>
              <w:top w:color="000000" w:space="0" w:sz="0" w:val="nil"/>
              <w:left w:color="000000" w:space="0" w:sz="0" w:val="nil"/>
              <w:bottom w:color="000000" w:space="0" w:sz="5" w:val="single"/>
              <w:right w:color="000000" w:space="0" w:sz="0" w:val="nil"/>
            </w:tcBorders>
            <w:tcMar>
              <w:top w:w="-510.236220472441" w:type="dxa"/>
              <w:left w:w="-510.236220472441" w:type="dxa"/>
              <w:bottom w:w="-510.236220472441" w:type="dxa"/>
              <w:right w:w="-510.236220472441" w:type="dxa"/>
            </w:tcMar>
            <w:vAlign w:val="center"/>
          </w:tcPr>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Tutorial </w:t>
            </w:r>
          </w:p>
        </w:tc>
        <w:tc>
          <w:tcPr>
            <w:tcBorders>
              <w:top w:color="000000" w:space="0" w:sz="0" w:val="nil"/>
              <w:left w:color="000000" w:space="0" w:sz="0" w:val="nil"/>
              <w:bottom w:color="000000" w:space="0" w:sz="5" w:val="single"/>
              <w:right w:color="000000" w:space="0" w:sz="0" w:val="nil"/>
            </w:tcBorders>
            <w:tcMar>
              <w:top w:w="-510.236220472441" w:type="dxa"/>
              <w:left w:w="-510.236220472441" w:type="dxa"/>
              <w:bottom w:w="-510.236220472441" w:type="dxa"/>
              <w:right w:w="-510.236220472441" w:type="dxa"/>
            </w:tcMar>
            <w:vAlign w:val="center"/>
          </w:tcPr>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"SELECT statement retrieves data from database tables..." </w:t>
            </w:r>
          </w:p>
        </w:tc>
        <w:tc>
          <w:tcPr>
            <w:tcBorders>
              <w:top w:color="000000" w:space="0" w:sz="0" w:val="nil"/>
              <w:left w:color="000000" w:space="0" w:sz="0" w:val="nil"/>
              <w:bottom w:color="000000" w:space="0" w:sz="5" w:val="single"/>
              <w:right w:color="000000" w:space="0" w:sz="0" w:val="nil"/>
            </w:tcBorders>
            <w:tcMar>
              <w:top w:w="-510.236220472441" w:type="dxa"/>
              <w:left w:w="-510.236220472441" w:type="dxa"/>
              <w:bottom w:w="-510.236220472441" w:type="dxa"/>
              <w:right w:w="-510.236220472441" w:type="dxa"/>
            </w:tcMar>
            <w:vAlign w:val="center"/>
          </w:tcPr>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SQL_Tutorial.pdf </w:t>
            </w:r>
          </w:p>
        </w:tc>
      </w:tr>
      <w:tr>
        <w:trPr>
          <w:cantSplit w:val="0"/>
          <w:tblHeader w:val="0"/>
        </w:trPr>
        <w:tc>
          <w:tcPr>
            <w:tcBorders>
              <w:top w:color="000000" w:space="0" w:sz="0" w:val="nil"/>
              <w:left w:color="000000" w:space="0" w:sz="0" w:val="nil"/>
              <w:bottom w:color="000000" w:space="0" w:sz="5" w:val="single"/>
              <w:right w:color="000000" w:space="0" w:sz="0" w:val="nil"/>
            </w:tcBorders>
            <w:tcMar>
              <w:top w:w="-510.236220472441" w:type="dxa"/>
              <w:left w:w="-510.236220472441" w:type="dxa"/>
              <w:bottom w:w="-510.236220472441" w:type="dxa"/>
              <w:right w:w="-510.236220472441" w:type="dxa"/>
            </w:tcMar>
            <w:vAlign w:val="center"/>
          </w:tcPr>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BICT201 </w:t>
            </w:r>
          </w:p>
        </w:tc>
        <w:tc>
          <w:tcPr>
            <w:tcBorders>
              <w:top w:color="000000" w:space="0" w:sz="0" w:val="nil"/>
              <w:left w:color="000000" w:space="0" w:sz="0" w:val="nil"/>
              <w:bottom w:color="000000" w:space="0" w:sz="5" w:val="single"/>
              <w:right w:color="000000" w:space="0" w:sz="0" w:val="nil"/>
            </w:tcBorders>
            <w:tcMar>
              <w:top w:w="-510.236220472441" w:type="dxa"/>
              <w:left w:w="-510.236220472441" w:type="dxa"/>
              <w:bottom w:w="-510.236220472441" w:type="dxa"/>
              <w:right w:w="-510.236220472441" w:type="dxa"/>
            </w:tcMar>
            <w:vAlign w:val="center"/>
          </w:tcPr>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Structures </w:t>
            </w:r>
          </w:p>
        </w:tc>
        <w:tc>
          <w:tcPr>
            <w:tcBorders>
              <w:top w:color="000000" w:space="0" w:sz="0" w:val="nil"/>
              <w:left w:color="000000" w:space="0" w:sz="0" w:val="nil"/>
              <w:bottom w:color="000000" w:space="0" w:sz="5" w:val="single"/>
              <w:right w:color="000000" w:space="0" w:sz="0" w:val="nil"/>
            </w:tcBorders>
            <w:tcMar>
              <w:top w:w="-510.236220472441" w:type="dxa"/>
              <w:left w:w="-510.236220472441" w:type="dxa"/>
              <w:bottom w:w="-510.236220472441" w:type="dxa"/>
              <w:right w:w="-510.236220472441" w:type="dxa"/>
            </w:tcMar>
            <w:vAlign w:val="center"/>
          </w:tcPr>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2nd </w:t>
            </w:r>
          </w:p>
        </w:tc>
        <w:tc>
          <w:tcPr>
            <w:tcBorders>
              <w:top w:color="000000" w:space="0" w:sz="0" w:val="nil"/>
              <w:left w:color="000000" w:space="0" w:sz="0" w:val="nil"/>
              <w:bottom w:color="000000" w:space="0" w:sz="5" w:val="single"/>
              <w:right w:color="000000" w:space="0" w:sz="0" w:val="nil"/>
            </w:tcBorders>
            <w:tcMar>
              <w:top w:w="-510.236220472441" w:type="dxa"/>
              <w:left w:w="-510.236220472441" w:type="dxa"/>
              <w:bottom w:w="-510.236220472441" w:type="dxa"/>
              <w:right w:w="-510.236220472441" w:type="dxa"/>
            </w:tcMar>
            <w:vAlign w:val="center"/>
          </w:tcPr>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Lecture Notes </w:t>
            </w:r>
          </w:p>
        </w:tc>
        <w:tc>
          <w:tcPr>
            <w:tcBorders>
              <w:top w:color="000000" w:space="0" w:sz="0" w:val="nil"/>
              <w:left w:color="000000" w:space="0" w:sz="0" w:val="nil"/>
              <w:bottom w:color="000000" w:space="0" w:sz="5" w:val="single"/>
              <w:right w:color="000000" w:space="0" w:sz="0" w:val="nil"/>
            </w:tcBorders>
            <w:tcMar>
              <w:top w:w="-510.236220472441" w:type="dxa"/>
              <w:left w:w="-510.236220472441" w:type="dxa"/>
              <w:bottom w:w="-510.236220472441" w:type="dxa"/>
              <w:right w:w="-510.236220472441" w:type="dxa"/>
            </w:tcMar>
            <w:vAlign w:val="center"/>
          </w:tcPr>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"Arrays store elements of same type in contiguous memory..." </w:t>
            </w:r>
          </w:p>
        </w:tc>
        <w:tc>
          <w:tcPr>
            <w:tcBorders>
              <w:top w:color="000000" w:space="0" w:sz="0" w:val="nil"/>
              <w:left w:color="000000" w:space="0" w:sz="0" w:val="nil"/>
              <w:bottom w:color="000000" w:space="0" w:sz="5" w:val="single"/>
              <w:right w:color="000000" w:space="0" w:sz="0" w:val="nil"/>
            </w:tcBorders>
            <w:tcMar>
              <w:top w:w="-510.236220472441" w:type="dxa"/>
              <w:left w:w="-510.236220472441" w:type="dxa"/>
              <w:bottom w:w="-510.236220472441" w:type="dxa"/>
              <w:right w:w="-510.236220472441" w:type="dxa"/>
            </w:tcMar>
            <w:vAlign w:val="center"/>
          </w:tcPr>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DS201_Notes.pdf </w:t>
            </w:r>
          </w:p>
        </w:tc>
      </w:tr>
      <w:tr>
        <w:trPr>
          <w:cantSplit w:val="0"/>
          <w:tblHeader w:val="0"/>
        </w:trPr>
        <w:tc>
          <w:tcPr>
            <w:tcBorders>
              <w:top w:color="000000" w:space="0" w:sz="0" w:val="nil"/>
              <w:left w:color="000000" w:space="0" w:sz="0" w:val="nil"/>
              <w:bottom w:color="000000" w:space="0" w:sz="5" w:val="single"/>
              <w:right w:color="000000" w:space="0" w:sz="0" w:val="nil"/>
            </w:tcBorders>
            <w:tcMar>
              <w:top w:w="-510.236220472441" w:type="dxa"/>
              <w:left w:w="-510.236220472441" w:type="dxa"/>
              <w:bottom w:w="-510.236220472441" w:type="dxa"/>
              <w:right w:w="-510.236220472441" w:type="dxa"/>
            </w:tcMar>
            <w:vAlign w:val="center"/>
          </w:tcPr>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BICT201 </w:t>
            </w:r>
          </w:p>
        </w:tc>
        <w:tc>
          <w:tcPr>
            <w:tcBorders>
              <w:top w:color="000000" w:space="0" w:sz="0" w:val="nil"/>
              <w:left w:color="000000" w:space="0" w:sz="0" w:val="nil"/>
              <w:bottom w:color="000000" w:space="0" w:sz="5" w:val="single"/>
              <w:right w:color="000000" w:space="0" w:sz="0" w:val="nil"/>
            </w:tcBorders>
            <w:tcMar>
              <w:top w:w="-510.236220472441" w:type="dxa"/>
              <w:left w:w="-510.236220472441" w:type="dxa"/>
              <w:bottom w:w="-510.236220472441" w:type="dxa"/>
              <w:right w:w="-510.236220472441" w:type="dxa"/>
            </w:tcMar>
            <w:vAlign w:val="center"/>
          </w:tcPr>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Algorithms </w:t>
            </w:r>
          </w:p>
        </w:tc>
        <w:tc>
          <w:tcPr>
            <w:tcBorders>
              <w:top w:color="000000" w:space="0" w:sz="0" w:val="nil"/>
              <w:left w:color="000000" w:space="0" w:sz="0" w:val="nil"/>
              <w:bottom w:color="000000" w:space="0" w:sz="5" w:val="single"/>
              <w:right w:color="000000" w:space="0" w:sz="0" w:val="nil"/>
            </w:tcBorders>
            <w:tcMar>
              <w:top w:w="-510.236220472441" w:type="dxa"/>
              <w:left w:w="-510.236220472441" w:type="dxa"/>
              <w:bottom w:w="-510.236220472441" w:type="dxa"/>
              <w:right w:w="-510.236220472441" w:type="dxa"/>
            </w:tcMar>
            <w:vAlign w:val="center"/>
          </w:tcPr>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2nd </w:t>
            </w:r>
          </w:p>
        </w:tc>
        <w:tc>
          <w:tcPr>
            <w:tcBorders>
              <w:top w:color="000000" w:space="0" w:sz="0" w:val="nil"/>
              <w:left w:color="000000" w:space="0" w:sz="0" w:val="nil"/>
              <w:bottom w:color="000000" w:space="0" w:sz="5" w:val="single"/>
              <w:right w:color="000000" w:space="0" w:sz="0" w:val="nil"/>
            </w:tcBorders>
            <w:tcMar>
              <w:top w:w="-510.236220472441" w:type="dxa"/>
              <w:left w:w="-510.236220472441" w:type="dxa"/>
              <w:bottom w:w="-510.236220472441" w:type="dxa"/>
              <w:right w:w="-510.236220472441" w:type="dxa"/>
            </w:tcMar>
            <w:vAlign w:val="center"/>
          </w:tcPr>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Tutorial </w:t>
            </w:r>
          </w:p>
        </w:tc>
        <w:tc>
          <w:tcPr>
            <w:tcBorders>
              <w:top w:color="000000" w:space="0" w:sz="0" w:val="nil"/>
              <w:left w:color="000000" w:space="0" w:sz="0" w:val="nil"/>
              <w:bottom w:color="000000" w:space="0" w:sz="5" w:val="single"/>
              <w:right w:color="000000" w:space="0" w:sz="0" w:val="nil"/>
            </w:tcBorders>
            <w:tcMar>
              <w:top w:w="-510.236220472441" w:type="dxa"/>
              <w:left w:w="-510.236220472441" w:type="dxa"/>
              <w:bottom w:w="-510.236220472441" w:type="dxa"/>
              <w:right w:w="-510.236220472441" w:type="dxa"/>
            </w:tcMar>
            <w:vAlign w:val="center"/>
          </w:tcPr>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"Sorting algorithms arrange elements in specific order..." </w:t>
            </w:r>
          </w:p>
        </w:tc>
        <w:tc>
          <w:tcPr>
            <w:tcBorders>
              <w:top w:color="000000" w:space="0" w:sz="0" w:val="nil"/>
              <w:left w:color="000000" w:space="0" w:sz="0" w:val="nil"/>
              <w:bottom w:color="000000" w:space="0" w:sz="5" w:val="single"/>
              <w:right w:color="000000" w:space="0" w:sz="0" w:val="nil"/>
            </w:tcBorders>
            <w:tcMar>
              <w:top w:w="-510.236220472441" w:type="dxa"/>
              <w:left w:w="-510.236220472441" w:type="dxa"/>
              <w:bottom w:w="-510.236220472441" w:type="dxa"/>
              <w:right w:w="-510.236220472441" w:type="dxa"/>
            </w:tcMar>
            <w:vAlign w:val="center"/>
          </w:tcPr>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Algo_Tutorial.pdf </w:t>
            </w:r>
          </w:p>
        </w:tc>
      </w:tr>
      <w:tr>
        <w:trPr>
          <w:cantSplit w:val="0"/>
          <w:tblHeader w:val="0"/>
        </w:trPr>
        <w:tc>
          <w:tcPr>
            <w:tcBorders>
              <w:top w:color="000000" w:space="0" w:sz="0" w:val="nil"/>
              <w:left w:color="000000" w:space="0" w:sz="0" w:val="nil"/>
              <w:bottom w:color="000000" w:space="0" w:sz="5" w:val="single"/>
              <w:right w:color="000000" w:space="0" w:sz="0" w:val="nil"/>
            </w:tcBorders>
            <w:tcMar>
              <w:top w:w="-510.236220472441" w:type="dxa"/>
              <w:left w:w="-510.236220472441" w:type="dxa"/>
              <w:bottom w:w="-510.236220472441" w:type="dxa"/>
              <w:right w:w="-510.236220472441" w:type="dxa"/>
            </w:tcMar>
            <w:vAlign w:val="center"/>
          </w:tcPr>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BICT202 </w:t>
            </w:r>
          </w:p>
        </w:tc>
        <w:tc>
          <w:tcPr>
            <w:tcBorders>
              <w:top w:color="000000" w:space="0" w:sz="0" w:val="nil"/>
              <w:left w:color="000000" w:space="0" w:sz="0" w:val="nil"/>
              <w:bottom w:color="000000" w:space="0" w:sz="5" w:val="single"/>
              <w:right w:color="000000" w:space="0" w:sz="0" w:val="nil"/>
            </w:tcBorders>
            <w:tcMar>
              <w:top w:w="-510.236220472441" w:type="dxa"/>
              <w:left w:w="-510.236220472441" w:type="dxa"/>
              <w:bottom w:w="-510.236220472441" w:type="dxa"/>
              <w:right w:w="-510.236220472441" w:type="dxa"/>
            </w:tcMar>
            <w:vAlign w:val="center"/>
          </w:tcPr>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OOP Concepts </w:t>
            </w:r>
          </w:p>
        </w:tc>
        <w:tc>
          <w:tcPr>
            <w:tcBorders>
              <w:top w:color="000000" w:space="0" w:sz="0" w:val="nil"/>
              <w:left w:color="000000" w:space="0" w:sz="0" w:val="nil"/>
              <w:bottom w:color="000000" w:space="0" w:sz="5" w:val="single"/>
              <w:right w:color="000000" w:space="0" w:sz="0" w:val="nil"/>
            </w:tcBorders>
            <w:tcMar>
              <w:top w:w="-510.236220472441" w:type="dxa"/>
              <w:left w:w="-510.236220472441" w:type="dxa"/>
              <w:bottom w:w="-510.236220472441" w:type="dxa"/>
              <w:right w:w="-510.236220472441" w:type="dxa"/>
            </w:tcMar>
            <w:vAlign w:val="center"/>
          </w:tcPr>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2nd </w:t>
            </w:r>
          </w:p>
        </w:tc>
        <w:tc>
          <w:tcPr>
            <w:tcBorders>
              <w:top w:color="000000" w:space="0" w:sz="0" w:val="nil"/>
              <w:left w:color="000000" w:space="0" w:sz="0" w:val="nil"/>
              <w:bottom w:color="000000" w:space="0" w:sz="5" w:val="single"/>
              <w:right w:color="000000" w:space="0" w:sz="0" w:val="nil"/>
            </w:tcBorders>
            <w:tcMar>
              <w:top w:w="-510.236220472441" w:type="dxa"/>
              <w:left w:w="-510.236220472441" w:type="dxa"/>
              <w:bottom w:w="-510.236220472441" w:type="dxa"/>
              <w:right w:w="-510.236220472441" w:type="dxa"/>
            </w:tcMar>
            <w:vAlign w:val="center"/>
          </w:tcPr>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Course Pack </w:t>
            </w:r>
          </w:p>
        </w:tc>
        <w:tc>
          <w:tcPr>
            <w:tcBorders>
              <w:top w:color="000000" w:space="0" w:sz="0" w:val="nil"/>
              <w:left w:color="000000" w:space="0" w:sz="0" w:val="nil"/>
              <w:bottom w:color="000000" w:space="0" w:sz="5" w:val="single"/>
              <w:right w:color="000000" w:space="0" w:sz="0" w:val="nil"/>
            </w:tcBorders>
            <w:tcMar>
              <w:top w:w="-510.236220472441" w:type="dxa"/>
              <w:left w:w="-510.236220472441" w:type="dxa"/>
              <w:bottom w:w="-510.236220472441" w:type="dxa"/>
              <w:right w:w="-510.236220472441" w:type="dxa"/>
            </w:tcMar>
            <w:vAlign w:val="center"/>
          </w:tcPr>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"Object‑Oriented Programming uses classes and objects..." </w:t>
            </w:r>
          </w:p>
        </w:tc>
        <w:tc>
          <w:tcPr>
            <w:tcBorders>
              <w:top w:color="000000" w:space="0" w:sz="0" w:val="nil"/>
              <w:left w:color="000000" w:space="0" w:sz="0" w:val="nil"/>
              <w:bottom w:color="000000" w:space="0" w:sz="5" w:val="single"/>
              <w:right w:color="000000" w:space="0" w:sz="0" w:val="nil"/>
            </w:tcBorders>
            <w:tcMar>
              <w:top w:w="-510.236220472441" w:type="dxa"/>
              <w:left w:w="-510.236220472441" w:type="dxa"/>
              <w:bottom w:w="-510.236220472441" w:type="dxa"/>
              <w:right w:w="-510.236220472441" w:type="dxa"/>
            </w:tcMar>
            <w:vAlign w:val="center"/>
          </w:tcPr>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OOP202_CP.pdf </w:t>
            </w:r>
          </w:p>
        </w:tc>
      </w:tr>
      <w:tr>
        <w:trPr>
          <w:cantSplit w:val="0"/>
          <w:tblHeader w:val="0"/>
        </w:trPr>
        <w:tc>
          <w:tcPr>
            <w:tcBorders>
              <w:top w:color="000000" w:space="0" w:sz="0" w:val="nil"/>
              <w:left w:color="000000" w:space="0" w:sz="0" w:val="nil"/>
              <w:bottom w:color="000000" w:space="0" w:sz="5" w:val="single"/>
              <w:right w:color="000000" w:space="0" w:sz="0" w:val="nil"/>
            </w:tcBorders>
            <w:tcMar>
              <w:top w:w="-510.236220472441" w:type="dxa"/>
              <w:left w:w="-510.236220472441" w:type="dxa"/>
              <w:bottom w:w="-510.236220472441" w:type="dxa"/>
              <w:right w:w="-510.236220472441" w:type="dxa"/>
            </w:tcMar>
            <w:vAlign w:val="center"/>
          </w:tcPr>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BICT301 </w:t>
            </w:r>
          </w:p>
        </w:tc>
        <w:tc>
          <w:tcPr>
            <w:tcBorders>
              <w:top w:color="000000" w:space="0" w:sz="0" w:val="nil"/>
              <w:left w:color="000000" w:space="0" w:sz="0" w:val="nil"/>
              <w:bottom w:color="000000" w:space="0" w:sz="5" w:val="single"/>
              <w:right w:color="000000" w:space="0" w:sz="0" w:val="nil"/>
            </w:tcBorders>
            <w:tcMar>
              <w:top w:w="-510.236220472441" w:type="dxa"/>
              <w:left w:w="-510.236220472441" w:type="dxa"/>
              <w:bottom w:w="-510.236220472441" w:type="dxa"/>
              <w:right w:w="-510.236220472441" w:type="dxa"/>
            </w:tcMar>
            <w:vAlign w:val="center"/>
          </w:tcPr>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Software Engineering </w:t>
            </w:r>
          </w:p>
        </w:tc>
        <w:tc>
          <w:tcPr>
            <w:tcBorders>
              <w:top w:color="000000" w:space="0" w:sz="0" w:val="nil"/>
              <w:left w:color="000000" w:space="0" w:sz="0" w:val="nil"/>
              <w:bottom w:color="000000" w:space="0" w:sz="5" w:val="single"/>
              <w:right w:color="000000" w:space="0" w:sz="0" w:val="nil"/>
            </w:tcBorders>
            <w:tcMar>
              <w:top w:w="-510.236220472441" w:type="dxa"/>
              <w:left w:w="-510.236220472441" w:type="dxa"/>
              <w:bottom w:w="-510.236220472441" w:type="dxa"/>
              <w:right w:w="-510.236220472441" w:type="dxa"/>
            </w:tcMar>
            <w:vAlign w:val="center"/>
          </w:tcPr>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3rd </w:t>
            </w:r>
          </w:p>
        </w:tc>
        <w:tc>
          <w:tcPr>
            <w:tcBorders>
              <w:top w:color="000000" w:space="0" w:sz="0" w:val="nil"/>
              <w:left w:color="000000" w:space="0" w:sz="0" w:val="nil"/>
              <w:bottom w:color="000000" w:space="0" w:sz="5" w:val="single"/>
              <w:right w:color="000000" w:space="0" w:sz="0" w:val="nil"/>
            </w:tcBorders>
            <w:tcMar>
              <w:top w:w="-510.236220472441" w:type="dxa"/>
              <w:left w:w="-510.236220472441" w:type="dxa"/>
              <w:bottom w:w="-510.236220472441" w:type="dxa"/>
              <w:right w:w="-510.236220472441" w:type="dxa"/>
            </w:tcMar>
            <w:vAlign w:val="center"/>
          </w:tcPr>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Lecture Notes </w:t>
            </w:r>
          </w:p>
        </w:tc>
        <w:tc>
          <w:tcPr>
            <w:tcBorders>
              <w:top w:color="000000" w:space="0" w:sz="0" w:val="nil"/>
              <w:left w:color="000000" w:space="0" w:sz="0" w:val="nil"/>
              <w:bottom w:color="000000" w:space="0" w:sz="5" w:val="single"/>
              <w:right w:color="000000" w:space="0" w:sz="0" w:val="nil"/>
            </w:tcBorders>
            <w:tcMar>
              <w:top w:w="-510.236220472441" w:type="dxa"/>
              <w:left w:w="-510.236220472441" w:type="dxa"/>
              <w:bottom w:w="-510.236220472441" w:type="dxa"/>
              <w:right w:w="-510.236220472441" w:type="dxa"/>
            </w:tcMar>
            <w:vAlign w:val="center"/>
          </w:tcPr>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"SDLC phases include requirements, design, implementation..." </w:t>
            </w:r>
          </w:p>
        </w:tc>
        <w:tc>
          <w:tcPr>
            <w:tcBorders>
              <w:top w:color="000000" w:space="0" w:sz="0" w:val="nil"/>
              <w:left w:color="000000" w:space="0" w:sz="0" w:val="nil"/>
              <w:bottom w:color="000000" w:space="0" w:sz="5" w:val="single"/>
              <w:right w:color="000000" w:space="0" w:sz="0" w:val="nil"/>
            </w:tcBorders>
            <w:tcMar>
              <w:top w:w="-510.236220472441" w:type="dxa"/>
              <w:left w:w="-510.236220472441" w:type="dxa"/>
              <w:bottom w:w="-510.236220472441" w:type="dxa"/>
              <w:right w:w="-510.236220472441" w:type="dxa"/>
            </w:tcMar>
            <w:vAlign w:val="center"/>
          </w:tcPr>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SE301_Notes.pdf </w:t>
            </w:r>
          </w:p>
        </w:tc>
      </w:tr>
    </w:tbl>
    <w:p w:rsidR="00000000" w:rsidDel="00000000" w:rsidP="00000000" w:rsidRDefault="00000000" w:rsidRPr="00000000" w14:paraId="000000D1">
      <w:pPr>
        <w:spacing w:line="240" w:lineRule="auto"/>
        <w:ind w:right="-145.866141732282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data is unstructured academic text. Each chunk carries six attributes such as Course/Module, Topic, Year/Level, Document Type, Content/Chunk, and Source Reference. The data is unlabelled and is used for similarity-based retrieval. It is not used to train a model. </w:t>
      </w:r>
    </w:p>
    <w:p w:rsidR="00000000" w:rsidDel="00000000" w:rsidP="00000000" w:rsidRDefault="00000000" w:rsidRPr="00000000" w14:paraId="000000D2">
      <w:pPr>
        <w:spacing w:after="0" w:line="240" w:lineRule="auto"/>
        <w:ind w:right="-145.8661417322827" w:firstLine="720"/>
        <w:jc w:val="both"/>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0D3">
      <w:pPr>
        <w:spacing w:after="0" w:line="240" w:lineRule="auto"/>
        <w:ind w:right="-145.8661417322827"/>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3.3 Design and Development </w:t>
      </w:r>
    </w:p>
    <w:p w:rsidR="00000000" w:rsidDel="00000000" w:rsidP="00000000" w:rsidRDefault="00000000" w:rsidRPr="00000000" w14:paraId="000000D4">
      <w:pPr>
        <w:spacing w:after="0" w:line="240" w:lineRule="auto"/>
        <w:ind w:left="0" w:right="-145.866141732282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follows a four‑tier architecture, with each layer assigned a specific technology to ensure pedagogical control, data privacy, and maintainability. </w:t>
      </w:r>
      <w:r w:rsidDel="00000000" w:rsidR="00000000" w:rsidRPr="00000000">
        <w:rPr>
          <w:rFonts w:ascii="Times New Roman" w:cs="Times New Roman" w:eastAsia="Times New Roman" w:hAnsi="Times New Roman"/>
          <w:rtl w:val="0"/>
        </w:rPr>
        <w:t xml:space="preserve">From the literature review findings, it was identified that hybrid systems are the most promising approach. This design combines LLM fluency with MIA accountability and RAG grounding. The table below outlines the technologies selected to implement each layer.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D5">
      <w:pPr>
        <w:spacing w:before="112" w:line="240" w:lineRule="auto"/>
        <w:ind w:left="11" w:right="-145.8661417322827" w:firstLine="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Table  5: Selected technologies per Tier</w:t>
      </w:r>
    </w:p>
    <w:p w:rsidR="00000000" w:rsidDel="00000000" w:rsidP="00000000" w:rsidRDefault="00000000" w:rsidRPr="00000000" w14:paraId="000000D6">
      <w:pPr>
        <w:spacing w:before="0" w:line="240" w:lineRule="auto"/>
        <w:ind w:left="11" w:right="-145.8661417322827" w:firstLine="0"/>
        <w:jc w:val="center"/>
        <w:rPr>
          <w:rFonts w:ascii="Times New Roman" w:cs="Times New Roman" w:eastAsia="Times New Roman" w:hAnsi="Times New Roman"/>
          <w:i w:val="1"/>
          <w:iCs w:val="1"/>
          <w:sz w:val="20"/>
          <w:szCs w:val="20"/>
        </w:rPr>
      </w:pPr>
      <w:r w:rsidDel="00000000" w:rsidR="00000000" w:rsidRPr="00000000">
        <w:rPr>
          <w:rtl w:val="0"/>
        </w:rPr>
      </w:r>
    </w:p>
    <w:tbl>
      <w:tblPr>
        <w:tblStyle w:val="Table5"/>
        <w:tblW w:w="10470.0" w:type="dxa"/>
        <w:jc w:val="left"/>
        <w:tblInd w:w="-7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475"/>
        <w:gridCol w:w="5865"/>
        <w:tblGridChange w:id="0">
          <w:tblGrid>
            <w:gridCol w:w="2130"/>
            <w:gridCol w:w="2475"/>
            <w:gridCol w:w="5865"/>
          </w:tblGrid>
        </w:tblGridChange>
      </w:tblGrid>
      <w:tr>
        <w:trPr>
          <w:cantSplit w:val="0"/>
          <w:trHeight w:val="390" w:hRule="atLeast"/>
          <w:tblHeader w:val="0"/>
        </w:trPr>
        <w:tc>
          <w:tcPr>
            <w:tcBorders>
              <w:top w:color="000000" w:space="0" w:sz="24" w:val="single"/>
              <w:left w:color="000000" w:space="0" w:sz="0" w:val="nil"/>
              <w:bottom w:color="000000" w:space="0" w:sz="24" w:val="single"/>
              <w:right w:color="000000" w:space="0" w:sz="0" w:val="nil"/>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Tier </w:t>
            </w:r>
          </w:p>
        </w:tc>
        <w:tc>
          <w:tcPr>
            <w:tcBorders>
              <w:top w:color="000000" w:space="0" w:sz="24" w:val="single"/>
              <w:left w:color="000000" w:space="0" w:sz="0" w:val="nil"/>
              <w:bottom w:color="000000" w:space="0" w:sz="24" w:val="single"/>
              <w:right w:color="000000" w:space="0" w:sz="0" w:val="nil"/>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Technology </w:t>
            </w:r>
          </w:p>
        </w:tc>
        <w:tc>
          <w:tcPr>
            <w:tcBorders>
              <w:top w:color="000000" w:space="0" w:sz="24" w:val="single"/>
              <w:left w:color="000000" w:space="0" w:sz="0" w:val="nil"/>
              <w:bottom w:color="000000" w:space="0" w:sz="24" w:val="single"/>
              <w:right w:color="000000" w:space="0" w:sz="0" w:val="nil"/>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Purpose in This Study </w:t>
            </w:r>
          </w:p>
        </w:tc>
      </w:tr>
      <w:tr>
        <w:trPr>
          <w:cantSplit w:val="0"/>
          <w:trHeight w:val="226.7716535433071" w:hRule="atLeast"/>
          <w:tblHeader w:val="0"/>
        </w:trPr>
        <w:tc>
          <w:tcPr>
            <w:tcBorders>
              <w:top w:color="000000" w:space="0" w:sz="24" w:val="single"/>
              <w:left w:color="000000" w:space="0" w:sz="0" w:val="nil"/>
              <w:bottom w:color="000000" w:space="0" w:sz="5" w:val="single"/>
              <w:right w:color="000000" w:space="0" w:sz="0" w:val="nil"/>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Client Presentation </w:t>
            </w:r>
          </w:p>
        </w:tc>
        <w:tc>
          <w:tcPr>
            <w:tcBorders>
              <w:top w:color="000000" w:space="0" w:sz="24" w:val="single"/>
              <w:left w:color="000000" w:space="0" w:sz="0" w:val="nil"/>
              <w:bottom w:color="000000" w:space="0" w:sz="5" w:val="single"/>
              <w:right w:color="000000" w:space="0" w:sz="0" w:val="nil"/>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HTML5, Tailwind CSS, JavaScript </w:t>
            </w:r>
          </w:p>
        </w:tc>
        <w:tc>
          <w:tcPr>
            <w:tcBorders>
              <w:top w:color="000000" w:space="0" w:sz="24" w:val="single"/>
              <w:left w:color="000000" w:space="0" w:sz="0" w:val="nil"/>
              <w:bottom w:color="000000" w:space="0" w:sz="5" w:val="single"/>
              <w:right w:color="000000" w:space="0" w:sz="0" w:val="nil"/>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Builds responsive, accessible interface for students and lecturers, real‑time updates </w:t>
            </w:r>
          </w:p>
        </w:tc>
      </w:tr>
      <w:tr>
        <w:trPr>
          <w:cantSplit w:val="0"/>
          <w:trHeight w:val="226.7716535433071" w:hRule="atLeast"/>
          <w:tblHeader w:val="0"/>
        </w:trPr>
        <w:tc>
          <w:tcPr>
            <w:tcBorders>
              <w:top w:color="000000" w:space="0" w:sz="0" w:val="nil"/>
              <w:left w:color="000000" w:space="0" w:sz="0" w:val="nil"/>
              <w:bottom w:color="000000" w:space="0" w:sz="5" w:val="single"/>
              <w:right w:color="000000" w:space="0" w:sz="0" w:val="nil"/>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Orchestration </w:t>
            </w:r>
          </w:p>
        </w:tc>
        <w:tc>
          <w:tcPr>
            <w:tcBorders>
              <w:top w:color="000000" w:space="0" w:sz="0" w:val="nil"/>
              <w:left w:color="000000" w:space="0" w:sz="0" w:val="nil"/>
              <w:bottom w:color="000000" w:space="0" w:sz="5" w:val="single"/>
              <w:right w:color="000000" w:space="0" w:sz="0" w:val="nil"/>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Python 3, Flask </w:t>
            </w:r>
          </w:p>
        </w:tc>
        <w:tc>
          <w:tcPr>
            <w:tcBorders>
              <w:top w:color="000000" w:space="0" w:sz="0" w:val="nil"/>
              <w:left w:color="000000" w:space="0" w:sz="0" w:val="nil"/>
              <w:bottom w:color="000000" w:space="0" w:sz="5" w:val="single"/>
              <w:right w:color="000000" w:space="0" w:sz="0" w:val="nil"/>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Coordinates Intent, RAG, and Guardrail agents, manages API routes and session state </w:t>
            </w:r>
          </w:p>
        </w:tc>
      </w:tr>
      <w:tr>
        <w:trPr>
          <w:cantSplit w:val="0"/>
          <w:trHeight w:val="226.7716535433071" w:hRule="atLeast"/>
          <w:tblHeader w:val="0"/>
        </w:trPr>
        <w:tc>
          <w:tcPr>
            <w:tcBorders>
              <w:top w:color="000000" w:space="0" w:sz="0" w:val="nil"/>
              <w:left w:color="000000" w:space="0" w:sz="0" w:val="nil"/>
              <w:bottom w:color="000000" w:space="0" w:sz="5" w:val="single"/>
              <w:right w:color="000000" w:space="0" w:sz="0" w:val="nil"/>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Inference </w:t>
            </w:r>
          </w:p>
        </w:tc>
        <w:tc>
          <w:tcPr>
            <w:tcBorders>
              <w:top w:color="000000" w:space="0" w:sz="0" w:val="nil"/>
              <w:left w:color="000000" w:space="0" w:sz="0" w:val="nil"/>
              <w:bottom w:color="000000" w:space="0" w:sz="5" w:val="single"/>
              <w:right w:color="000000" w:space="0" w:sz="0" w:val="nil"/>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Ollama (DeepSeek‑R1, Qwen 3.5) </w:t>
            </w:r>
          </w:p>
        </w:tc>
        <w:tc>
          <w:tcPr>
            <w:tcBorders>
              <w:top w:color="000000" w:space="0" w:sz="0" w:val="nil"/>
              <w:left w:color="000000" w:space="0" w:sz="0" w:val="nil"/>
              <w:bottom w:color="000000" w:space="0" w:sz="5" w:val="single"/>
              <w:right w:color="000000" w:space="0" w:sz="0" w:val="nil"/>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Runs open‑weight LLMs locally; avoids cloud costs, keeps student data on‑premises </w:t>
            </w:r>
          </w:p>
        </w:tc>
      </w:tr>
      <w:tr>
        <w:trPr>
          <w:cantSplit w:val="0"/>
          <w:trHeight w:val="226.7716535433071" w:hRule="atLeast"/>
          <w:tblHeader w:val="0"/>
        </w:trPr>
        <w:tc>
          <w:tcPr>
            <w:tcBorders>
              <w:top w:color="000000" w:space="0" w:sz="0" w:val="nil"/>
              <w:left w:color="000000" w:space="0" w:sz="0" w:val="nil"/>
              <w:bottom w:color="000000" w:space="0" w:sz="5" w:val="single"/>
              <w:right w:color="000000" w:space="0" w:sz="0" w:val="nil"/>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Knowledge Retrieval </w:t>
            </w:r>
          </w:p>
        </w:tc>
        <w:tc>
          <w:tcPr>
            <w:tcBorders>
              <w:top w:color="000000" w:space="0" w:sz="0" w:val="nil"/>
              <w:left w:color="000000" w:space="0" w:sz="0" w:val="nil"/>
              <w:bottom w:color="000000" w:space="0" w:sz="5" w:val="single"/>
              <w:right w:color="000000" w:space="0" w:sz="0" w:val="nil"/>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Chroma / pgvector </w:t>
            </w:r>
          </w:p>
        </w:tc>
        <w:tc>
          <w:tcPr>
            <w:tcBorders>
              <w:top w:color="000000" w:space="0" w:sz="0" w:val="nil"/>
              <w:left w:color="000000" w:space="0" w:sz="0" w:val="nil"/>
              <w:bottom w:color="000000" w:space="0" w:sz="5" w:val="single"/>
              <w:right w:color="000000" w:space="0" w:sz="0" w:val="nil"/>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Stores embedded curriculum chunks, performs semantic similarity search for RAG agent </w:t>
            </w:r>
          </w:p>
        </w:tc>
      </w:tr>
      <w:tr>
        <w:trPr>
          <w:cantSplit w:val="0"/>
          <w:trHeight w:val="226.7716535433071" w:hRule="atLeast"/>
          <w:tblHeader w:val="0"/>
        </w:trPr>
        <w:tc>
          <w:tcPr>
            <w:tcBorders>
              <w:top w:color="000000" w:space="0" w:sz="0" w:val="nil"/>
              <w:left w:color="000000" w:space="0" w:sz="0" w:val="nil"/>
              <w:bottom w:color="000000" w:space="0" w:sz="5" w:val="single"/>
              <w:right w:color="000000" w:space="0" w:sz="0" w:val="nil"/>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Development Environment </w:t>
            </w:r>
          </w:p>
        </w:tc>
        <w:tc>
          <w:tcPr>
            <w:tcBorders>
              <w:top w:color="000000" w:space="0" w:sz="0" w:val="nil"/>
              <w:left w:color="000000" w:space="0" w:sz="0" w:val="nil"/>
              <w:bottom w:color="000000" w:space="0" w:sz="5" w:val="single"/>
              <w:right w:color="000000" w:space="0" w:sz="0" w:val="nil"/>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 Studio Code </w:t>
            </w:r>
          </w:p>
        </w:tc>
        <w:tc>
          <w:tcPr>
            <w:tcBorders>
              <w:top w:color="000000" w:space="0" w:sz="0" w:val="nil"/>
              <w:left w:color="000000" w:space="0" w:sz="0" w:val="nil"/>
              <w:bottom w:color="000000" w:space="0" w:sz="5" w:val="single"/>
              <w:right w:color="000000" w:space="0" w:sz="0" w:val="nil"/>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Provides integrated development with extensions and AI‑assisted coding support </w:t>
            </w:r>
          </w:p>
        </w:tc>
      </w:tr>
    </w:tbl>
    <w:p w:rsidR="00000000" w:rsidDel="00000000" w:rsidP="00000000" w:rsidRDefault="00000000" w:rsidRPr="00000000" w14:paraId="000000E9">
      <w:pPr>
        <w:spacing w:after="0" w:line="240" w:lineRule="auto"/>
        <w:ind w:left="0" w:right="-145.8661417322827"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combination was selected as it addresses the limitations identified in the literature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Across contemporary academic deployments, this specific combination; Flask‑backended orchestration, locally hosted Ollama models, and a vector store for RAG forms the most practical and auditable foundation for enforcing Socratic tutoring rules without compromising institutional data sovereignty. </w:t>
      </w:r>
    </w:p>
    <w:p w:rsidR="00000000" w:rsidDel="00000000" w:rsidP="00000000" w:rsidRDefault="00000000" w:rsidRPr="00000000" w14:paraId="000000EA">
      <w:pPr>
        <w:spacing w:after="80" w:line="240" w:lineRule="auto"/>
        <w:ind w:left="0" w:right="-145.8661417322827" w:firstLine="0"/>
        <w:jc w:val="both"/>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EB">
      <w:pPr>
        <w:spacing w:after="0" w:line="240" w:lineRule="auto"/>
        <w:ind w:left="0" w:right="-145.866141732282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Evaluation </w:t>
      </w:r>
    </w:p>
    <w:p w:rsidR="00000000" w:rsidDel="00000000" w:rsidP="00000000" w:rsidRDefault="00000000" w:rsidRPr="00000000" w14:paraId="000000EC">
      <w:pPr>
        <w:spacing w:after="80" w:line="240" w:lineRule="auto"/>
        <w:ind w:left="0" w:right="-145.866141732282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be evaluated using standard classification metrics such as accuracy (proportion of correct responses), precision (correct positive predictions), recall (ability to find relevant responses), and F1‑score (harmonic mean of precision and recall). These metrics will be calculated based on a test set of student queries with ground‑truth answers provided by domain experts. The hybrid system will be compared against the baseline approaches such as standalone LLM and rule‑based systems. We anticipate the hybrid system will achieve superior performance in pedagogical metrics (reduced over‑reliance, improved factual grounding) while maintaining competitive technical performance. Results will be presented as performance graph</w:t>
      </w:r>
      <w:r w:rsidDel="00000000" w:rsidR="00000000" w:rsidRPr="00000000">
        <w:rPr>
          <w:rFonts w:ascii="Times New Roman" w:cs="Times New Roman" w:eastAsia="Times New Roman" w:hAnsi="Times New Roman"/>
          <w:sz w:val="20"/>
          <w:szCs w:val="20"/>
          <w:rtl w:val="0"/>
        </w:rPr>
        <w:t xml:space="preserve">s </w:t>
      </w:r>
      <w:r w:rsidDel="00000000" w:rsidR="00000000" w:rsidRPr="00000000">
        <w:rPr>
          <w:rFonts w:ascii="Times New Roman" w:cs="Times New Roman" w:eastAsia="Times New Roman" w:hAnsi="Times New Roman"/>
          <w:rtl w:val="0"/>
        </w:rPr>
        <w:t xml:space="preserve">and discussed in Section 6.</w:t>
      </w:r>
    </w:p>
    <w:p w:rsidR="00000000" w:rsidDel="00000000" w:rsidP="00000000" w:rsidRDefault="00000000" w:rsidRPr="00000000" w14:paraId="000000ED">
      <w:pPr>
        <w:spacing w:after="80" w:line="240" w:lineRule="auto"/>
        <w:ind w:left="0" w:right="-145.866141732282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6"/>
          <w:szCs w:val="26"/>
          <w:rtl w:val="0"/>
        </w:rPr>
        <w:t xml:space="preserve">4. Technology Description</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EE">
      <w:pPr>
        <w:spacing w:after="80" w:line="240" w:lineRule="auto"/>
        <w:ind w:right="-145.866141732282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explains the importance of each technology choice by looking at why it matters, how it helps address the problems identified in the literature, and what it will be used for in this study. </w:t>
      </w:r>
      <w:r w:rsidDel="00000000" w:rsidR="00000000" w:rsidRPr="00000000">
        <w:rPr>
          <w:rFonts w:ascii="Times New Roman" w:cs="Times New Roman" w:eastAsia="Times New Roman" w:hAnsi="Times New Roman"/>
          <w:rtl w:val="0"/>
        </w:rPr>
        <w:t xml:space="preserve">System Architecture and Data Flow The architecture separates the system into a frontend interface, a MIA orchestration layer, a local AI inference engine, and a vector database. </w:t>
      </w:r>
      <w:r w:rsidDel="00000000" w:rsidR="00000000" w:rsidRPr="00000000">
        <w:rPr>
          <w:rFonts w:ascii="Times New Roman" w:cs="Times New Roman" w:eastAsia="Times New Roman" w:hAnsi="Times New Roman"/>
          <w:rtl w:val="0"/>
        </w:rPr>
        <w:t xml:space="preserve">Table 6 outlines the core tools and frameworks used to develop the system, </w:t>
      </w:r>
    </w:p>
    <w:p w:rsidR="00000000" w:rsidDel="00000000" w:rsidP="00000000" w:rsidRDefault="00000000" w:rsidRPr="00000000" w14:paraId="000000EF">
      <w:pPr>
        <w:spacing w:after="80" w:line="240" w:lineRule="auto"/>
        <w:ind w:right="-145.8661417322827"/>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Table 6: Technology description table</w:t>
      </w:r>
    </w:p>
    <w:tbl>
      <w:tblPr>
        <w:tblStyle w:val="Table6"/>
        <w:tblW w:w="10710.0" w:type="dxa"/>
        <w:jc w:val="left"/>
        <w:tblInd w:w="-10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2775"/>
        <w:gridCol w:w="3075"/>
        <w:gridCol w:w="3525"/>
        <w:tblGridChange w:id="0">
          <w:tblGrid>
            <w:gridCol w:w="1335"/>
            <w:gridCol w:w="2775"/>
            <w:gridCol w:w="3075"/>
            <w:gridCol w:w="3525"/>
          </w:tblGrid>
        </w:tblGridChange>
      </w:tblGrid>
      <w:tr>
        <w:trPr>
          <w:cantSplit w:val="0"/>
          <w:trHeight w:val="56.69291338582678" w:hRule="atLeast"/>
          <w:tblHeader w:val="0"/>
        </w:trPr>
        <w:tc>
          <w:tcPr>
            <w:tcBorders>
              <w:top w:color="000000" w:space="0" w:sz="24" w:val="single"/>
              <w:left w:color="000000" w:space="0" w:sz="0" w:val="nil"/>
              <w:bottom w:color="000000" w:space="0" w:sz="24" w:val="single"/>
              <w:right w:color="000000" w:space="0" w:sz="0" w:val="nil"/>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Technology </w:t>
            </w:r>
            <w:r w:rsidDel="00000000" w:rsidR="00000000" w:rsidRPr="00000000">
              <w:rPr>
                <w:rtl w:val="0"/>
              </w:rPr>
            </w:r>
          </w:p>
        </w:tc>
        <w:tc>
          <w:tcPr>
            <w:tcBorders>
              <w:top w:color="000000" w:space="0" w:sz="24" w:val="single"/>
              <w:left w:color="000000" w:space="0" w:sz="0" w:val="nil"/>
              <w:bottom w:color="000000" w:space="0" w:sz="24" w:val="single"/>
              <w:right w:color="000000" w:space="0" w:sz="0" w:val="nil"/>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Why It Matters </w:t>
            </w:r>
          </w:p>
        </w:tc>
        <w:tc>
          <w:tcPr>
            <w:tcBorders>
              <w:top w:color="000000" w:space="0" w:sz="24" w:val="single"/>
              <w:left w:color="000000" w:space="0" w:sz="0" w:val="nil"/>
              <w:bottom w:color="000000" w:space="0" w:sz="24" w:val="single"/>
              <w:right w:color="000000" w:space="0" w:sz="0" w:val="nil"/>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How It Helps </w:t>
            </w:r>
          </w:p>
        </w:tc>
        <w:tc>
          <w:tcPr>
            <w:tcBorders>
              <w:top w:color="000000" w:space="0" w:sz="24" w:val="single"/>
              <w:left w:color="000000" w:space="0" w:sz="0" w:val="nil"/>
              <w:bottom w:color="000000" w:space="0" w:sz="24" w:val="single"/>
              <w:right w:color="000000" w:space="0" w:sz="0" w:val="nil"/>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What It Is Used For </w:t>
            </w:r>
          </w:p>
        </w:tc>
      </w:tr>
      <w:tr>
        <w:trPr>
          <w:cantSplit w:val="0"/>
          <w:trHeight w:val="56.69291338582678" w:hRule="atLeast"/>
          <w:tblHeader w:val="0"/>
        </w:trPr>
        <w:tc>
          <w:tcPr>
            <w:tcBorders>
              <w:top w:color="000000" w:space="0" w:sz="24" w:val="single"/>
              <w:left w:color="000000" w:space="0" w:sz="0" w:val="nil"/>
              <w:bottom w:color="000000" w:space="0" w:sz="5" w:val="single"/>
              <w:right w:color="000000" w:space="0" w:sz="0" w:val="nil"/>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Flask (Python) </w:t>
            </w:r>
          </w:p>
        </w:tc>
        <w:tc>
          <w:tcPr>
            <w:tcBorders>
              <w:top w:color="000000" w:space="0" w:sz="24" w:val="single"/>
              <w:left w:color="000000" w:space="0" w:sz="0" w:val="nil"/>
              <w:bottom w:color="000000" w:space="0" w:sz="5" w:val="single"/>
              <w:right w:color="000000" w:space="0" w:sz="0" w:val="nil"/>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LLMs lack pedagogical control (45% over-reliance), agents needed to enforce Socratic rules </w:t>
            </w:r>
          </w:p>
        </w:tc>
        <w:tc>
          <w:tcPr>
            <w:tcBorders>
              <w:top w:color="000000" w:space="0" w:sz="24" w:val="single"/>
              <w:left w:color="000000" w:space="0" w:sz="0" w:val="nil"/>
              <w:bottom w:color="000000" w:space="0" w:sz="5" w:val="single"/>
              <w:right w:color="000000" w:space="0" w:sz="0" w:val="nil"/>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Lightweight API development, coordinates multiple agents in single codebase </w:t>
            </w:r>
          </w:p>
        </w:tc>
        <w:tc>
          <w:tcPr>
            <w:tcBorders>
              <w:top w:color="000000" w:space="0" w:sz="24" w:val="single"/>
              <w:left w:color="000000" w:space="0" w:sz="0" w:val="nil"/>
              <w:bottom w:color="000000" w:space="0" w:sz="5" w:val="single"/>
              <w:right w:color="000000" w:space="0" w:sz="0" w:val="nil"/>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Orchestrates Intent, RAG, and Guardrail agents, routes queries, manages sessions </w:t>
            </w:r>
          </w:p>
        </w:tc>
      </w:tr>
      <w:tr>
        <w:trPr>
          <w:cantSplit w:val="0"/>
          <w:trHeight w:val="56.69291338582678" w:hRule="atLeast"/>
          <w:tblHeader w:val="0"/>
        </w:trPr>
        <w:tc>
          <w:tcPr>
            <w:tcBorders>
              <w:top w:color="000000" w:space="0" w:sz="0" w:val="nil"/>
              <w:left w:color="000000" w:space="0" w:sz="0" w:val="nil"/>
              <w:bottom w:color="000000" w:space="0" w:sz="5" w:val="single"/>
              <w:right w:color="000000" w:space="0" w:sz="0" w:val="nil"/>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Ollama (DeepSeek-R1, Qwen 3.5) </w:t>
            </w:r>
          </w:p>
        </w:tc>
        <w:tc>
          <w:tcPr>
            <w:tcBorders>
              <w:top w:color="000000" w:space="0" w:sz="0" w:val="nil"/>
              <w:left w:color="000000" w:space="0" w:sz="0" w:val="nil"/>
              <w:bottom w:color="000000" w:space="0" w:sz="5" w:val="single"/>
              <w:right w:color="000000" w:space="0" w:sz="0" w:val="nil"/>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68% lack pedagogical grounding, cloud APIs raise privacy concerns </w:t>
            </w:r>
          </w:p>
        </w:tc>
        <w:tc>
          <w:tcPr>
            <w:tcBorders>
              <w:top w:color="000000" w:space="0" w:sz="0" w:val="nil"/>
              <w:left w:color="000000" w:space="0" w:sz="0" w:val="nil"/>
              <w:bottom w:color="000000" w:space="0" w:sz="5" w:val="single"/>
              <w:right w:color="000000" w:space="0" w:sz="0" w:val="nil"/>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Runs LLMs locally; eliminates costs, keeps student data on-premises </w:t>
            </w:r>
          </w:p>
        </w:tc>
        <w:tc>
          <w:tcPr>
            <w:tcBorders>
              <w:top w:color="000000" w:space="0" w:sz="0" w:val="nil"/>
              <w:left w:color="000000" w:space="0" w:sz="0" w:val="nil"/>
              <w:bottom w:color="000000" w:space="0" w:sz="5" w:val="single"/>
              <w:right w:color="000000" w:space="0" w:sz="0" w:val="nil"/>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Generates explanations, hints, and guiding questions during tutoring </w:t>
            </w:r>
          </w:p>
        </w:tc>
      </w:tr>
      <w:tr>
        <w:trPr>
          <w:cantSplit w:val="0"/>
          <w:trHeight w:val="56.69291338582678" w:hRule="atLeast"/>
          <w:tblHeader w:val="0"/>
        </w:trPr>
        <w:tc>
          <w:tcPr>
            <w:tcBorders>
              <w:top w:color="000000" w:space="0" w:sz="0" w:val="nil"/>
              <w:left w:color="000000" w:space="0" w:sz="0" w:val="nil"/>
              <w:bottom w:color="000000" w:space="0" w:sz="5" w:val="single"/>
              <w:right w:color="000000" w:space="0" w:sz="0" w:val="nil"/>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Vector Database (Chroma/pgvector) </w:t>
            </w:r>
          </w:p>
        </w:tc>
        <w:tc>
          <w:tcPr>
            <w:tcBorders>
              <w:top w:color="000000" w:space="0" w:sz="0" w:val="nil"/>
              <w:left w:color="000000" w:space="0" w:sz="0" w:val="nil"/>
              <w:bottom w:color="000000" w:space="0" w:sz="5" w:val="single"/>
              <w:right w:color="000000" w:space="0" w:sz="0" w:val="nil"/>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LLMs have 28% factual error rate from hallucination, responses need grounding </w:t>
            </w:r>
          </w:p>
        </w:tc>
        <w:tc>
          <w:tcPr>
            <w:tcBorders>
              <w:top w:color="000000" w:space="0" w:sz="0" w:val="nil"/>
              <w:left w:color="000000" w:space="0" w:sz="0" w:val="nil"/>
              <w:bottom w:color="000000" w:space="0" w:sz="5" w:val="single"/>
              <w:right w:color="000000" w:space="0" w:sz="0" w:val="nil"/>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Enables RAG; stores embeddings, performs semantic similarity search </w:t>
            </w:r>
          </w:p>
        </w:tc>
        <w:tc>
          <w:tcPr>
            <w:tcBorders>
              <w:top w:color="000000" w:space="0" w:sz="0" w:val="nil"/>
              <w:left w:color="000000" w:space="0" w:sz="0" w:val="nil"/>
              <w:bottom w:color="000000" w:space="0" w:sz="5" w:val="single"/>
              <w:right w:color="000000" w:space="0" w:sz="0" w:val="nil"/>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Stores curriculum chunks, retrieved by RAG Agent to ground responses in verified content </w:t>
            </w:r>
          </w:p>
        </w:tc>
      </w:tr>
      <w:tr>
        <w:trPr>
          <w:cantSplit w:val="0"/>
          <w:trHeight w:val="56.69291338582678" w:hRule="atLeast"/>
          <w:tblHeader w:val="0"/>
        </w:trPr>
        <w:tc>
          <w:tcPr>
            <w:tcBorders>
              <w:top w:color="000000" w:space="0" w:sz="0" w:val="nil"/>
              <w:left w:color="000000" w:space="0" w:sz="0" w:val="nil"/>
              <w:bottom w:color="000000" w:space="0" w:sz="5" w:val="single"/>
              <w:right w:color="000000" w:space="0" w:sz="0" w:val="nil"/>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Frontend (HTML5, Tailwind, JS) </w:t>
            </w:r>
          </w:p>
        </w:tc>
        <w:tc>
          <w:tcPr>
            <w:tcBorders>
              <w:top w:color="000000" w:space="0" w:sz="0" w:val="nil"/>
              <w:left w:color="000000" w:space="0" w:sz="0" w:val="nil"/>
              <w:bottom w:color="000000" w:space="0" w:sz="5" w:val="single"/>
              <w:right w:color="000000" w:space="0" w:sz="0" w:val="nil"/>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System must be accessible and responsive for adoption </w:t>
            </w:r>
          </w:p>
        </w:tc>
        <w:tc>
          <w:tcPr>
            <w:tcBorders>
              <w:top w:color="000000" w:space="0" w:sz="0" w:val="nil"/>
              <w:left w:color="000000" w:space="0" w:sz="0" w:val="nil"/>
              <w:bottom w:color="000000" w:space="0" w:sz="5" w:val="single"/>
              <w:right w:color="000000" w:space="0" w:sz="0" w:val="nil"/>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Delivers responsive interface, WebSockets enable real-time updates </w:t>
            </w:r>
          </w:p>
        </w:tc>
        <w:tc>
          <w:tcPr>
            <w:tcBorders>
              <w:top w:color="000000" w:space="0" w:sz="0" w:val="nil"/>
              <w:left w:color="000000" w:space="0" w:sz="0" w:val="nil"/>
              <w:bottom w:color="000000" w:space="0" w:sz="5" w:val="single"/>
              <w:right w:color="000000" w:space="0" w:sz="0" w:val="nil"/>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Provides student query interface and lecturer dashboard </w:t>
            </w:r>
          </w:p>
        </w:tc>
      </w:tr>
      <w:tr>
        <w:trPr>
          <w:cantSplit w:val="0"/>
          <w:trHeight w:val="56.69291338582678" w:hRule="atLeast"/>
          <w:tblHeader w:val="0"/>
        </w:trPr>
        <w:tc>
          <w:tcPr>
            <w:tcBorders>
              <w:top w:color="000000" w:space="0" w:sz="0" w:val="nil"/>
              <w:left w:color="000000" w:space="0" w:sz="0" w:val="nil"/>
              <w:bottom w:color="000000" w:space="0" w:sz="5" w:val="single"/>
              <w:right w:color="000000" w:space="0" w:sz="0" w:val="nil"/>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VS Code </w:t>
            </w:r>
          </w:p>
        </w:tc>
        <w:tc>
          <w:tcPr>
            <w:tcBorders>
              <w:top w:color="000000" w:space="0" w:sz="0" w:val="nil"/>
              <w:left w:color="000000" w:space="0" w:sz="0" w:val="nil"/>
              <w:bottom w:color="000000" w:space="0" w:sz="5" w:val="single"/>
              <w:right w:color="000000" w:space="0" w:sz="0" w:val="nil"/>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Efficient development requires robust IDE support </w:t>
            </w:r>
          </w:p>
        </w:tc>
        <w:tc>
          <w:tcPr>
            <w:tcBorders>
              <w:top w:color="000000" w:space="0" w:sz="0" w:val="nil"/>
              <w:left w:color="000000" w:space="0" w:sz="0" w:val="nil"/>
              <w:bottom w:color="000000" w:space="0" w:sz="5" w:val="single"/>
              <w:right w:color="000000" w:space="0" w:sz="0" w:val="nil"/>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Provides terminal, debugging, and AI-assisted extensions </w:t>
            </w:r>
          </w:p>
        </w:tc>
        <w:tc>
          <w:tcPr>
            <w:tcBorders>
              <w:top w:color="000000" w:space="0" w:sz="0" w:val="nil"/>
              <w:left w:color="000000" w:space="0" w:sz="0" w:val="nil"/>
              <w:bottom w:color="000000" w:space="0" w:sz="5" w:val="single"/>
              <w:right w:color="000000" w:space="0" w:sz="0" w:val="nil"/>
            </w:tcBorders>
            <w:tcMar>
              <w:top w:w="-226.7716535433071" w:type="dxa"/>
              <w:left w:w="-226.7716535433071" w:type="dxa"/>
              <w:bottom w:w="-226.7716535433071" w:type="dxa"/>
              <w:right w:w="-226.7716535433071" w:type="dxa"/>
            </w:tcMar>
            <w:vAlign w:val="center"/>
          </w:tcPr>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Entire system developed, debugged, and tested within the environment </w:t>
            </w:r>
          </w:p>
        </w:tc>
      </w:tr>
    </w:tbl>
    <w:p w:rsidR="00000000" w:rsidDel="00000000" w:rsidP="00000000" w:rsidRDefault="00000000" w:rsidRPr="00000000" w14:paraId="00000108">
      <w:pPr>
        <w:spacing w:after="160" w:line="240" w:lineRule="auto"/>
        <w:ind w:right="-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stack forms a practical foundation for enforcing Socratic tutoring rules without compromising institutional data sovereignty. This makes the system scalable, secure, and pedagogically grounded. Each choice directly addresses a limitation identified in the literature review.</w:t>
      </w:r>
      <w:r w:rsidDel="00000000" w:rsidR="00000000" w:rsidRPr="00000000">
        <w:rPr>
          <w:rFonts w:ascii="Times New Roman" w:cs="Times New Roman" w:eastAsia="Times New Roman" w:hAnsi="Times New Roman"/>
          <w:shd w:fill="c6c6c6" w:val="clear"/>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9">
      <w:pPr>
        <w:spacing w:after="160" w:line="240" w:lineRule="auto"/>
        <w:ind w:left="0" w:right="-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 Developments </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9932861328125" w:right="-145.866141732282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lit review section said this and this is what we used. </w:t>
      </w:r>
      <w:r w:rsidDel="00000000" w:rsidR="00000000" w:rsidRPr="00000000">
        <w:rPr>
          <w:rFonts w:ascii="Times New Roman" w:cs="Times New Roman" w:eastAsia="Times New Roman" w:hAnsi="Times New Roman"/>
          <w:rtl w:val="0"/>
        </w:rPr>
        <w:t xml:space="preserve">Describe the progress made in building the system and present any mockups or prototypes developed. Development has commenced/will commence. Describe mockups or wireframes created for the system interface (include a figure showing the mockup). </w:t>
        <w:tab/>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9932861328125" w:right="-145.8661417322827" w:firstLine="704.600067138671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Explain the technical tools evaluated during development (such as, testing Ollama's performance, vector database selection, Flask routing tests). Discuss any challenges encountered during development and how they were addressed. State the current development status (such as, “The backend agent architecture has been implemented, and the frontend mockups have been designed”).</w:t>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9932861328125" w:right="-145.8661417322827" w:firstLine="704.6000671386719"/>
        <w:jc w:val="both"/>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19921875" w:right="-145.8661417322827"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 Results </w:t>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59918212890625" w:right="-145.8661417322827" w:firstLine="354.220123291015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the findings from evaluating the system's performance. Development has not yet commenced. This section outlines anticipated results. Comparative evaluation. Intended outcome. Mention the evaluation results using the metrics defined in Section 3.4 (Accuracy, Precision, Recall, F1-score). Show graphs or tables comparing the performance of the proposed hybrid system against baseline approaches (such as, standalone LLM, rule-based system). Discuss the results, what do the numbers tell us about the system's strengths and weaknesses?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59918212890625" w:right="-145.8661417322827" w:firstLine="354.220123291015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performance across different query types or subject areas. Mention any limitations observed during testing (such as, latency issues, certain topics where accuracy was lower).</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59918212890625" w:right="-145.8661417322827" w:firstLine="354.2201232910156"/>
        <w:jc w:val="both"/>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59918212890625" w:right="-145.8661417322827"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 Business Benefits </w:t>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59918212890625" w:right="-145.866141732282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the system has not yet been developed, its design is expected to deliver the following institutional and operational benefits once implemented. Reduced tutor bottleneck. The practical value and impact the system would bring to institutions, educators, and students.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59918212890625" w:right="-145.8661417322827" w:firstLine="701.240081787109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for diverse learning needs, improved student retention and outcomes, Cost savings from reduced need for additional tutoring staff; scalable AI solution that grows with student numbers. Improved graduation rates; better-prepared graduates for the workforce.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59918212890625" w:right="-145.8661417322827" w:firstLine="0"/>
        <w:jc w:val="both"/>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19921875" w:right="-145.8661417322827"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7. Conclusions</w:t>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19921875" w:right="-145.866141732282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Summarise the study, reflect on the findings, and suggest future work. This paper reviewed 24 studies to identify the core weaknesses of AI-based tutoring over-reliance, hallucination, and weak pedagogical grounding and proposed a hybrid LLM–RAG–MIA architecture with pedagogical scaffolding to address them.</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19921875" w:right="-145.866141732282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Future work includes full implementation, etc. Ultimately, AI should serve as a collaborative partner in knowledge construction rather than a substitute for critical thinking.</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19921875" w:right="-145.8661417322827" w:firstLine="0"/>
        <w:jc w:val="both"/>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19921875" w:right="-145.8661417322827" w:firstLine="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Acknowledgements </w:t>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10986328125" w:right="-145.8661417322827" w:firstLine="3.119964599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authors acknowledge the use of content generated by Artificial Intelligence (AI)  (including but not limited to text, figures, images, and code) in the paper entitled "Enter  Paper Title" in the following ways: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4500732421875" w:line="240" w:lineRule="auto"/>
        <w:ind w:left="15.5999755859375" w:right="-145.8661417322827" w:hanging="2.8799438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&lt;Brief Explanation of each way use of content generated by AI/Generative AI has been  leveraged/incorporated in the paper&gt;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4503173828125" w:line="240" w:lineRule="auto"/>
        <w:ind w:left="13.719940185546875" w:right="-145.8661417322827"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References </w:t>
      </w:r>
    </w:p>
    <w:p w:rsidR="00000000" w:rsidDel="00000000" w:rsidP="00000000" w:rsidRDefault="00000000" w:rsidRPr="00000000" w14:paraId="0000011D">
      <w:pPr>
        <w:spacing w:line="240" w:lineRule="auto"/>
        <w:ind w:left="504.00000000000006" w:right="-145.8661417322827"/>
        <w:jc w:val="both"/>
        <w:rPr>
          <w:rFonts w:ascii="Times New Roman" w:cs="Times New Roman" w:eastAsia="Times New Roman" w:hAnsi="Times New Roman"/>
          <w:sz w:val="18"/>
          <w:szCs w:val="18"/>
        </w:rPr>
      </w:pPr>
      <w:hyperlink r:id="rId18">
        <w:r w:rsidDel="00000000" w:rsidR="00000000" w:rsidRPr="00000000">
          <w:rPr>
            <w:rFonts w:ascii="Times New Roman" w:cs="Times New Roman" w:eastAsia="Times New Roman" w:hAnsi="Times New Roman"/>
            <w:sz w:val="18"/>
            <w:szCs w:val="18"/>
            <w:rtl w:val="0"/>
          </w:rPr>
          <w:t xml:space="preserve">[1]</w:t>
        </w:r>
      </w:hyperlink>
      <w:r w:rsidDel="00000000" w:rsidR="00000000" w:rsidRPr="00000000">
        <w:rPr>
          <w:rFonts w:ascii="Times New Roman" w:cs="Times New Roman" w:eastAsia="Times New Roman" w:hAnsi="Times New Roman"/>
          <w:sz w:val="18"/>
          <w:szCs w:val="18"/>
          <w:rtl w:val="0"/>
        </w:rPr>
        <w:tab/>
      </w:r>
      <w:hyperlink r:id="rId19">
        <w:r w:rsidDel="00000000" w:rsidR="00000000" w:rsidRPr="00000000">
          <w:rPr>
            <w:rFonts w:ascii="Times New Roman" w:cs="Times New Roman" w:eastAsia="Times New Roman" w:hAnsi="Times New Roman"/>
            <w:sz w:val="18"/>
            <w:szCs w:val="18"/>
            <w:rtl w:val="0"/>
          </w:rPr>
          <w:t xml:space="preserve">B. Nayanakantha, M. A. P. P. Dayarathne, and R. L. W. Koggalage, “Enhancing SQL Query Learning Using Chatbot with NLP: A Methodical Review,” in 2025 9th SLAAI International Conference on Artificial Intelligence (SLAAI-ICAI), Colombo, Sri Lanka: IEEE, Nov. 2025, pp. 1–6. doi: 10.1109/SLAAI-ICAI68534.2025.11318499. </w:t>
        </w:r>
      </w:hyperlink>
      <w:r w:rsidDel="00000000" w:rsidR="00000000" w:rsidRPr="00000000">
        <w:rPr>
          <w:rtl w:val="0"/>
        </w:rPr>
      </w:r>
    </w:p>
    <w:p w:rsidR="00000000" w:rsidDel="00000000" w:rsidP="00000000" w:rsidRDefault="00000000" w:rsidRPr="00000000" w14:paraId="0000011E">
      <w:pPr>
        <w:spacing w:line="240" w:lineRule="auto"/>
        <w:ind w:left="504.00000000000006" w:right="-145.8661417322827"/>
        <w:jc w:val="both"/>
        <w:rPr>
          <w:rFonts w:ascii="Times New Roman" w:cs="Times New Roman" w:eastAsia="Times New Roman" w:hAnsi="Times New Roman"/>
          <w:sz w:val="18"/>
          <w:szCs w:val="18"/>
        </w:rPr>
      </w:pPr>
      <w:hyperlink r:id="rId20">
        <w:r w:rsidDel="00000000" w:rsidR="00000000" w:rsidRPr="00000000">
          <w:rPr>
            <w:rFonts w:ascii="Times New Roman" w:cs="Times New Roman" w:eastAsia="Times New Roman" w:hAnsi="Times New Roman"/>
            <w:sz w:val="18"/>
            <w:szCs w:val="18"/>
            <w:rtl w:val="0"/>
          </w:rPr>
          <w:t xml:space="preserve">[2]</w:t>
        </w:r>
      </w:hyperlink>
      <w:r w:rsidDel="00000000" w:rsidR="00000000" w:rsidRPr="00000000">
        <w:rPr>
          <w:rFonts w:ascii="Times New Roman" w:cs="Times New Roman" w:eastAsia="Times New Roman" w:hAnsi="Times New Roman"/>
          <w:sz w:val="18"/>
          <w:szCs w:val="18"/>
          <w:rtl w:val="0"/>
        </w:rPr>
        <w:tab/>
      </w:r>
      <w:hyperlink r:id="rId21">
        <w:r w:rsidDel="00000000" w:rsidR="00000000" w:rsidRPr="00000000">
          <w:rPr>
            <w:rFonts w:ascii="Times New Roman" w:cs="Times New Roman" w:eastAsia="Times New Roman" w:hAnsi="Times New Roman"/>
            <w:sz w:val="18"/>
            <w:szCs w:val="18"/>
            <w:rtl w:val="0"/>
          </w:rPr>
          <w:t xml:space="preserve">T. Jackson, N. Mware, and H. Jiang, “WIP: Developing AI-Powered Chatbots as Learning Assistants: A Work-in-Progress Study on Enhancing Undergraduate Computer Science Education,” in 2025 IEEE Frontiers in Education Conference (FIE), Nashville, TN, USA: IEEE, Nov. 2025, pp. 1–5. doi: 10.1109/FIE63693.2025.11328214. </w:t>
        </w:r>
      </w:hyperlink>
      <w:r w:rsidDel="00000000" w:rsidR="00000000" w:rsidRPr="00000000">
        <w:rPr>
          <w:rtl w:val="0"/>
        </w:rPr>
      </w:r>
    </w:p>
    <w:p w:rsidR="00000000" w:rsidDel="00000000" w:rsidP="00000000" w:rsidRDefault="00000000" w:rsidRPr="00000000" w14:paraId="0000011F">
      <w:pPr>
        <w:spacing w:line="240" w:lineRule="auto"/>
        <w:ind w:left="504.00000000000006" w:right="-145.8661417322827"/>
        <w:jc w:val="both"/>
        <w:rPr>
          <w:rFonts w:ascii="Times New Roman" w:cs="Times New Roman" w:eastAsia="Times New Roman" w:hAnsi="Times New Roman"/>
          <w:sz w:val="18"/>
          <w:szCs w:val="18"/>
        </w:rPr>
      </w:pPr>
      <w:hyperlink r:id="rId22">
        <w:r w:rsidDel="00000000" w:rsidR="00000000" w:rsidRPr="00000000">
          <w:rPr>
            <w:rFonts w:ascii="Times New Roman" w:cs="Times New Roman" w:eastAsia="Times New Roman" w:hAnsi="Times New Roman"/>
            <w:sz w:val="18"/>
            <w:szCs w:val="18"/>
            <w:rtl w:val="0"/>
          </w:rPr>
          <w:t xml:space="preserve">[3]</w:t>
        </w:r>
      </w:hyperlink>
      <w:r w:rsidDel="00000000" w:rsidR="00000000" w:rsidRPr="00000000">
        <w:rPr>
          <w:rFonts w:ascii="Times New Roman" w:cs="Times New Roman" w:eastAsia="Times New Roman" w:hAnsi="Times New Roman"/>
          <w:sz w:val="18"/>
          <w:szCs w:val="18"/>
          <w:rtl w:val="0"/>
        </w:rPr>
        <w:tab/>
      </w:r>
      <w:hyperlink r:id="rId23">
        <w:r w:rsidDel="00000000" w:rsidR="00000000" w:rsidRPr="00000000">
          <w:rPr>
            <w:rFonts w:ascii="Times New Roman" w:cs="Times New Roman" w:eastAsia="Times New Roman" w:hAnsi="Times New Roman"/>
            <w:sz w:val="18"/>
            <w:szCs w:val="18"/>
            <w:rtl w:val="0"/>
          </w:rPr>
          <w:t xml:space="preserve">S. O. Branisteanu, L. Alboaie, and A. Panu, “Capturing the changing landscape of student code in an era defined by AI,” Procedia Comput. Sci., vol. 270, pp. 2336–2345, 2025, doi: 10.1016/j.procs.2025.09.355. </w:t>
        </w:r>
      </w:hyperlink>
      <w:r w:rsidDel="00000000" w:rsidR="00000000" w:rsidRPr="00000000">
        <w:rPr>
          <w:rtl w:val="0"/>
        </w:rPr>
      </w:r>
    </w:p>
    <w:p w:rsidR="00000000" w:rsidDel="00000000" w:rsidP="00000000" w:rsidRDefault="00000000" w:rsidRPr="00000000" w14:paraId="00000120">
      <w:pPr>
        <w:spacing w:line="240" w:lineRule="auto"/>
        <w:ind w:left="504.00000000000006" w:right="-145.8661417322827"/>
        <w:jc w:val="both"/>
        <w:rPr>
          <w:rFonts w:ascii="Times New Roman" w:cs="Times New Roman" w:eastAsia="Times New Roman" w:hAnsi="Times New Roman"/>
          <w:sz w:val="18"/>
          <w:szCs w:val="18"/>
        </w:rPr>
      </w:pPr>
      <w:hyperlink r:id="rId24">
        <w:r w:rsidDel="00000000" w:rsidR="00000000" w:rsidRPr="00000000">
          <w:rPr>
            <w:rFonts w:ascii="Times New Roman" w:cs="Times New Roman" w:eastAsia="Times New Roman" w:hAnsi="Times New Roman"/>
            <w:sz w:val="18"/>
            <w:szCs w:val="18"/>
            <w:rtl w:val="0"/>
          </w:rPr>
          <w:t xml:space="preserve">[4]</w:t>
        </w:r>
      </w:hyperlink>
      <w:r w:rsidDel="00000000" w:rsidR="00000000" w:rsidRPr="00000000">
        <w:rPr>
          <w:rFonts w:ascii="Times New Roman" w:cs="Times New Roman" w:eastAsia="Times New Roman" w:hAnsi="Times New Roman"/>
          <w:sz w:val="18"/>
          <w:szCs w:val="18"/>
          <w:rtl w:val="0"/>
        </w:rPr>
        <w:tab/>
      </w:r>
      <w:hyperlink r:id="rId25">
        <w:r w:rsidDel="00000000" w:rsidR="00000000" w:rsidRPr="00000000">
          <w:rPr>
            <w:rFonts w:ascii="Times New Roman" w:cs="Times New Roman" w:eastAsia="Times New Roman" w:hAnsi="Times New Roman"/>
            <w:sz w:val="18"/>
            <w:szCs w:val="18"/>
            <w:rtl w:val="0"/>
          </w:rPr>
          <w:t xml:space="preserve">D. Fernandes et al., “AI makes you smarter but none the wiser: The disconnect between performance and metacognition,” Comput. Hum. Behav., vol. 175, p. 108779, Feb. 2026, doi: 10.1016/j.chb.2025.108779. </w:t>
        </w:r>
      </w:hyperlink>
      <w:r w:rsidDel="00000000" w:rsidR="00000000" w:rsidRPr="00000000">
        <w:rPr>
          <w:rtl w:val="0"/>
        </w:rPr>
      </w:r>
    </w:p>
    <w:p w:rsidR="00000000" w:rsidDel="00000000" w:rsidP="00000000" w:rsidRDefault="00000000" w:rsidRPr="00000000" w14:paraId="00000121">
      <w:pPr>
        <w:spacing w:line="240" w:lineRule="auto"/>
        <w:ind w:left="504.00000000000006" w:right="-145.8661417322827"/>
        <w:jc w:val="both"/>
        <w:rPr>
          <w:rFonts w:ascii="Times New Roman" w:cs="Times New Roman" w:eastAsia="Times New Roman" w:hAnsi="Times New Roman"/>
          <w:sz w:val="18"/>
          <w:szCs w:val="18"/>
        </w:rPr>
      </w:pPr>
      <w:hyperlink r:id="rId26">
        <w:r w:rsidDel="00000000" w:rsidR="00000000" w:rsidRPr="00000000">
          <w:rPr>
            <w:rFonts w:ascii="Times New Roman" w:cs="Times New Roman" w:eastAsia="Times New Roman" w:hAnsi="Times New Roman"/>
            <w:sz w:val="18"/>
            <w:szCs w:val="18"/>
            <w:rtl w:val="0"/>
          </w:rPr>
          <w:t xml:space="preserve">[5]</w:t>
        </w:r>
      </w:hyperlink>
      <w:r w:rsidDel="00000000" w:rsidR="00000000" w:rsidRPr="00000000">
        <w:rPr>
          <w:rFonts w:ascii="Times New Roman" w:cs="Times New Roman" w:eastAsia="Times New Roman" w:hAnsi="Times New Roman"/>
          <w:sz w:val="18"/>
          <w:szCs w:val="18"/>
          <w:rtl w:val="0"/>
        </w:rPr>
        <w:tab/>
      </w:r>
      <w:hyperlink r:id="rId27">
        <w:r w:rsidDel="00000000" w:rsidR="00000000" w:rsidRPr="00000000">
          <w:rPr>
            <w:rFonts w:ascii="Times New Roman" w:cs="Times New Roman" w:eastAsia="Times New Roman" w:hAnsi="Times New Roman"/>
            <w:sz w:val="18"/>
            <w:szCs w:val="18"/>
            <w:rtl w:val="0"/>
          </w:rPr>
          <w:t xml:space="preserve">N. Pham, H. Pham Ngoc, and A. Nguyen-Duc, “Fairness for machine learning software in education: A systematic mapping study,” J. Syst. Softw., vol. 219, p. 112244, Jan. 2025, doi: 10.1016/j.jss.2024.112244. </w:t>
        </w:r>
      </w:hyperlink>
      <w:r w:rsidDel="00000000" w:rsidR="00000000" w:rsidRPr="00000000">
        <w:rPr>
          <w:rtl w:val="0"/>
        </w:rPr>
      </w:r>
    </w:p>
    <w:p w:rsidR="00000000" w:rsidDel="00000000" w:rsidP="00000000" w:rsidRDefault="00000000" w:rsidRPr="00000000" w14:paraId="00000122">
      <w:pPr>
        <w:spacing w:line="240" w:lineRule="auto"/>
        <w:ind w:left="504.00000000000006" w:right="-145.8661417322827"/>
        <w:jc w:val="both"/>
        <w:rPr>
          <w:rFonts w:ascii="Times New Roman" w:cs="Times New Roman" w:eastAsia="Times New Roman" w:hAnsi="Times New Roman"/>
          <w:sz w:val="18"/>
          <w:szCs w:val="18"/>
        </w:rPr>
      </w:pPr>
      <w:hyperlink r:id="rId28">
        <w:r w:rsidDel="00000000" w:rsidR="00000000" w:rsidRPr="00000000">
          <w:rPr>
            <w:rFonts w:ascii="Times New Roman" w:cs="Times New Roman" w:eastAsia="Times New Roman" w:hAnsi="Times New Roman"/>
            <w:sz w:val="18"/>
            <w:szCs w:val="18"/>
            <w:rtl w:val="0"/>
          </w:rPr>
          <w:t xml:space="preserve">[6]</w:t>
        </w:r>
      </w:hyperlink>
      <w:r w:rsidDel="00000000" w:rsidR="00000000" w:rsidRPr="00000000">
        <w:rPr>
          <w:rFonts w:ascii="Times New Roman" w:cs="Times New Roman" w:eastAsia="Times New Roman" w:hAnsi="Times New Roman"/>
          <w:sz w:val="18"/>
          <w:szCs w:val="18"/>
          <w:rtl w:val="0"/>
        </w:rPr>
        <w:tab/>
      </w:r>
      <w:hyperlink r:id="rId29">
        <w:r w:rsidDel="00000000" w:rsidR="00000000" w:rsidRPr="00000000">
          <w:rPr>
            <w:rFonts w:ascii="Times New Roman" w:cs="Times New Roman" w:eastAsia="Times New Roman" w:hAnsi="Times New Roman"/>
            <w:sz w:val="18"/>
            <w:szCs w:val="18"/>
            <w:rtl w:val="0"/>
          </w:rPr>
          <w:t xml:space="preserve">H. Chniti, A. Hadyaoui, and L. Cheniti-Belcadhi, “Multi-Intelligent Agents and Generative AI in Learner Assessment: A Scoping Review of Research Trends, Challenges, and Hybrid Opportunities,” Procedia Comput. Sci., vol. 270, pp. 3340–3351, 2025, doi: 10.1016/j.procs.2025.09.459. </w:t>
        </w:r>
      </w:hyperlink>
      <w:r w:rsidDel="00000000" w:rsidR="00000000" w:rsidRPr="00000000">
        <w:rPr>
          <w:rtl w:val="0"/>
        </w:rPr>
      </w:r>
    </w:p>
    <w:p w:rsidR="00000000" w:rsidDel="00000000" w:rsidP="00000000" w:rsidRDefault="00000000" w:rsidRPr="00000000" w14:paraId="00000123">
      <w:pPr>
        <w:spacing w:line="240" w:lineRule="auto"/>
        <w:ind w:left="504.00000000000006" w:right="-145.8661417322827"/>
        <w:jc w:val="both"/>
        <w:rPr>
          <w:rFonts w:ascii="Times New Roman" w:cs="Times New Roman" w:eastAsia="Times New Roman" w:hAnsi="Times New Roman"/>
          <w:sz w:val="18"/>
          <w:szCs w:val="18"/>
        </w:rPr>
      </w:pPr>
      <w:hyperlink r:id="rId30">
        <w:r w:rsidDel="00000000" w:rsidR="00000000" w:rsidRPr="00000000">
          <w:rPr>
            <w:rFonts w:ascii="Times New Roman" w:cs="Times New Roman" w:eastAsia="Times New Roman" w:hAnsi="Times New Roman"/>
            <w:sz w:val="18"/>
            <w:szCs w:val="18"/>
            <w:rtl w:val="0"/>
          </w:rPr>
          <w:t xml:space="preserve">[7]</w:t>
        </w:r>
      </w:hyperlink>
      <w:r w:rsidDel="00000000" w:rsidR="00000000" w:rsidRPr="00000000">
        <w:rPr>
          <w:rFonts w:ascii="Times New Roman" w:cs="Times New Roman" w:eastAsia="Times New Roman" w:hAnsi="Times New Roman"/>
          <w:sz w:val="18"/>
          <w:szCs w:val="18"/>
          <w:rtl w:val="0"/>
        </w:rPr>
        <w:tab/>
      </w:r>
      <w:hyperlink r:id="rId31">
        <w:r w:rsidDel="00000000" w:rsidR="00000000" w:rsidRPr="00000000">
          <w:rPr>
            <w:rFonts w:ascii="Times New Roman" w:cs="Times New Roman" w:eastAsia="Times New Roman" w:hAnsi="Times New Roman"/>
            <w:sz w:val="18"/>
            <w:szCs w:val="18"/>
            <w:rtl w:val="0"/>
          </w:rPr>
          <w:t xml:space="preserve">P. Jayakumar, P. Priyadharshini, M. S. Nisha, A. T, K. Savitha, and G. Hariharan, “AI-Powered English Language Learning Systems: A Framework for Personalized Education Using Natural Language Processing,” in 2025 2nd International Conference on Artificial Intelligence and Knowledge Discovery in Concurrent Engineering (ICECONF), Chennai, India: IEEE, Oct. 2025, pp. 1–7. doi: 10.1109/ICECONF65644.2025.11379566. </w:t>
        </w:r>
      </w:hyperlink>
      <w:r w:rsidDel="00000000" w:rsidR="00000000" w:rsidRPr="00000000">
        <w:rPr>
          <w:rtl w:val="0"/>
        </w:rPr>
      </w:r>
    </w:p>
    <w:p w:rsidR="00000000" w:rsidDel="00000000" w:rsidP="00000000" w:rsidRDefault="00000000" w:rsidRPr="00000000" w14:paraId="00000124">
      <w:pPr>
        <w:spacing w:line="240" w:lineRule="auto"/>
        <w:ind w:left="504.00000000000006" w:right="-145.8661417322827"/>
        <w:jc w:val="both"/>
        <w:rPr>
          <w:rFonts w:ascii="Times New Roman" w:cs="Times New Roman" w:eastAsia="Times New Roman" w:hAnsi="Times New Roman"/>
          <w:sz w:val="18"/>
          <w:szCs w:val="18"/>
        </w:rPr>
      </w:pPr>
      <w:hyperlink r:id="rId32">
        <w:r w:rsidDel="00000000" w:rsidR="00000000" w:rsidRPr="00000000">
          <w:rPr>
            <w:rFonts w:ascii="Times New Roman" w:cs="Times New Roman" w:eastAsia="Times New Roman" w:hAnsi="Times New Roman"/>
            <w:sz w:val="18"/>
            <w:szCs w:val="18"/>
            <w:rtl w:val="0"/>
          </w:rPr>
          <w:t xml:space="preserve">[8]</w:t>
        </w:r>
      </w:hyperlink>
      <w:r w:rsidDel="00000000" w:rsidR="00000000" w:rsidRPr="00000000">
        <w:rPr>
          <w:rFonts w:ascii="Times New Roman" w:cs="Times New Roman" w:eastAsia="Times New Roman" w:hAnsi="Times New Roman"/>
          <w:sz w:val="18"/>
          <w:szCs w:val="18"/>
          <w:rtl w:val="0"/>
        </w:rPr>
        <w:tab/>
      </w:r>
      <w:hyperlink r:id="rId33">
        <w:r w:rsidDel="00000000" w:rsidR="00000000" w:rsidRPr="00000000">
          <w:rPr>
            <w:rFonts w:ascii="Times New Roman" w:cs="Times New Roman" w:eastAsia="Times New Roman" w:hAnsi="Times New Roman"/>
            <w:sz w:val="18"/>
            <w:szCs w:val="18"/>
            <w:rtl w:val="0"/>
          </w:rPr>
          <w:t xml:space="preserve">H. Tebourbi, S. Nouzri, Y. Mualla, and A. Abbas-Turki, “Artificial Intelligence Agents for Personalized Adaptive Learning,” Procedia Comput. Sci., vol. 265, pp. 252–259, 2025, doi: 10.1016/j.procs.2025.07.179. </w:t>
        </w:r>
      </w:hyperlink>
      <w:r w:rsidDel="00000000" w:rsidR="00000000" w:rsidRPr="00000000">
        <w:rPr>
          <w:rtl w:val="0"/>
        </w:rPr>
      </w:r>
    </w:p>
    <w:p w:rsidR="00000000" w:rsidDel="00000000" w:rsidP="00000000" w:rsidRDefault="00000000" w:rsidRPr="00000000" w14:paraId="00000125">
      <w:pPr>
        <w:spacing w:line="240" w:lineRule="auto"/>
        <w:ind w:left="504.00000000000006" w:right="-145.8661417322827"/>
        <w:jc w:val="both"/>
        <w:rPr>
          <w:rFonts w:ascii="Times New Roman" w:cs="Times New Roman" w:eastAsia="Times New Roman" w:hAnsi="Times New Roman"/>
          <w:sz w:val="18"/>
          <w:szCs w:val="18"/>
        </w:rPr>
      </w:pPr>
      <w:hyperlink r:id="rId34">
        <w:r w:rsidDel="00000000" w:rsidR="00000000" w:rsidRPr="00000000">
          <w:rPr>
            <w:rFonts w:ascii="Times New Roman" w:cs="Times New Roman" w:eastAsia="Times New Roman" w:hAnsi="Times New Roman"/>
            <w:sz w:val="18"/>
            <w:szCs w:val="18"/>
            <w:rtl w:val="0"/>
          </w:rPr>
          <w:t xml:space="preserve">[9]</w:t>
        </w:r>
      </w:hyperlink>
      <w:r w:rsidDel="00000000" w:rsidR="00000000" w:rsidRPr="00000000">
        <w:rPr>
          <w:rFonts w:ascii="Times New Roman" w:cs="Times New Roman" w:eastAsia="Times New Roman" w:hAnsi="Times New Roman"/>
          <w:sz w:val="18"/>
          <w:szCs w:val="18"/>
          <w:rtl w:val="0"/>
        </w:rPr>
        <w:tab/>
      </w:r>
      <w:hyperlink r:id="rId35">
        <w:r w:rsidDel="00000000" w:rsidR="00000000" w:rsidRPr="00000000">
          <w:rPr>
            <w:rFonts w:ascii="Times New Roman" w:cs="Times New Roman" w:eastAsia="Times New Roman" w:hAnsi="Times New Roman"/>
            <w:sz w:val="18"/>
            <w:szCs w:val="18"/>
            <w:rtl w:val="0"/>
          </w:rPr>
          <w:t xml:space="preserve">B. J. Corbett and J. M. Tangen, “AI tutors vs. tenacious myths: Evidence from personalised dialogue interventions in education,” Comput. Hum. Behav., vol. 175, p. 108828, Feb. 2026, doi: 10.1016/j.chb.2025.108828. </w:t>
        </w:r>
      </w:hyperlink>
      <w:r w:rsidDel="00000000" w:rsidR="00000000" w:rsidRPr="00000000">
        <w:rPr>
          <w:rtl w:val="0"/>
        </w:rPr>
      </w:r>
    </w:p>
    <w:p w:rsidR="00000000" w:rsidDel="00000000" w:rsidP="00000000" w:rsidRDefault="00000000" w:rsidRPr="00000000" w14:paraId="00000126">
      <w:pPr>
        <w:spacing w:line="240" w:lineRule="auto"/>
        <w:ind w:left="504.00000000000006" w:right="-145.8661417322827"/>
        <w:jc w:val="both"/>
        <w:rPr>
          <w:rFonts w:ascii="Times New Roman" w:cs="Times New Roman" w:eastAsia="Times New Roman" w:hAnsi="Times New Roman"/>
          <w:sz w:val="18"/>
          <w:szCs w:val="18"/>
        </w:rPr>
      </w:pPr>
      <w:hyperlink r:id="rId36">
        <w:r w:rsidDel="00000000" w:rsidR="00000000" w:rsidRPr="00000000">
          <w:rPr>
            <w:rFonts w:ascii="Times New Roman" w:cs="Times New Roman" w:eastAsia="Times New Roman" w:hAnsi="Times New Roman"/>
            <w:sz w:val="18"/>
            <w:szCs w:val="18"/>
            <w:rtl w:val="0"/>
          </w:rPr>
          <w:t xml:space="preserve">[10]</w:t>
        </w:r>
      </w:hyperlink>
      <w:r w:rsidDel="00000000" w:rsidR="00000000" w:rsidRPr="00000000">
        <w:rPr>
          <w:rFonts w:ascii="Times New Roman" w:cs="Times New Roman" w:eastAsia="Times New Roman" w:hAnsi="Times New Roman"/>
          <w:sz w:val="18"/>
          <w:szCs w:val="18"/>
          <w:rtl w:val="0"/>
        </w:rPr>
        <w:tab/>
      </w:r>
      <w:hyperlink r:id="rId37">
        <w:r w:rsidDel="00000000" w:rsidR="00000000" w:rsidRPr="00000000">
          <w:rPr>
            <w:rFonts w:ascii="Times New Roman" w:cs="Times New Roman" w:eastAsia="Times New Roman" w:hAnsi="Times New Roman"/>
            <w:sz w:val="18"/>
            <w:szCs w:val="18"/>
            <w:rtl w:val="0"/>
          </w:rPr>
          <w:t xml:space="preserve">Y. Chen, K. K. Chai, J. Loo, R. Moosaei, and J. Obstfeld, “GenAI-Empowered Group-Based Authentic Assessment for Network Engineering Courses,” in 2025 IEEE Global Engineering Education Conference (EDUCON), London, United Kingdom: IEEE, Apr. 2025, pp. 1–7. doi: 10.1109/EDUCON62633.2025.11016382. </w:t>
        </w:r>
      </w:hyperlink>
      <w:r w:rsidDel="00000000" w:rsidR="00000000" w:rsidRPr="00000000">
        <w:rPr>
          <w:rtl w:val="0"/>
        </w:rPr>
      </w:r>
    </w:p>
    <w:p w:rsidR="00000000" w:rsidDel="00000000" w:rsidP="00000000" w:rsidRDefault="00000000" w:rsidRPr="00000000" w14:paraId="00000127">
      <w:pPr>
        <w:spacing w:line="240" w:lineRule="auto"/>
        <w:ind w:left="504.00000000000006" w:right="-145.8661417322827"/>
        <w:jc w:val="both"/>
        <w:rPr>
          <w:rFonts w:ascii="Times New Roman" w:cs="Times New Roman" w:eastAsia="Times New Roman" w:hAnsi="Times New Roman"/>
          <w:sz w:val="18"/>
          <w:szCs w:val="18"/>
        </w:rPr>
      </w:pPr>
      <w:hyperlink r:id="rId38">
        <w:r w:rsidDel="00000000" w:rsidR="00000000" w:rsidRPr="00000000">
          <w:rPr>
            <w:rFonts w:ascii="Times New Roman" w:cs="Times New Roman" w:eastAsia="Times New Roman" w:hAnsi="Times New Roman"/>
            <w:sz w:val="18"/>
            <w:szCs w:val="18"/>
            <w:rtl w:val="0"/>
          </w:rPr>
          <w:t xml:space="preserve">[11]</w:t>
        </w:r>
      </w:hyperlink>
      <w:r w:rsidDel="00000000" w:rsidR="00000000" w:rsidRPr="00000000">
        <w:rPr>
          <w:rFonts w:ascii="Times New Roman" w:cs="Times New Roman" w:eastAsia="Times New Roman" w:hAnsi="Times New Roman"/>
          <w:sz w:val="18"/>
          <w:szCs w:val="18"/>
          <w:rtl w:val="0"/>
        </w:rPr>
        <w:tab/>
      </w:r>
      <w:hyperlink r:id="rId39">
        <w:r w:rsidDel="00000000" w:rsidR="00000000" w:rsidRPr="00000000">
          <w:rPr>
            <w:rFonts w:ascii="Times New Roman" w:cs="Times New Roman" w:eastAsia="Times New Roman" w:hAnsi="Times New Roman"/>
            <w:sz w:val="18"/>
            <w:szCs w:val="18"/>
            <w:rtl w:val="0"/>
          </w:rPr>
          <w:t xml:space="preserve">M. Nguyen, R. Agarwal, A. Malik, and R. Pandey, “Generative AI: elevating knowledge acquisition and retention and recall through autonomy, interactivity and engagement,” J. Enterp. Inf. Manag., vol. 38, no. 6, pp. 1692–1719, Dec. 2025, doi: 10.1108/JEIM-08-2024-0433. </w:t>
        </w:r>
      </w:hyperlink>
      <w:r w:rsidDel="00000000" w:rsidR="00000000" w:rsidRPr="00000000">
        <w:rPr>
          <w:rtl w:val="0"/>
        </w:rPr>
      </w:r>
    </w:p>
    <w:p w:rsidR="00000000" w:rsidDel="00000000" w:rsidP="00000000" w:rsidRDefault="00000000" w:rsidRPr="00000000" w14:paraId="00000128">
      <w:pPr>
        <w:spacing w:line="240" w:lineRule="auto"/>
        <w:ind w:left="504.00000000000006" w:right="-145.8661417322827"/>
        <w:jc w:val="both"/>
        <w:rPr>
          <w:rFonts w:ascii="Times New Roman" w:cs="Times New Roman" w:eastAsia="Times New Roman" w:hAnsi="Times New Roman"/>
          <w:sz w:val="18"/>
          <w:szCs w:val="18"/>
        </w:rPr>
      </w:pPr>
      <w:hyperlink r:id="rId40">
        <w:r w:rsidDel="00000000" w:rsidR="00000000" w:rsidRPr="00000000">
          <w:rPr>
            <w:rFonts w:ascii="Times New Roman" w:cs="Times New Roman" w:eastAsia="Times New Roman" w:hAnsi="Times New Roman"/>
            <w:sz w:val="18"/>
            <w:szCs w:val="18"/>
            <w:rtl w:val="0"/>
          </w:rPr>
          <w:t xml:space="preserve">[12]</w:t>
        </w:r>
      </w:hyperlink>
      <w:r w:rsidDel="00000000" w:rsidR="00000000" w:rsidRPr="00000000">
        <w:rPr>
          <w:rFonts w:ascii="Times New Roman" w:cs="Times New Roman" w:eastAsia="Times New Roman" w:hAnsi="Times New Roman"/>
          <w:sz w:val="18"/>
          <w:szCs w:val="18"/>
          <w:rtl w:val="0"/>
        </w:rPr>
        <w:tab/>
      </w:r>
      <w:hyperlink r:id="rId41">
        <w:r w:rsidDel="00000000" w:rsidR="00000000" w:rsidRPr="00000000">
          <w:rPr>
            <w:rFonts w:ascii="Times New Roman" w:cs="Times New Roman" w:eastAsia="Times New Roman" w:hAnsi="Times New Roman"/>
            <w:sz w:val="18"/>
            <w:szCs w:val="18"/>
            <w:rtl w:val="0"/>
          </w:rPr>
          <w:t xml:space="preserve">M. Wang, Z. Li, X. Zhao, and Q. Guo, “Eliminate-Then-Select: A human-centric reasoning framework for educational question answering with LLMs,” Inf. Process. Manag., vol. 63, no. 2, p. 104422, Mar. 2026, doi: 10.1016/j.ipm.2025.104422. </w:t>
        </w:r>
      </w:hyperlink>
      <w:r w:rsidDel="00000000" w:rsidR="00000000" w:rsidRPr="00000000">
        <w:rPr>
          <w:rtl w:val="0"/>
        </w:rPr>
      </w:r>
    </w:p>
    <w:p w:rsidR="00000000" w:rsidDel="00000000" w:rsidP="00000000" w:rsidRDefault="00000000" w:rsidRPr="00000000" w14:paraId="00000129">
      <w:pPr>
        <w:spacing w:line="240" w:lineRule="auto"/>
        <w:ind w:left="504.00000000000006" w:right="-145.8661417322827"/>
        <w:jc w:val="both"/>
        <w:rPr>
          <w:rFonts w:ascii="Times New Roman" w:cs="Times New Roman" w:eastAsia="Times New Roman" w:hAnsi="Times New Roman"/>
          <w:sz w:val="18"/>
          <w:szCs w:val="18"/>
        </w:rPr>
      </w:pPr>
      <w:hyperlink r:id="rId42">
        <w:r w:rsidDel="00000000" w:rsidR="00000000" w:rsidRPr="00000000">
          <w:rPr>
            <w:rFonts w:ascii="Times New Roman" w:cs="Times New Roman" w:eastAsia="Times New Roman" w:hAnsi="Times New Roman"/>
            <w:sz w:val="18"/>
            <w:szCs w:val="18"/>
            <w:rtl w:val="0"/>
          </w:rPr>
          <w:t xml:space="preserve">[13]</w:t>
        </w:r>
      </w:hyperlink>
      <w:r w:rsidDel="00000000" w:rsidR="00000000" w:rsidRPr="00000000">
        <w:rPr>
          <w:rFonts w:ascii="Times New Roman" w:cs="Times New Roman" w:eastAsia="Times New Roman" w:hAnsi="Times New Roman"/>
          <w:sz w:val="18"/>
          <w:szCs w:val="18"/>
          <w:rtl w:val="0"/>
        </w:rPr>
        <w:tab/>
      </w:r>
      <w:hyperlink r:id="rId43">
        <w:r w:rsidDel="00000000" w:rsidR="00000000" w:rsidRPr="00000000">
          <w:rPr>
            <w:rFonts w:ascii="Times New Roman" w:cs="Times New Roman" w:eastAsia="Times New Roman" w:hAnsi="Times New Roman"/>
            <w:sz w:val="18"/>
            <w:szCs w:val="18"/>
            <w:rtl w:val="0"/>
          </w:rPr>
          <w:t xml:space="preserve">J. Pasalkar, T. Gajbhiye, O. Ovhal, and S. Hanwate, “CodeBuddy – An AI-Powered Code Learning Buddy,” in 2025 IEEE 9th International Conference on Information and Communication Technology (CICT), Chennai, India: IEEE, Dec. 2025, pp. 1–5. doi: 10.1109/CICT67193.2025.11399106. </w:t>
        </w:r>
      </w:hyperlink>
      <w:r w:rsidDel="00000000" w:rsidR="00000000" w:rsidRPr="00000000">
        <w:rPr>
          <w:rtl w:val="0"/>
        </w:rPr>
      </w:r>
    </w:p>
    <w:p w:rsidR="00000000" w:rsidDel="00000000" w:rsidP="00000000" w:rsidRDefault="00000000" w:rsidRPr="00000000" w14:paraId="0000012A">
      <w:pPr>
        <w:spacing w:line="240" w:lineRule="auto"/>
        <w:ind w:left="504.00000000000006" w:right="-145.8661417322827"/>
        <w:jc w:val="both"/>
        <w:rPr>
          <w:rFonts w:ascii="Times New Roman" w:cs="Times New Roman" w:eastAsia="Times New Roman" w:hAnsi="Times New Roman"/>
          <w:sz w:val="18"/>
          <w:szCs w:val="18"/>
        </w:rPr>
      </w:pPr>
      <w:hyperlink r:id="rId44">
        <w:r w:rsidDel="00000000" w:rsidR="00000000" w:rsidRPr="00000000">
          <w:rPr>
            <w:rFonts w:ascii="Times New Roman" w:cs="Times New Roman" w:eastAsia="Times New Roman" w:hAnsi="Times New Roman"/>
            <w:sz w:val="18"/>
            <w:szCs w:val="18"/>
            <w:rtl w:val="0"/>
          </w:rPr>
          <w:t xml:space="preserve">[14]</w:t>
        </w:r>
      </w:hyperlink>
      <w:r w:rsidDel="00000000" w:rsidR="00000000" w:rsidRPr="00000000">
        <w:rPr>
          <w:rFonts w:ascii="Times New Roman" w:cs="Times New Roman" w:eastAsia="Times New Roman" w:hAnsi="Times New Roman"/>
          <w:sz w:val="18"/>
          <w:szCs w:val="18"/>
          <w:rtl w:val="0"/>
        </w:rPr>
        <w:tab/>
      </w:r>
      <w:hyperlink r:id="rId45">
        <w:r w:rsidDel="00000000" w:rsidR="00000000" w:rsidRPr="00000000">
          <w:rPr>
            <w:rFonts w:ascii="Times New Roman" w:cs="Times New Roman" w:eastAsia="Times New Roman" w:hAnsi="Times New Roman"/>
            <w:sz w:val="18"/>
            <w:szCs w:val="18"/>
            <w:rtl w:val="0"/>
          </w:rPr>
          <w:t xml:space="preserve">S. P. Rana, M. Dey, P. Patel, J. Requena, and C. Fu, “Prompting and Rag Vs. Student Engagement and Comprehension in Educational Technology,” in 2025 IEEE Global Engineering Education Conference (EDUCON), London, United Kingdom: IEEE, Apr. 2025, pp. 1–7. doi: 10.1109/EDUCON62633.2025.11016579. </w:t>
        </w:r>
      </w:hyperlink>
      <w:r w:rsidDel="00000000" w:rsidR="00000000" w:rsidRPr="00000000">
        <w:rPr>
          <w:rtl w:val="0"/>
        </w:rPr>
      </w:r>
    </w:p>
    <w:p w:rsidR="00000000" w:rsidDel="00000000" w:rsidP="00000000" w:rsidRDefault="00000000" w:rsidRPr="00000000" w14:paraId="0000012B">
      <w:pPr>
        <w:spacing w:line="240" w:lineRule="auto"/>
        <w:ind w:left="504.00000000000006" w:right="-145.8661417322827"/>
        <w:jc w:val="both"/>
        <w:rPr>
          <w:rFonts w:ascii="Times New Roman" w:cs="Times New Roman" w:eastAsia="Times New Roman" w:hAnsi="Times New Roman"/>
          <w:sz w:val="18"/>
          <w:szCs w:val="18"/>
        </w:rPr>
      </w:pPr>
      <w:hyperlink r:id="rId46">
        <w:r w:rsidDel="00000000" w:rsidR="00000000" w:rsidRPr="00000000">
          <w:rPr>
            <w:rFonts w:ascii="Times New Roman" w:cs="Times New Roman" w:eastAsia="Times New Roman" w:hAnsi="Times New Roman"/>
            <w:sz w:val="18"/>
            <w:szCs w:val="18"/>
            <w:rtl w:val="0"/>
          </w:rPr>
          <w:t xml:space="preserve">[15]</w:t>
        </w:r>
      </w:hyperlink>
      <w:r w:rsidDel="00000000" w:rsidR="00000000" w:rsidRPr="00000000">
        <w:rPr>
          <w:rFonts w:ascii="Times New Roman" w:cs="Times New Roman" w:eastAsia="Times New Roman" w:hAnsi="Times New Roman"/>
          <w:sz w:val="18"/>
          <w:szCs w:val="18"/>
          <w:rtl w:val="0"/>
        </w:rPr>
        <w:tab/>
      </w:r>
      <w:hyperlink r:id="rId47">
        <w:r w:rsidDel="00000000" w:rsidR="00000000" w:rsidRPr="00000000">
          <w:rPr>
            <w:rFonts w:ascii="Times New Roman" w:cs="Times New Roman" w:eastAsia="Times New Roman" w:hAnsi="Times New Roman"/>
            <w:sz w:val="18"/>
            <w:szCs w:val="18"/>
            <w:rtl w:val="0"/>
          </w:rPr>
          <w:t xml:space="preserve">G. Cheng, W. Wong, L. Luo, and M. Yu, “Integrating a Scaffolding-Based, LLM-Driven Chatbot into Programming Education: A University Case Study,” in 2025 International Symposium on Educational Technology (ISET), Bangkok, Thailand: IEEE, Jul. 2025, pp. 1–5. doi: 10.1109/ISET65607.2025.00047. </w:t>
        </w:r>
      </w:hyperlink>
      <w:r w:rsidDel="00000000" w:rsidR="00000000" w:rsidRPr="00000000">
        <w:rPr>
          <w:rtl w:val="0"/>
        </w:rPr>
      </w:r>
    </w:p>
    <w:p w:rsidR="00000000" w:rsidDel="00000000" w:rsidP="00000000" w:rsidRDefault="00000000" w:rsidRPr="00000000" w14:paraId="0000012C">
      <w:pPr>
        <w:spacing w:line="240" w:lineRule="auto"/>
        <w:ind w:left="504.00000000000006" w:right="-145.8661417322827"/>
        <w:jc w:val="both"/>
        <w:rPr>
          <w:rFonts w:ascii="Times New Roman" w:cs="Times New Roman" w:eastAsia="Times New Roman" w:hAnsi="Times New Roman"/>
          <w:sz w:val="18"/>
          <w:szCs w:val="18"/>
        </w:rPr>
      </w:pPr>
      <w:hyperlink r:id="rId48">
        <w:r w:rsidDel="00000000" w:rsidR="00000000" w:rsidRPr="00000000">
          <w:rPr>
            <w:rFonts w:ascii="Times New Roman" w:cs="Times New Roman" w:eastAsia="Times New Roman" w:hAnsi="Times New Roman"/>
            <w:sz w:val="18"/>
            <w:szCs w:val="18"/>
            <w:rtl w:val="0"/>
          </w:rPr>
          <w:t xml:space="preserve">[16]</w:t>
        </w:r>
      </w:hyperlink>
      <w:r w:rsidDel="00000000" w:rsidR="00000000" w:rsidRPr="00000000">
        <w:rPr>
          <w:rFonts w:ascii="Times New Roman" w:cs="Times New Roman" w:eastAsia="Times New Roman" w:hAnsi="Times New Roman"/>
          <w:sz w:val="18"/>
          <w:szCs w:val="18"/>
          <w:rtl w:val="0"/>
        </w:rPr>
        <w:tab/>
      </w:r>
      <w:hyperlink r:id="rId49">
        <w:r w:rsidDel="00000000" w:rsidR="00000000" w:rsidRPr="00000000">
          <w:rPr>
            <w:rFonts w:ascii="Times New Roman" w:cs="Times New Roman" w:eastAsia="Times New Roman" w:hAnsi="Times New Roman"/>
            <w:sz w:val="18"/>
            <w:szCs w:val="18"/>
            <w:rtl w:val="0"/>
          </w:rPr>
          <w:t xml:space="preserve">F. Neha and D. Bhati, “DeepSeek Models in STEM Education: Capabilities, Applications, and Challenges,” Mar. 14, 2025. doi: 10.36227/techrxiv.174198447.71647707/v1. </w:t>
        </w:r>
      </w:hyperlink>
      <w:r w:rsidDel="00000000" w:rsidR="00000000" w:rsidRPr="00000000">
        <w:rPr>
          <w:rtl w:val="0"/>
        </w:rPr>
      </w:r>
    </w:p>
    <w:p w:rsidR="00000000" w:rsidDel="00000000" w:rsidP="00000000" w:rsidRDefault="00000000" w:rsidRPr="00000000" w14:paraId="0000012D">
      <w:pPr>
        <w:spacing w:line="240" w:lineRule="auto"/>
        <w:ind w:left="504.00000000000006" w:right="-145.8661417322827"/>
        <w:jc w:val="both"/>
        <w:rPr>
          <w:rFonts w:ascii="Times New Roman" w:cs="Times New Roman" w:eastAsia="Times New Roman" w:hAnsi="Times New Roman"/>
          <w:sz w:val="18"/>
          <w:szCs w:val="18"/>
        </w:rPr>
      </w:pPr>
      <w:hyperlink r:id="rId50">
        <w:r w:rsidDel="00000000" w:rsidR="00000000" w:rsidRPr="00000000">
          <w:rPr>
            <w:rFonts w:ascii="Times New Roman" w:cs="Times New Roman" w:eastAsia="Times New Roman" w:hAnsi="Times New Roman"/>
            <w:sz w:val="18"/>
            <w:szCs w:val="18"/>
            <w:rtl w:val="0"/>
          </w:rPr>
          <w:t xml:space="preserve">[17]</w:t>
        </w:r>
      </w:hyperlink>
      <w:r w:rsidDel="00000000" w:rsidR="00000000" w:rsidRPr="00000000">
        <w:rPr>
          <w:rFonts w:ascii="Times New Roman" w:cs="Times New Roman" w:eastAsia="Times New Roman" w:hAnsi="Times New Roman"/>
          <w:sz w:val="18"/>
          <w:szCs w:val="18"/>
          <w:rtl w:val="0"/>
        </w:rPr>
        <w:tab/>
      </w:r>
      <w:hyperlink r:id="rId51">
        <w:r w:rsidDel="00000000" w:rsidR="00000000" w:rsidRPr="00000000">
          <w:rPr>
            <w:rFonts w:ascii="Times New Roman" w:cs="Times New Roman" w:eastAsia="Times New Roman" w:hAnsi="Times New Roman"/>
            <w:sz w:val="18"/>
            <w:szCs w:val="18"/>
            <w:rtl w:val="0"/>
          </w:rPr>
          <w:t xml:space="preserve">M. Chrysopoulos and L. Moussiades, “Enhancing High School Programming Education Through LLM-Based Hint Generation,” in 2025 International Workshop on Artificial Intelligence and Education (WAIE), Yokohama, Japan, Japan: IEEE, Sep. 2025, pp. 437–443. doi: 10.1109/WAIE67422.2025.11381301. </w:t>
        </w:r>
      </w:hyperlink>
      <w:r w:rsidDel="00000000" w:rsidR="00000000" w:rsidRPr="00000000">
        <w:rPr>
          <w:rtl w:val="0"/>
        </w:rPr>
      </w:r>
    </w:p>
    <w:p w:rsidR="00000000" w:rsidDel="00000000" w:rsidP="00000000" w:rsidRDefault="00000000" w:rsidRPr="00000000" w14:paraId="0000012E">
      <w:pPr>
        <w:spacing w:line="240" w:lineRule="auto"/>
        <w:ind w:left="504.00000000000006" w:right="-145.8661417322827"/>
        <w:jc w:val="both"/>
        <w:rPr>
          <w:rFonts w:ascii="Times New Roman" w:cs="Times New Roman" w:eastAsia="Times New Roman" w:hAnsi="Times New Roman"/>
          <w:sz w:val="18"/>
          <w:szCs w:val="18"/>
        </w:rPr>
      </w:pPr>
      <w:hyperlink r:id="rId52">
        <w:r w:rsidDel="00000000" w:rsidR="00000000" w:rsidRPr="00000000">
          <w:rPr>
            <w:rFonts w:ascii="Times New Roman" w:cs="Times New Roman" w:eastAsia="Times New Roman" w:hAnsi="Times New Roman"/>
            <w:sz w:val="18"/>
            <w:szCs w:val="18"/>
            <w:rtl w:val="0"/>
          </w:rPr>
          <w:t xml:space="preserve">[18]</w:t>
        </w:r>
      </w:hyperlink>
      <w:r w:rsidDel="00000000" w:rsidR="00000000" w:rsidRPr="00000000">
        <w:rPr>
          <w:rFonts w:ascii="Times New Roman" w:cs="Times New Roman" w:eastAsia="Times New Roman" w:hAnsi="Times New Roman"/>
          <w:sz w:val="18"/>
          <w:szCs w:val="18"/>
          <w:rtl w:val="0"/>
        </w:rPr>
        <w:tab/>
      </w:r>
      <w:hyperlink r:id="rId53">
        <w:r w:rsidDel="00000000" w:rsidR="00000000" w:rsidRPr="00000000">
          <w:rPr>
            <w:rFonts w:ascii="Times New Roman" w:cs="Times New Roman" w:eastAsia="Times New Roman" w:hAnsi="Times New Roman"/>
            <w:sz w:val="18"/>
            <w:szCs w:val="18"/>
            <w:rtl w:val="0"/>
          </w:rPr>
          <w:t xml:space="preserve">H. Zhao, Y. Wu, Z. Lu, X. Yu, W. Miao, and L. Chen, “SageJavon: A scalable AI tutor for personalized programming learning,” Inf. Process. Manag., vol. 63, no. 5, p. 104605, Jul. 2026, doi: 10.1016/j.ipm.2025.104605. </w:t>
        </w:r>
      </w:hyperlink>
      <w:r w:rsidDel="00000000" w:rsidR="00000000" w:rsidRPr="00000000">
        <w:rPr>
          <w:rtl w:val="0"/>
        </w:rPr>
      </w:r>
    </w:p>
    <w:p w:rsidR="00000000" w:rsidDel="00000000" w:rsidP="00000000" w:rsidRDefault="00000000" w:rsidRPr="00000000" w14:paraId="0000012F">
      <w:pPr>
        <w:spacing w:line="240" w:lineRule="auto"/>
        <w:ind w:left="504.00000000000006" w:right="-145.8661417322827"/>
        <w:jc w:val="both"/>
        <w:rPr>
          <w:rFonts w:ascii="Times New Roman" w:cs="Times New Roman" w:eastAsia="Times New Roman" w:hAnsi="Times New Roman"/>
          <w:sz w:val="18"/>
          <w:szCs w:val="18"/>
        </w:rPr>
      </w:pPr>
      <w:hyperlink r:id="rId54">
        <w:r w:rsidDel="00000000" w:rsidR="00000000" w:rsidRPr="00000000">
          <w:rPr>
            <w:rFonts w:ascii="Times New Roman" w:cs="Times New Roman" w:eastAsia="Times New Roman" w:hAnsi="Times New Roman"/>
            <w:sz w:val="18"/>
            <w:szCs w:val="18"/>
            <w:rtl w:val="0"/>
          </w:rPr>
          <w:t xml:space="preserve">[19]</w:t>
        </w:r>
      </w:hyperlink>
      <w:r w:rsidDel="00000000" w:rsidR="00000000" w:rsidRPr="00000000">
        <w:rPr>
          <w:rFonts w:ascii="Times New Roman" w:cs="Times New Roman" w:eastAsia="Times New Roman" w:hAnsi="Times New Roman"/>
          <w:sz w:val="18"/>
          <w:szCs w:val="18"/>
          <w:rtl w:val="0"/>
        </w:rPr>
        <w:tab/>
      </w:r>
      <w:hyperlink r:id="rId55">
        <w:r w:rsidDel="00000000" w:rsidR="00000000" w:rsidRPr="00000000">
          <w:rPr>
            <w:rFonts w:ascii="Times New Roman" w:cs="Times New Roman" w:eastAsia="Times New Roman" w:hAnsi="Times New Roman"/>
            <w:sz w:val="18"/>
            <w:szCs w:val="18"/>
            <w:rtl w:val="0"/>
          </w:rPr>
          <w:t xml:space="preserve">T. C. Freitas, A. Costa Neto, M. J. V. Pereira, and P. R. Henriques, “Goliath and the Cognitive Load Theory,” J. Comput. Lang., vol. 85, p. 101372, Nov. 2025, doi: 10.1016/j.cola.2025.101372. </w:t>
        </w:r>
      </w:hyperlink>
      <w:r w:rsidDel="00000000" w:rsidR="00000000" w:rsidRPr="00000000">
        <w:rPr>
          <w:rtl w:val="0"/>
        </w:rPr>
      </w:r>
    </w:p>
    <w:p w:rsidR="00000000" w:rsidDel="00000000" w:rsidP="00000000" w:rsidRDefault="00000000" w:rsidRPr="00000000" w14:paraId="00000130">
      <w:pPr>
        <w:spacing w:line="240" w:lineRule="auto"/>
        <w:ind w:left="504.00000000000006" w:right="-145.8661417322827"/>
        <w:jc w:val="both"/>
        <w:rPr>
          <w:rFonts w:ascii="Times New Roman" w:cs="Times New Roman" w:eastAsia="Times New Roman" w:hAnsi="Times New Roman"/>
          <w:sz w:val="18"/>
          <w:szCs w:val="18"/>
        </w:rPr>
      </w:pPr>
      <w:hyperlink r:id="rId56">
        <w:r w:rsidDel="00000000" w:rsidR="00000000" w:rsidRPr="00000000">
          <w:rPr>
            <w:rFonts w:ascii="Times New Roman" w:cs="Times New Roman" w:eastAsia="Times New Roman" w:hAnsi="Times New Roman"/>
            <w:sz w:val="18"/>
            <w:szCs w:val="18"/>
            <w:rtl w:val="0"/>
          </w:rPr>
          <w:t xml:space="preserve">[20]</w:t>
        </w:r>
      </w:hyperlink>
      <w:r w:rsidDel="00000000" w:rsidR="00000000" w:rsidRPr="00000000">
        <w:rPr>
          <w:rFonts w:ascii="Times New Roman" w:cs="Times New Roman" w:eastAsia="Times New Roman" w:hAnsi="Times New Roman"/>
          <w:sz w:val="18"/>
          <w:szCs w:val="18"/>
          <w:rtl w:val="0"/>
        </w:rPr>
        <w:tab/>
      </w:r>
      <w:hyperlink r:id="rId57">
        <w:r w:rsidDel="00000000" w:rsidR="00000000" w:rsidRPr="00000000">
          <w:rPr>
            <w:rFonts w:ascii="Times New Roman" w:cs="Times New Roman" w:eastAsia="Times New Roman" w:hAnsi="Times New Roman"/>
            <w:sz w:val="18"/>
            <w:szCs w:val="18"/>
            <w:rtl w:val="0"/>
          </w:rPr>
          <w:t xml:space="preserve">V.-P. Sorescu and D. Andone, “Developing Intelligent Tutors with Artificial Intelligence for Digital Education,” in 2025 IEEE Digital Education and MOOCS Conference (DEMOcon), Boca Raton, FL, USA: IEEE, Oct. 2025, pp. 1–6. doi: 10.1109/DEMOcon65705.2025.11282632. </w:t>
        </w:r>
      </w:hyperlink>
      <w:r w:rsidDel="00000000" w:rsidR="00000000" w:rsidRPr="00000000">
        <w:rPr>
          <w:rtl w:val="0"/>
        </w:rPr>
      </w:r>
    </w:p>
    <w:p w:rsidR="00000000" w:rsidDel="00000000" w:rsidP="00000000" w:rsidRDefault="00000000" w:rsidRPr="00000000" w14:paraId="00000131">
      <w:pPr>
        <w:spacing w:line="240" w:lineRule="auto"/>
        <w:ind w:left="504.00000000000006" w:right="-145.8661417322827"/>
        <w:jc w:val="both"/>
        <w:rPr>
          <w:rFonts w:ascii="Times New Roman" w:cs="Times New Roman" w:eastAsia="Times New Roman" w:hAnsi="Times New Roman"/>
          <w:sz w:val="18"/>
          <w:szCs w:val="18"/>
        </w:rPr>
      </w:pPr>
      <w:hyperlink r:id="rId58">
        <w:r w:rsidDel="00000000" w:rsidR="00000000" w:rsidRPr="00000000">
          <w:rPr>
            <w:rFonts w:ascii="Times New Roman" w:cs="Times New Roman" w:eastAsia="Times New Roman" w:hAnsi="Times New Roman"/>
            <w:sz w:val="18"/>
            <w:szCs w:val="18"/>
            <w:rtl w:val="0"/>
          </w:rPr>
          <w:t xml:space="preserve">[21]</w:t>
        </w:r>
      </w:hyperlink>
      <w:r w:rsidDel="00000000" w:rsidR="00000000" w:rsidRPr="00000000">
        <w:rPr>
          <w:rFonts w:ascii="Times New Roman" w:cs="Times New Roman" w:eastAsia="Times New Roman" w:hAnsi="Times New Roman"/>
          <w:sz w:val="18"/>
          <w:szCs w:val="18"/>
          <w:rtl w:val="0"/>
        </w:rPr>
        <w:tab/>
      </w:r>
      <w:hyperlink r:id="rId59">
        <w:r w:rsidDel="00000000" w:rsidR="00000000" w:rsidRPr="00000000">
          <w:rPr>
            <w:rFonts w:ascii="Times New Roman" w:cs="Times New Roman" w:eastAsia="Times New Roman" w:hAnsi="Times New Roman"/>
            <w:sz w:val="18"/>
            <w:szCs w:val="18"/>
            <w:rtl w:val="0"/>
          </w:rPr>
          <w:t xml:space="preserve">S. Guardado, R. Parveen, Z. Zhang, M. Rayhan, and N. Tripathi, “Students’ Perceptions of the Use of LLMs in Requirements Engineering Education: A Cross-University Empirical Study,” in 2025 IEEE 33rd International Requirements Engineering Conference (RE), Valencia, Spain: IEEE, Sep. 2025, pp. 130–141. doi: 10.1109/RE63999.2025.00022. </w:t>
        </w:r>
      </w:hyperlink>
      <w:r w:rsidDel="00000000" w:rsidR="00000000" w:rsidRPr="00000000">
        <w:rPr>
          <w:rtl w:val="0"/>
        </w:rPr>
      </w:r>
    </w:p>
    <w:p w:rsidR="00000000" w:rsidDel="00000000" w:rsidP="00000000" w:rsidRDefault="00000000" w:rsidRPr="00000000" w14:paraId="00000132">
      <w:pPr>
        <w:spacing w:line="240" w:lineRule="auto"/>
        <w:ind w:left="504.00000000000006" w:right="-145.8661417322827"/>
        <w:jc w:val="both"/>
        <w:rPr>
          <w:rFonts w:ascii="Times New Roman" w:cs="Times New Roman" w:eastAsia="Times New Roman" w:hAnsi="Times New Roman"/>
          <w:sz w:val="18"/>
          <w:szCs w:val="18"/>
        </w:rPr>
      </w:pPr>
      <w:hyperlink r:id="rId60">
        <w:r w:rsidDel="00000000" w:rsidR="00000000" w:rsidRPr="00000000">
          <w:rPr>
            <w:rFonts w:ascii="Times New Roman" w:cs="Times New Roman" w:eastAsia="Times New Roman" w:hAnsi="Times New Roman"/>
            <w:sz w:val="18"/>
            <w:szCs w:val="18"/>
            <w:rtl w:val="0"/>
          </w:rPr>
          <w:t xml:space="preserve">[22]</w:t>
        </w:r>
      </w:hyperlink>
      <w:r w:rsidDel="00000000" w:rsidR="00000000" w:rsidRPr="00000000">
        <w:rPr>
          <w:rFonts w:ascii="Times New Roman" w:cs="Times New Roman" w:eastAsia="Times New Roman" w:hAnsi="Times New Roman"/>
          <w:sz w:val="18"/>
          <w:szCs w:val="18"/>
          <w:rtl w:val="0"/>
        </w:rPr>
        <w:tab/>
      </w:r>
      <w:hyperlink r:id="rId61">
        <w:r w:rsidDel="00000000" w:rsidR="00000000" w:rsidRPr="00000000">
          <w:rPr>
            <w:rFonts w:ascii="Times New Roman" w:cs="Times New Roman" w:eastAsia="Times New Roman" w:hAnsi="Times New Roman"/>
            <w:sz w:val="18"/>
            <w:szCs w:val="18"/>
            <w:rtl w:val="0"/>
          </w:rPr>
          <w:t xml:space="preserve">B. Ahmedova et al., “AI-Driven Stylistic Analysis of PLC Programming Content for Industrial Automation Education,” in 2025 Second International Conference on Intelligent Technologies for Sustainable Electric and Communications Systems (iTech SECOM), Coimbatore, India: IEEE, Oct. 2025, pp. 1–6. doi: 10.1109/iTechSECOM64750.2025.11307199. </w:t>
        </w:r>
      </w:hyperlink>
      <w:r w:rsidDel="00000000" w:rsidR="00000000" w:rsidRPr="00000000">
        <w:rPr>
          <w:rtl w:val="0"/>
        </w:rPr>
      </w:r>
    </w:p>
    <w:p w:rsidR="00000000" w:rsidDel="00000000" w:rsidP="00000000" w:rsidRDefault="00000000" w:rsidRPr="00000000" w14:paraId="00000133">
      <w:pPr>
        <w:spacing w:line="240" w:lineRule="auto"/>
        <w:ind w:left="504.00000000000006" w:right="-145.8661417322827"/>
        <w:jc w:val="both"/>
        <w:rPr>
          <w:rFonts w:ascii="Times New Roman" w:cs="Times New Roman" w:eastAsia="Times New Roman" w:hAnsi="Times New Roman"/>
          <w:i w:val="1"/>
          <w:iCs w:val="1"/>
          <w:sz w:val="24"/>
          <w:szCs w:val="24"/>
        </w:rPr>
      </w:pPr>
      <w:hyperlink r:id="rId62">
        <w:r w:rsidDel="00000000" w:rsidR="00000000" w:rsidRPr="00000000">
          <w:rPr>
            <w:rFonts w:ascii="Times New Roman" w:cs="Times New Roman" w:eastAsia="Times New Roman" w:hAnsi="Times New Roman"/>
            <w:sz w:val="18"/>
            <w:szCs w:val="18"/>
            <w:rtl w:val="0"/>
          </w:rPr>
          <w:t xml:space="preserve">[23]</w:t>
        </w:r>
      </w:hyperlink>
      <w:r w:rsidDel="00000000" w:rsidR="00000000" w:rsidRPr="00000000">
        <w:rPr>
          <w:rFonts w:ascii="Times New Roman" w:cs="Times New Roman" w:eastAsia="Times New Roman" w:hAnsi="Times New Roman"/>
          <w:sz w:val="18"/>
          <w:szCs w:val="18"/>
          <w:rtl w:val="0"/>
        </w:rPr>
        <w:tab/>
      </w:r>
      <w:hyperlink r:id="rId63">
        <w:r w:rsidDel="00000000" w:rsidR="00000000" w:rsidRPr="00000000">
          <w:rPr>
            <w:rFonts w:ascii="Times New Roman" w:cs="Times New Roman" w:eastAsia="Times New Roman" w:hAnsi="Times New Roman"/>
            <w:sz w:val="18"/>
            <w:szCs w:val="18"/>
            <w:rtl w:val="0"/>
          </w:rPr>
          <w:t xml:space="preserve">A. Gupta, S. Sawhney, A. Nanda, and S. Sharma, “Leveraging Custom GPTs to Enhance Teaching and Learning Quality in Engineering Education: A Case Study from a Teaching Learning Center in India,” in 2025 IEEE International Conference on Teaching, Assessment, and Learning for Engineering (TALE), Macao: IEEE, Dec. 2025, pp. 1–8. doi: 10.1109/TALE66047.2025.11346731</w:t>
        </w:r>
      </w:hyperlink>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134">
      <w:pPr>
        <w:spacing w:line="240" w:lineRule="auto"/>
        <w:ind w:left="504.00000000000006" w:right="-145.8661417322827"/>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[24]  E. Trubljanin, E. Taruh, S. Čakić, T. Popović, and L. Filipović, "Transforming matrix problem solving with intelligent tutoring systems," in Proc. 24th Int.Symp. INFOTEH JAHORINA (INFOTEH), 2025, pp. 1–6.</w:t>
      </w:r>
    </w:p>
    <w:p w:rsidR="00000000" w:rsidDel="00000000" w:rsidP="00000000" w:rsidRDefault="00000000" w:rsidRPr="00000000" w14:paraId="00000135">
      <w:pPr>
        <w:spacing w:line="240" w:lineRule="auto"/>
        <w:ind w:left="504.00000000000006" w:right="-145.8661417322827"/>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 K. Peffers, T. Tuunanen, M. A. Rothenberger, and S. Chatterjee, "A design science research methodology for information systems research," J. Manage. Inf. Syst., vol. 24, no. 3, pp. 45–77, 2007, doi: 10.2753/MIS0742-1222240302.</w:t>
      </w:r>
    </w:p>
    <w:p w:rsidR="00000000" w:rsidDel="00000000" w:rsidP="00000000" w:rsidRDefault="00000000" w:rsidRPr="00000000" w14:paraId="00000136">
      <w:pPr>
        <w:spacing w:line="240" w:lineRule="auto"/>
        <w:ind w:left="504.00000000000006" w:right="-145.8661417322827"/>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37">
      <w:pPr>
        <w:spacing w:line="240" w:lineRule="auto"/>
        <w:ind w:left="504.00000000000006" w:right="-145.8661417322827"/>
        <w:jc w:val="both"/>
        <w:rPr>
          <w:rFonts w:ascii="Times New Roman" w:cs="Times New Roman" w:eastAsia="Times New Roman" w:hAnsi="Times New Roman"/>
          <w:sz w:val="18"/>
          <w:szCs w:val="18"/>
        </w:rPr>
      </w:pPr>
      <w:r w:rsidDel="00000000" w:rsidR="00000000" w:rsidRPr="00000000">
        <w:rPr>
          <w:rtl w:val="0"/>
        </w:rPr>
      </w:r>
    </w:p>
    <w:sectPr>
      <w:pgSz w:h="16840" w:w="11900" w:orient="portrait"/>
      <w:pgMar w:bottom="1970.5000305175781" w:top="1450.6005859375" w:left="1577.1000671386719" w:right="1405.7189941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2Tp5MG" TargetMode="External"/><Relationship Id="rId42" Type="http://schemas.openxmlformats.org/officeDocument/2006/relationships/hyperlink" Target="https://www.zotero.org/google-docs/?2Tp5MG" TargetMode="External"/><Relationship Id="rId41" Type="http://schemas.openxmlformats.org/officeDocument/2006/relationships/hyperlink" Target="https://www.zotero.org/google-docs/?2Tp5MG" TargetMode="External"/><Relationship Id="rId44" Type="http://schemas.openxmlformats.org/officeDocument/2006/relationships/hyperlink" Target="https://www.zotero.org/google-docs/?2Tp5MG" TargetMode="External"/><Relationship Id="rId43" Type="http://schemas.openxmlformats.org/officeDocument/2006/relationships/hyperlink" Target="https://www.zotero.org/google-docs/?2Tp5MG" TargetMode="External"/><Relationship Id="rId46" Type="http://schemas.openxmlformats.org/officeDocument/2006/relationships/hyperlink" Target="https://www.zotero.org/google-docs/?2Tp5MG" TargetMode="External"/><Relationship Id="rId45" Type="http://schemas.openxmlformats.org/officeDocument/2006/relationships/hyperlink" Target="https://www.zotero.org/google-docs/?2Tp5M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22458894@dut4life.ac.za" TargetMode="External"/><Relationship Id="rId48" Type="http://schemas.openxmlformats.org/officeDocument/2006/relationships/hyperlink" Target="https://www.zotero.org/google-docs/?2Tp5MG" TargetMode="External"/><Relationship Id="rId47" Type="http://schemas.openxmlformats.org/officeDocument/2006/relationships/hyperlink" Target="https://www.zotero.org/google-docs/?2Tp5MG" TargetMode="External"/><Relationship Id="rId49" Type="http://schemas.openxmlformats.org/officeDocument/2006/relationships/hyperlink" Target="https://www.zotero.org/google-docs/?2Tp5MG" TargetMode="External"/><Relationship Id="rId5" Type="http://schemas.openxmlformats.org/officeDocument/2006/relationships/styles" Target="styles.xml"/><Relationship Id="rId6" Type="http://schemas.openxmlformats.org/officeDocument/2006/relationships/hyperlink" Target="mailto:22406937@dut4life.ac.za" TargetMode="External"/><Relationship Id="rId7" Type="http://schemas.openxmlformats.org/officeDocument/2006/relationships/hyperlink" Target="mailto:22406937@dut4life.ac.za" TargetMode="External"/><Relationship Id="rId8" Type="http://schemas.openxmlformats.org/officeDocument/2006/relationships/hyperlink" Target="mailto:224058551@dut4life.ac.za" TargetMode="External"/><Relationship Id="rId31" Type="http://schemas.openxmlformats.org/officeDocument/2006/relationships/hyperlink" Target="https://www.zotero.org/google-docs/?2Tp5MG" TargetMode="External"/><Relationship Id="rId30" Type="http://schemas.openxmlformats.org/officeDocument/2006/relationships/hyperlink" Target="https://www.zotero.org/google-docs/?2Tp5MG" TargetMode="External"/><Relationship Id="rId33" Type="http://schemas.openxmlformats.org/officeDocument/2006/relationships/hyperlink" Target="https://www.zotero.org/google-docs/?2Tp5MG" TargetMode="External"/><Relationship Id="rId32" Type="http://schemas.openxmlformats.org/officeDocument/2006/relationships/hyperlink" Target="https://www.zotero.org/google-docs/?2Tp5MG" TargetMode="External"/><Relationship Id="rId35" Type="http://schemas.openxmlformats.org/officeDocument/2006/relationships/hyperlink" Target="https://www.zotero.org/google-docs/?2Tp5MG" TargetMode="External"/><Relationship Id="rId34" Type="http://schemas.openxmlformats.org/officeDocument/2006/relationships/hyperlink" Target="https://www.zotero.org/google-docs/?2Tp5MG" TargetMode="External"/><Relationship Id="rId37" Type="http://schemas.openxmlformats.org/officeDocument/2006/relationships/hyperlink" Target="https://www.zotero.org/google-docs/?2Tp5MG" TargetMode="External"/><Relationship Id="rId36" Type="http://schemas.openxmlformats.org/officeDocument/2006/relationships/hyperlink" Target="https://www.zotero.org/google-docs/?2Tp5MG" TargetMode="External"/><Relationship Id="rId39" Type="http://schemas.openxmlformats.org/officeDocument/2006/relationships/hyperlink" Target="https://www.zotero.org/google-docs/?2Tp5MG" TargetMode="External"/><Relationship Id="rId38" Type="http://schemas.openxmlformats.org/officeDocument/2006/relationships/hyperlink" Target="https://www.zotero.org/google-docs/?2Tp5MG" TargetMode="External"/><Relationship Id="rId62" Type="http://schemas.openxmlformats.org/officeDocument/2006/relationships/hyperlink" Target="https://www.zotero.org/google-docs/?2Tp5MG" TargetMode="External"/><Relationship Id="rId61" Type="http://schemas.openxmlformats.org/officeDocument/2006/relationships/hyperlink" Target="https://www.zotero.org/google-docs/?2Tp5MG" TargetMode="External"/><Relationship Id="rId20" Type="http://schemas.openxmlformats.org/officeDocument/2006/relationships/hyperlink" Target="https://www.zotero.org/google-docs/?2Tp5MG" TargetMode="External"/><Relationship Id="rId63" Type="http://schemas.openxmlformats.org/officeDocument/2006/relationships/hyperlink" Target="https://www.zotero.org/google-docs/?2Tp5MG" TargetMode="External"/><Relationship Id="rId22" Type="http://schemas.openxmlformats.org/officeDocument/2006/relationships/hyperlink" Target="https://www.zotero.org/google-docs/?2Tp5MG" TargetMode="External"/><Relationship Id="rId21" Type="http://schemas.openxmlformats.org/officeDocument/2006/relationships/hyperlink" Target="https://www.zotero.org/google-docs/?2Tp5MG" TargetMode="External"/><Relationship Id="rId24" Type="http://schemas.openxmlformats.org/officeDocument/2006/relationships/hyperlink" Target="https://www.zotero.org/google-docs/?2Tp5MG" TargetMode="External"/><Relationship Id="rId23" Type="http://schemas.openxmlformats.org/officeDocument/2006/relationships/hyperlink" Target="https://www.zotero.org/google-docs/?2Tp5MG" TargetMode="External"/><Relationship Id="rId60" Type="http://schemas.openxmlformats.org/officeDocument/2006/relationships/hyperlink" Target="https://www.zotero.org/google-docs/?2Tp5MG" TargetMode="External"/><Relationship Id="rId26" Type="http://schemas.openxmlformats.org/officeDocument/2006/relationships/hyperlink" Target="https://www.zotero.org/google-docs/?2Tp5MG" TargetMode="External"/><Relationship Id="rId25" Type="http://schemas.openxmlformats.org/officeDocument/2006/relationships/hyperlink" Target="https://www.zotero.org/google-docs/?2Tp5MG" TargetMode="External"/><Relationship Id="rId28" Type="http://schemas.openxmlformats.org/officeDocument/2006/relationships/hyperlink" Target="https://www.zotero.org/google-docs/?2Tp5MG" TargetMode="External"/><Relationship Id="rId27" Type="http://schemas.openxmlformats.org/officeDocument/2006/relationships/hyperlink" Target="https://www.zotero.org/google-docs/?2Tp5MG" TargetMode="External"/><Relationship Id="rId29" Type="http://schemas.openxmlformats.org/officeDocument/2006/relationships/hyperlink" Target="https://www.zotero.org/google-docs/?2Tp5MG" TargetMode="External"/><Relationship Id="rId51" Type="http://schemas.openxmlformats.org/officeDocument/2006/relationships/hyperlink" Target="https://www.zotero.org/google-docs/?2Tp5MG" TargetMode="External"/><Relationship Id="rId50" Type="http://schemas.openxmlformats.org/officeDocument/2006/relationships/hyperlink" Target="https://www.zotero.org/google-docs/?2Tp5MG" TargetMode="External"/><Relationship Id="rId53" Type="http://schemas.openxmlformats.org/officeDocument/2006/relationships/hyperlink" Target="https://www.zotero.org/google-docs/?2Tp5MG" TargetMode="External"/><Relationship Id="rId52" Type="http://schemas.openxmlformats.org/officeDocument/2006/relationships/hyperlink" Target="https://www.zotero.org/google-docs/?2Tp5MG" TargetMode="External"/><Relationship Id="rId11" Type="http://schemas.openxmlformats.org/officeDocument/2006/relationships/hyperlink" Target="mailto:22433887@dut4life.ac.za" TargetMode="External"/><Relationship Id="rId55" Type="http://schemas.openxmlformats.org/officeDocument/2006/relationships/hyperlink" Target="https://www.zotero.org/google-docs/?2Tp5MG" TargetMode="External"/><Relationship Id="rId10" Type="http://schemas.openxmlformats.org/officeDocument/2006/relationships/hyperlink" Target="mailto:22458894@dut4life.ac.za" TargetMode="External"/><Relationship Id="rId54" Type="http://schemas.openxmlformats.org/officeDocument/2006/relationships/hyperlink" Target="https://www.zotero.org/google-docs/?2Tp5MG" TargetMode="External"/><Relationship Id="rId13" Type="http://schemas.openxmlformats.org/officeDocument/2006/relationships/hyperlink" Target="mailto:22419010@dut4life.ac.za" TargetMode="External"/><Relationship Id="rId57" Type="http://schemas.openxmlformats.org/officeDocument/2006/relationships/hyperlink" Target="https://www.zotero.org/google-docs/?2Tp5MG" TargetMode="External"/><Relationship Id="rId12" Type="http://schemas.openxmlformats.org/officeDocument/2006/relationships/hyperlink" Target="mailto:22433887@dut4life.ac.za" TargetMode="External"/><Relationship Id="rId56" Type="http://schemas.openxmlformats.org/officeDocument/2006/relationships/hyperlink" Target="https://www.zotero.org/google-docs/?2Tp5MG" TargetMode="External"/><Relationship Id="rId15" Type="http://schemas.openxmlformats.org/officeDocument/2006/relationships/image" Target="media/image2.png"/><Relationship Id="rId59" Type="http://schemas.openxmlformats.org/officeDocument/2006/relationships/hyperlink" Target="https://www.zotero.org/google-docs/?2Tp5MG" TargetMode="External"/><Relationship Id="rId14" Type="http://schemas.openxmlformats.org/officeDocument/2006/relationships/hyperlink" Target="mailto:22419010@dut4life.ac.za" TargetMode="External"/><Relationship Id="rId58" Type="http://schemas.openxmlformats.org/officeDocument/2006/relationships/hyperlink" Target="https://www.zotero.org/google-docs/?2Tp5MG" TargetMode="External"/><Relationship Id="rId17" Type="http://schemas.openxmlformats.org/officeDocument/2006/relationships/image" Target="media/image3.png"/><Relationship Id="rId16" Type="http://schemas.openxmlformats.org/officeDocument/2006/relationships/image" Target="media/image1.png"/><Relationship Id="rId19" Type="http://schemas.openxmlformats.org/officeDocument/2006/relationships/hyperlink" Target="https://www.zotero.org/google-docs/?2Tp5MG" TargetMode="External"/><Relationship Id="rId18" Type="http://schemas.openxmlformats.org/officeDocument/2006/relationships/hyperlink" Target="https://www.zotero.org/google-docs/?2Tp5M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