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Engine Adapter Interface Spec</w:t>
      </w:r>
    </w:p>
    <w:p>
      <w:pPr>
        <w:jc w:val="center"/>
      </w:pPr>
      <w:r>
        <w:rPr>
          <w:i/>
        </w:rPr>
        <w:t>Version 2.0 | Date: 2026-01-30 | Scope: Resend first, extensible to others</w:t>
      </w:r>
    </w:p>
    <w:p/>
    <w:p>
      <w:pPr>
        <w:pStyle w:val="Heading1"/>
      </w:pPr>
      <w:r>
        <w:t>1. Objective</w:t>
      </w:r>
    </w:p>
    <w:p>
      <w:r>
        <w:t>Define a provider-agnostic interface so DispatchIQ can connect to multiple sending engines without rewriting the optimization layer.</w:t>
      </w:r>
    </w:p>
    <w:p>
      <w:pPr>
        <w:pStyle w:val="Heading1"/>
      </w:pPr>
      <w:r>
        <w:t>2. Provider Capabilities Matrix</w:t>
      </w:r>
    </w:p>
    <w:p>
      <w:pPr>
        <w:pStyle w:val="ListBullet"/>
      </w:pPr>
      <w:r>
        <w:t>Send email (single) and/or batch sends</w:t>
      </w:r>
    </w:p>
    <w:p>
      <w:pPr>
        <w:pStyle w:val="ListBullet"/>
      </w:pPr>
      <w:r>
        <w:t>Pass raw HTML or provider template id (optional)</w:t>
      </w:r>
    </w:p>
    <w:p>
      <w:pPr>
        <w:pStyle w:val="ListBullet"/>
      </w:pPr>
      <w:r>
        <w:t>Webhooks for delivered, bounced, complained, clicked</w:t>
      </w:r>
    </w:p>
    <w:p>
      <w:pPr>
        <w:pStyle w:val="ListBullet"/>
      </w:pPr>
      <w:r>
        <w:t>Suppression list APIs (optional)</w:t>
      </w:r>
    </w:p>
    <w:p>
      <w:pPr>
        <w:pStyle w:val="ListBullet"/>
      </w:pPr>
      <w:r>
        <w:t>Domain verification status (optional)</w:t>
      </w:r>
    </w:p>
    <w:p>
      <w:pPr>
        <w:pStyle w:val="Heading1"/>
      </w:pPr>
      <w:r>
        <w:t>3. Core Interface (TypeScript)</w:t>
      </w:r>
    </w:p>
    <w:p>
      <w:r>
        <w:t>Define an interface IEmailEngine with methods:</w:t>
      </w:r>
    </w:p>
    <w:p>
      <w:pPr>
        <w:pStyle w:val="ListBullet"/>
      </w:pPr>
      <w:r>
        <w:t>testConnection(): EngineStatus</w:t>
      </w:r>
    </w:p>
    <w:p>
      <w:pPr>
        <w:pStyle w:val="ListBullet"/>
      </w:pPr>
      <w:r>
        <w:t>send(message): SendResult {engine_message_id}</w:t>
      </w:r>
    </w:p>
    <w:p>
      <w:pPr>
        <w:pStyle w:val="ListBullet"/>
      </w:pPr>
      <w:r>
        <w:t>getMessageStatus(engine_message_id): StatusResult (fallback/polling)</w:t>
      </w:r>
    </w:p>
    <w:p>
      <w:pPr>
        <w:pStyle w:val="ListBullet"/>
      </w:pPr>
      <w:r>
        <w:t>registerWebhook(url, secret, events): optional</w:t>
      </w:r>
    </w:p>
    <w:p>
      <w:pPr>
        <w:pStyle w:val="ListBullet"/>
      </w:pPr>
      <w:r>
        <w:t>verifyWebhook(request): boolean</w:t>
      </w:r>
    </w:p>
    <w:p>
      <w:pPr>
        <w:pStyle w:val="Heading1"/>
      </w:pPr>
      <w:r>
        <w:t>4. Normalized Event Model</w:t>
      </w:r>
    </w:p>
    <w:p>
      <w:pPr>
        <w:pStyle w:val="ListBullet"/>
      </w:pPr>
      <w:r>
        <w:t>Normalized outcome events: delivered, bounced, complained, clicked, failed</w:t>
      </w:r>
    </w:p>
    <w:p>
      <w:pPr>
        <w:pStyle w:val="ListBullet"/>
      </w:pPr>
      <w:r>
        <w:t>Map provider payloads into one internal schema</w:t>
      </w:r>
    </w:p>
    <w:p>
      <w:pPr>
        <w:pStyle w:val="ListBullet"/>
      </w:pPr>
      <w:r>
        <w:t>Idempotency key: (provider, engine_message_id, event_type, event_timestamp)</w:t>
      </w:r>
    </w:p>
    <w:p>
      <w:pPr>
        <w:pStyle w:val="Heading3"/>
      </w:pPr>
      <w:r>
        <w:t>Copilot: Create engine adapter scaffolding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Create a TypeScript interface IEmailEngine and a ResendEngine implementation.</w:t>
        <w:br/>
        <w:t>Add placeholders for PostmarkEngine, MailgunEngine, SendGridEngine, SesEngine implementing the same interface.</w:t>
        <w:br/>
        <w:t>Create a mapper that normalizes webhook events into internal OutcomeEvent objects.</w:t>
        <w:br/>
        <w:t>Ensure adapter selection is per workspace+environment and based on stored credentials.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