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0C2340"/>
          <w:sz w:val="22"/>
        </w:rPr>
        <w:t>BUKIDNON STATE UNIVERSITY</w:t>
      </w:r>
    </w:p>
    <w:p>
      <w:pPr>
        <w:spacing w:after="280"/>
      </w:pPr>
      <w:r>
        <w:rPr>
          <w:color w:val="64748B"/>
          <w:sz w:val="19"/>
        </w:rPr>
        <w:t>College of Technologies • Department of Information Technology</w:t>
        <w:br/>
        <w:t>Capstone Management System V2 (CMS-V2) Operational Specification</w:t>
      </w:r>
    </w:p>
    <w:p>
      <w:pPr>
        <w:spacing w:after="120"/>
      </w:pPr>
      <w:r>
        <w:rPr>
          <w:b/>
          <w:color w:val="0C2340"/>
          <w:sz w:val="48"/>
        </w:rPr>
        <w:t>Comprehensive End-to-End System Workflow</w:t>
      </w:r>
    </w:p>
    <w:p>
      <w:pPr>
        <w:spacing w:after="280"/>
      </w:pPr>
      <w:r>
        <w:rPr>
          <w:color w:val="475569"/>
          <w:sz w:val="24"/>
        </w:rPr>
        <w:t>Canonical 4-Phase Progression, Multi-Tier ADM Verification, Role Governance, and Archival OCR Engine</w:t>
      </w:r>
    </w:p>
    <w:tbl>
      <w:tblPr>
        <w:tblW w:type="auto" w:w="0"/>
        <w:jc w:val="center"/>
        <w:tblLook w:firstColumn="1" w:firstRow="1" w:lastColumn="0" w:lastRow="0" w:noHBand="0" w:noVBand="1" w:val="04A0"/>
      </w:tblPr>
      <w:tblGrid>
        <w:gridCol w:w="2333"/>
        <w:gridCol w:w="2333"/>
        <w:gridCol w:w="2333"/>
        <w:gridCol w:w="2333"/>
      </w:tblGrid>
      <w:tr>
        <w:tc>
          <w:tcPr>
            <w:tcW w:type="dxa" w:w="2340"/>
            <w:shd w:fill="0C2340"/>
            <w:tcMar>
              <w:top w:w="100" w:type="dxa"/>
              <w:bottom w:w="100" w:type="dxa"/>
              <w:left w:w="120" w:type="dxa"/>
              <w:right w:w="120" w:type="dxa"/>
            </w:tcMar>
          </w:tcPr>
          <w:p>
            <w:pPr>
              <w:jc w:val="center"/>
            </w:pPr>
            <w:r>
              <w:rPr>
                <w:b/>
                <w:color w:val="FFFFFF"/>
                <w:sz w:val="17"/>
              </w:rPr>
              <w:t>Compliance Standard</w:t>
            </w:r>
          </w:p>
        </w:tc>
        <w:tc>
          <w:tcPr>
            <w:tcW w:type="dxa" w:w="2340"/>
            <w:shd w:fill="0C2340"/>
            <w:tcMar>
              <w:top w:w="100" w:type="dxa"/>
              <w:bottom w:w="100" w:type="dxa"/>
              <w:left w:w="120" w:type="dxa"/>
              <w:right w:w="120" w:type="dxa"/>
            </w:tcMar>
          </w:tcPr>
          <w:p>
            <w:pPr>
              <w:jc w:val="center"/>
            </w:pPr>
            <w:r>
              <w:rPr>
                <w:b/>
                <w:color w:val="FFFFFF"/>
                <w:sz w:val="17"/>
              </w:rPr>
              <w:t>Target Platform</w:t>
            </w:r>
          </w:p>
        </w:tc>
        <w:tc>
          <w:tcPr>
            <w:tcW w:type="dxa" w:w="2340"/>
            <w:shd w:fill="0C2340"/>
            <w:tcMar>
              <w:top w:w="100" w:type="dxa"/>
              <w:bottom w:w="100" w:type="dxa"/>
              <w:left w:w="120" w:type="dxa"/>
              <w:right w:w="120" w:type="dxa"/>
            </w:tcMar>
          </w:tcPr>
          <w:p>
            <w:pPr>
              <w:jc w:val="center"/>
            </w:pPr>
            <w:r>
              <w:rPr>
                <w:b/>
                <w:color w:val="FFFFFF"/>
                <w:sz w:val="17"/>
              </w:rPr>
              <w:t>Release Baseline</w:t>
            </w:r>
          </w:p>
        </w:tc>
        <w:tc>
          <w:tcPr>
            <w:tcW w:type="dxa" w:w="2340"/>
            <w:shd w:fill="0C2340"/>
            <w:tcMar>
              <w:top w:w="100" w:type="dxa"/>
              <w:bottom w:w="100" w:type="dxa"/>
              <w:left w:w="120" w:type="dxa"/>
              <w:right w:w="120" w:type="dxa"/>
            </w:tcMar>
          </w:tcPr>
          <w:p>
            <w:pPr>
              <w:jc w:val="center"/>
            </w:pPr>
            <w:r>
              <w:rPr>
                <w:b/>
                <w:color w:val="FFFFFF"/>
                <w:sz w:val="17"/>
              </w:rPr>
              <w:t>Document Status</w:t>
            </w:r>
          </w:p>
        </w:tc>
      </w:tr>
      <w:tr>
        <w:tc>
          <w:tcPr>
            <w:tcW w:type="dxa" w:w="2340"/>
            <w:shd w:fill="F8FAFC"/>
            <w:tcMar>
              <w:top w:w="100" w:type="dxa"/>
              <w:bottom w:w="100" w:type="dxa"/>
              <w:left w:w="120" w:type="dxa"/>
              <w:right w:w="120" w:type="dxa"/>
            </w:tcMar>
          </w:tcPr>
          <w:p>
            <w:pPr>
              <w:jc w:val="center"/>
            </w:pPr>
            <w:r>
              <w:rPr>
                <w:b w:val="0"/>
                <w:color w:val="1E293B"/>
                <w:sz w:val="18"/>
              </w:rPr>
              <w:t>ASDLC v2.0 Ready</w:t>
            </w:r>
          </w:p>
        </w:tc>
        <w:tc>
          <w:tcPr>
            <w:tcW w:type="dxa" w:w="2340"/>
            <w:shd w:fill="F8FAFC"/>
            <w:tcMar>
              <w:top w:w="100" w:type="dxa"/>
              <w:bottom w:w="100" w:type="dxa"/>
              <w:left w:w="120" w:type="dxa"/>
              <w:right w:w="120" w:type="dxa"/>
            </w:tcMar>
          </w:tcPr>
          <w:p>
            <w:pPr>
              <w:jc w:val="center"/>
            </w:pPr>
            <w:r>
              <w:rPr>
                <w:b w:val="0"/>
                <w:color w:val="1E293B"/>
                <w:sz w:val="18"/>
              </w:rPr>
              <w:t>BukSU CMS-V2 Monorepo</w:t>
            </w:r>
          </w:p>
        </w:tc>
        <w:tc>
          <w:tcPr>
            <w:tcW w:type="dxa" w:w="2340"/>
            <w:shd w:fill="F8FAFC"/>
            <w:tcMar>
              <w:top w:w="100" w:type="dxa"/>
              <w:bottom w:w="100" w:type="dxa"/>
              <w:left w:w="120" w:type="dxa"/>
              <w:right w:w="120" w:type="dxa"/>
            </w:tcMar>
          </w:tcPr>
          <w:p>
            <w:pPr>
              <w:jc w:val="center"/>
            </w:pPr>
            <w:r>
              <w:rPr>
                <w:b w:val="0"/>
                <w:color w:val="1E293B"/>
                <w:sz w:val="18"/>
              </w:rPr>
              <w:t>Version 2.1.0</w:t>
            </w:r>
          </w:p>
        </w:tc>
        <w:tc>
          <w:tcPr>
            <w:tcW w:type="dxa" w:w="2340"/>
            <w:shd w:fill="F8FAFC"/>
            <w:tcMar>
              <w:top w:w="100" w:type="dxa"/>
              <w:bottom w:w="100" w:type="dxa"/>
              <w:left w:w="120" w:type="dxa"/>
              <w:right w:w="120" w:type="dxa"/>
            </w:tcMar>
          </w:tcPr>
          <w:p>
            <w:pPr>
              <w:jc w:val="center"/>
            </w:pPr>
            <w:r>
              <w:rPr>
                <w:b/>
                <w:color w:val="166534"/>
                <w:sz w:val="18"/>
              </w:rPr>
              <w:t>Approved Ground Truth</w:t>
            </w:r>
          </w:p>
        </w:tc>
      </w:tr>
    </w:tbl>
    <w:p>
      <w:pPr>
        <w:spacing w:after="240"/>
      </w:pPr>
    </w:p>
    <w:p>
      <w:pPr>
        <w:keepNext/>
        <w:spacing w:before="360" w:after="120"/>
      </w:pPr>
      <w:r>
        <w:rPr>
          <w:b/>
          <w:color w:val="0C2340"/>
          <w:sz w:val="30"/>
        </w:rPr>
        <w:t>1. Executive Summary &amp; Architectural Overview</w:t>
      </w:r>
    </w:p>
    <w:p>
      <w:pPr>
        <w:spacing w:after="120"/>
      </w:pPr>
      <w:r>
        <w:rPr>
          <w:sz w:val="20"/>
        </w:rPr>
        <w:t>The Bukidnon State University (BukSU) Capstone Management System V2 (CMS-V2) is an institutional-grade, deterministic academic workflow orchestration platform engineered specifically for the Information Technology Department. The platform governs the entire undergraduate capstone lifecycle, enforcing strict academic prerequisites, anti-plagiarism verification, rubric-based panel defenses, Action Done Matrix (ADM) multi-signatory compliance, and atomic digital archival.</w:t>
      </w:r>
    </w:p>
    <w:p>
      <w:pPr>
        <w:spacing w:after="120"/>
      </w:pPr>
      <w:r>
        <w:rPr>
          <w:sz w:val="20"/>
        </w:rPr>
        <w:t>CMS-V2 operates across a modern, asynchronous monorepo architecture engineered for zero data loss, institutional hierarchy preservation, and high performance:</w:t>
      </w:r>
    </w:p>
    <w:p>
      <w:pPr>
        <w:pStyle w:val="ListBullet"/>
        <w:spacing w:after="80"/>
        <w:ind w:left="360"/>
      </w:pPr>
      <w:r>
        <w:rPr>
          <w:b/>
          <w:color w:val="0F172A"/>
        </w:rPr>
        <w:t xml:space="preserve">• Core Server Backend: </w:t>
      </w:r>
      <w:r>
        <w:rPr>
          <w:sz w:val="20"/>
        </w:rPr>
        <w:t>Express.js 5 + Mongoose 9 ODM + Redis + BullMQ asynchronous task queues for durable background processing.</w:t>
      </w:r>
    </w:p>
    <w:p>
      <w:pPr>
        <w:pStyle w:val="ListBullet"/>
        <w:spacing w:after="80"/>
        <w:ind w:left="360"/>
      </w:pPr>
      <w:r>
        <w:rPr>
          <w:b/>
          <w:color w:val="0F172A"/>
        </w:rPr>
        <w:t xml:space="preserve">• Frontend Client: </w:t>
      </w:r>
      <w:r>
        <w:rPr>
          <w:sz w:val="20"/>
        </w:rPr>
        <w:t>React 18 SPA + Vite + Tailwind CSS design system tokens + Zustand state store + TanStack React Query.</w:t>
      </w:r>
    </w:p>
    <w:p>
      <w:pPr>
        <w:pStyle w:val="ListBullet"/>
        <w:spacing w:after="80"/>
        <w:ind w:left="360"/>
      </w:pPr>
      <w:r>
        <w:rPr>
          <w:b/>
          <w:color w:val="0F172A"/>
        </w:rPr>
        <w:t xml:space="preserve">• Similarity &amp; Plagiarism Engine: </w:t>
      </w:r>
      <w:r>
        <w:rPr>
          <w:sz w:val="20"/>
        </w:rPr>
        <w:t>FastAPI + ChromaDB (HNSW Vector Index) + PyTorch BAAI/bge-m3 (1024-dim dense + sparse vectors) + Winnowing fingerprinting.</w:t>
      </w:r>
    </w:p>
    <w:p>
      <w:pPr>
        <w:pStyle w:val="ListBullet"/>
        <w:spacing w:after="80"/>
        <w:ind w:left="360"/>
      </w:pPr>
      <w:r>
        <w:rPr>
          <w:b/>
          <w:color w:val="0F172A"/>
        </w:rPr>
        <w:t xml:space="preserve">• OCR &amp; Archival Ingestion: </w:t>
      </w:r>
      <w:r>
        <w:rPr>
          <w:sz w:val="20"/>
        </w:rPr>
        <w:t>FastAPI + PaddleOCR-VL (0.9B vision-language model) running on cms-ocr-engine:8000 with BullMQ queueing and in-process pdf-parse fallback.</w:t>
      </w:r>
    </w:p>
    <w:p>
      <w:pPr>
        <w:pStyle w:val="ListBullet"/>
        <w:spacing w:after="80"/>
        <w:ind w:left="360"/>
      </w:pPr>
      <w:r>
        <w:rPr>
          <w:b/>
          <w:color w:val="0F172A"/>
        </w:rPr>
        <w:t xml:space="preserve">• Shared Workspace: </w:t>
      </w:r>
      <w:r>
        <w:rPr>
          <w:sz w:val="20"/>
        </w:rPr>
        <w:t>Canonical JSON schemas, role constants (PRIMARY_ROLES), and shared validation utilities ensuring zero-drift type safety.</w:t>
      </w:r>
    </w:p>
    <w:p>
      <w:pPr>
        <w:keepNext/>
        <w:spacing w:before="360" w:after="120"/>
      </w:pPr>
      <w:r>
        <w:rPr>
          <w:b/>
          <w:color w:val="0C2340"/>
          <w:sz w:val="30"/>
        </w:rPr>
        <w:t>2. Institutional Role Boundaries &amp; Committee Composition Rules</w:t>
      </w:r>
    </w:p>
    <w:p>
      <w:pPr>
        <w:spacing w:after="120"/>
      </w:pPr>
      <w:r>
        <w:rPr>
          <w:sz w:val="20"/>
        </w:rPr>
        <w:t>To preserve academic integrity, avoid split-brain governance, and eliminate conflicts of interest, CMS-V2 strictly enforces the following institutional role boundaries:</w:t>
      </w:r>
    </w:p>
    <w:p>
      <w:pPr>
        <w:pStyle w:val="ListBullet"/>
        <w:spacing w:after="80"/>
        <w:ind w:left="360"/>
      </w:pPr>
      <w:r>
        <w:rPr>
          <w:b/>
          <w:color w:val="0F172A"/>
        </w:rPr>
        <w:t xml:space="preserve">1. Primary Role Consolidation: </w:t>
      </w:r>
      <w:r>
        <w:rPr>
          <w:sz w:val="20"/>
        </w:rPr>
        <w:t>User accounts visible in administration (/users) strictly belong to primary roles: student, instructor, or faculty (PRIMARY_ROLES). Committee roles (Adviser, Secretary, Panelist, Chair) are committee appointments under the faculty umbrella. Backend queries for role: 'faculty' automatically expand to include all appointed committee members.</w:t>
      </w:r>
    </w:p>
    <w:p>
      <w:pPr>
        <w:pStyle w:val="ListBullet"/>
        <w:spacing w:after="80"/>
        <w:ind w:left="360"/>
      </w:pPr>
      <w:r>
        <w:rPr>
          <w:b/>
          <w:color w:val="0F172A"/>
        </w:rPr>
        <w:t xml:space="preserve">2. Course Instructor Exclusion: </w:t>
      </w:r>
      <w:r>
        <w:rPr>
          <w:sz w:val="20"/>
        </w:rPr>
        <w:t>Course Instructors (role: 'instructor') are strictly prohibited from serving as Adviser, Secretary, or Defense Panelists on any capstone team. Both client combobox selectors and backend services (team.service.js) strictly reject instructor appointments.</w:t>
      </w:r>
    </w:p>
    <w:p>
      <w:pPr>
        <w:pStyle w:val="ListBullet"/>
        <w:spacing w:after="80"/>
        <w:ind w:left="360"/>
      </w:pPr>
      <w:r>
        <w:rPr>
          <w:b/>
          <w:color w:val="0F172A"/>
        </w:rPr>
        <w:t xml:space="preserve">3. Committee Appointments &amp; Mutual Exclusion: </w:t>
      </w:r>
      <w:r>
        <w:rPr>
          <w:sz w:val="20"/>
        </w:rPr>
        <w:t>Every defense committee consists of exactly 1 Adviser, 1 Secretary, and 3 Defense Panelists (Panelist 1 Lead/Chair, Panelist 2 Member, Panel Member 3), with none labeled optional. A faculty member cannot serve as both adviser/secretary and panelist on the same team, nor can panelists duplicate each other.</w:t>
      </w:r>
    </w:p>
    <w:p>
      <w:pPr>
        <w:pStyle w:val="ListBullet"/>
        <w:spacing w:after="80"/>
        <w:ind w:left="360"/>
      </w:pPr>
      <w:r>
        <w:rPr>
          <w:b/>
          <w:color w:val="0F172A"/>
        </w:rPr>
        <w:t xml:space="preserve">4. Secretary ADM Compliance Gate: </w:t>
      </w:r>
      <w:r>
        <w:rPr>
          <w:sz w:val="20"/>
        </w:rPr>
        <w:t>In Phase 4, the committee Secretary must endorse all manuscript revisions (project.admSignatures.secretary.endorsed === true) before Tier 1 (Adviser), Tier 2 (Panelists/Chair), and Tier 3 (Dean) digital signatures can unlock.</w:t>
      </w:r>
    </w:p>
    <w:tbl>
      <w:tblPr>
        <w:tblW w:type="auto" w:w="0"/>
        <w:jc w:val="center"/>
        <w:tblLook w:firstColumn="1" w:firstRow="1" w:lastColumn="0" w:lastRow="0" w:noHBand="0" w:noVBand="1" w:val="04A0"/>
      </w:tblPr>
      <w:tblGrid>
        <w:gridCol w:w="9360"/>
      </w:tblGrid>
      <w:tr>
        <w:tc>
          <w:tcPr>
            <w:tcW w:type="dxa" w:w="9360"/>
            <w:shd w:fill="FEFCE8"/>
            <w:tcBorders>
              <w:top w:val="none"/>
              <w:left w:val="single" w:sz="24" w:space="0" w:color="CA8A04"/>
              <w:bottom w:val="none"/>
              <w:right w:val="none"/>
            </w:tcBorders>
            <w:tcMar>
              <w:top w:w="140" w:type="dxa"/>
              <w:bottom w:w="140" w:type="dxa"/>
              <w:left w:w="200" w:type="dxa"/>
              <w:right w:w="200" w:type="dxa"/>
            </w:tcMar>
          </w:tcPr>
          <w:p>
            <w:pPr>
              <w:spacing w:after="0"/>
            </w:pPr>
            <w:r>
              <w:rPr>
                <w:b/>
                <w:color w:val="0C2340"/>
                <w:sz w:val="19"/>
              </w:rPr>
              <w:t>CRITICAL INSTITUTIONAL INTEGRITY POLICY</w:t>
              <w:br/>
            </w:r>
            <w:r>
              <w:rPr>
                <w:color w:val="1E293B"/>
                <w:sz w:val="19"/>
              </w:rPr>
              <w:t>Institutional Hierarchy Rule: A Course Instructor cannot serve on a capstone committee for students they assess. All committee assignments must be drawn exclusively from the faculty pool. Furthermore, the Secretary endorsement gate acts as an immutable cryptographic lock preventing premature panel sign-offs.</w:t>
            </w:r>
          </w:p>
        </w:tc>
      </w:tr>
    </w:tbl>
    <w:p>
      <w:pPr>
        <w:spacing w:after="120"/>
      </w:pPr>
    </w:p>
    <w:p>
      <w:pPr>
        <w:keepNext/>
        <w:spacing w:before="360" w:after="120"/>
      </w:pPr>
      <w:r>
        <w:rPr>
          <w:b/>
          <w:color w:val="0C2340"/>
          <w:sz w:val="30"/>
        </w:rPr>
        <w:t>3. Canonical End-to-End System Workflow Map</w:t>
      </w:r>
    </w:p>
    <w:p>
      <w:pPr>
        <w:spacing w:after="120"/>
      </w:pPr>
      <w:r>
        <w:rPr>
          <w:sz w:val="20"/>
        </w:rPr>
        <w:t>The following high-resolution diagram illustrates the complete, deterministic progression of BukSU CMS-V2, from initial team formation (Phase 0) through final auto-archival (Phase 4), alongside the concurrent Retrospective Archival Ingestion Engine:</w:t>
      </w:r>
    </w:p>
    <w:p>
      <w:pPr>
        <w:spacing w:before="160" w:after="80"/>
        <w:jc w:val="center"/>
      </w:pPr>
      <w:r>
        <w:drawing>
          <wp:inline xmlns:a="http://schemas.openxmlformats.org/drawingml/2006/main" xmlns:pic="http://schemas.openxmlformats.org/drawingml/2006/picture">
            <wp:extent cx="5852160" cy="13689373"/>
            <wp:docPr id="1" name="Picture 1"/>
            <wp:cNvGraphicFramePr>
              <a:graphicFrameLocks noChangeAspect="1"/>
            </wp:cNvGraphicFramePr>
            <a:graphic>
              <a:graphicData uri="http://schemas.openxmlformats.org/drawingml/2006/picture">
                <pic:pic>
                  <pic:nvPicPr>
                    <pic:cNvPr id="0" name="cms_v2_system_workflow.png"/>
                    <pic:cNvPicPr/>
                  </pic:nvPicPr>
                  <pic:blipFill>
                    <a:blip r:embed="rId11"/>
                    <a:stretch>
                      <a:fillRect/>
                    </a:stretch>
                  </pic:blipFill>
                  <pic:spPr>
                    <a:xfrm>
                      <a:off x="0" y="0"/>
                      <a:ext cx="5852160" cy="13689373"/>
                    </a:xfrm>
                    <a:prstGeom prst="rect"/>
                  </pic:spPr>
                </pic:pic>
              </a:graphicData>
            </a:graphic>
          </wp:inline>
        </w:drawing>
      </w:r>
    </w:p>
    <w:p>
      <w:pPr>
        <w:spacing w:after="280"/>
        <w:jc w:val="center"/>
      </w:pPr>
      <w:r>
        <w:rPr>
          <w:i/>
          <w:color w:val="64748B"/>
          <w:sz w:val="17"/>
        </w:rPr>
        <w:t>Figure 1: Complete BukSU CMS-V2 System Architecture &amp; Sequential Capstone Progression Lifecycle</w:t>
      </w:r>
    </w:p>
    <w:p>
      <w:pPr>
        <w:keepNext/>
        <w:spacing w:before="240" w:after="80"/>
      </w:pPr>
      <w:r>
        <w:rPr>
          <w:b/>
          <w:color w:val="1E3A8A"/>
          <w:sz w:val="24"/>
        </w:rPr>
        <w:t>System Progression &amp; Quality Gates Summary Table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1728"/>
            <w:shd w:fill="0C2340"/>
            <w:tcMar>
              <w:top w:w="120" w:type="dxa"/>
              <w:bottom w:w="120" w:type="dxa"/>
              <w:left w:w="140" w:type="dxa"/>
              <w:right w:w="140" w:type="dxa"/>
            </w:tcMar>
          </w:tcPr>
          <w:p>
            <w:r>
              <w:rPr>
                <w:b/>
                <w:color w:val="FFFFFF"/>
                <w:sz w:val="17"/>
              </w:rPr>
              <w:t>Phase / Stage</w:t>
            </w:r>
          </w:p>
        </w:tc>
        <w:tc>
          <w:tcPr>
            <w:tcW w:type="dxa" w:w="2592"/>
            <w:shd w:fill="0C2340"/>
            <w:tcMar>
              <w:top w:w="120" w:type="dxa"/>
              <w:bottom w:w="120" w:type="dxa"/>
              <w:left w:w="140" w:type="dxa"/>
              <w:right w:w="140" w:type="dxa"/>
            </w:tcMar>
          </w:tcPr>
          <w:p>
            <w:r>
              <w:rPr>
                <w:b/>
                <w:color w:val="FFFFFF"/>
                <w:sz w:val="17"/>
              </w:rPr>
              <w:t>Key Deliverables</w:t>
            </w:r>
          </w:p>
        </w:tc>
        <w:tc>
          <w:tcPr>
            <w:tcW w:type="dxa" w:w="2592"/>
            <w:shd w:fill="0C2340"/>
            <w:tcMar>
              <w:top w:w="120" w:type="dxa"/>
              <w:bottom w:w="120" w:type="dxa"/>
              <w:left w:w="140" w:type="dxa"/>
              <w:right w:w="140" w:type="dxa"/>
            </w:tcMar>
          </w:tcPr>
          <w:p>
            <w:r>
              <w:rPr>
                <w:b/>
                <w:color w:val="FFFFFF"/>
                <w:sz w:val="17"/>
              </w:rPr>
              <w:t>Governing Rubrics &amp; Engines</w:t>
            </w:r>
          </w:p>
        </w:tc>
        <w:tc>
          <w:tcPr>
            <w:tcW w:type="dxa" w:w="2448"/>
            <w:shd w:fill="0C2340"/>
            <w:tcMar>
              <w:top w:w="120" w:type="dxa"/>
              <w:bottom w:w="120" w:type="dxa"/>
              <w:left w:w="140" w:type="dxa"/>
              <w:right w:w="140" w:type="dxa"/>
            </w:tcMar>
          </w:tcPr>
          <w:p>
            <w:r>
              <w:rPr>
                <w:b/>
                <w:color w:val="FFFFFF"/>
                <w:sz w:val="17"/>
              </w:rPr>
              <w:t>Exit Gate / Unlock Condition</w:t>
            </w:r>
          </w:p>
        </w:tc>
      </w:tr>
      <w:tr>
        <w:tc>
          <w:tcPr>
            <w:tcW w:type="dxa" w:w="1728"/>
            <w:shd w:fill="F8FAFC"/>
            <w:tcMar>
              <w:top w:w="100" w:type="dxa"/>
              <w:bottom w:w="100" w:type="dxa"/>
              <w:left w:w="140" w:type="dxa"/>
              <w:right w:w="140" w:type="dxa"/>
            </w:tcMar>
          </w:tcPr>
          <w:p>
            <w:r>
              <w:rPr>
                <w:b/>
                <w:color w:val="0C2340"/>
                <w:sz w:val="17"/>
              </w:rPr>
              <w:t>Phase 0:</w:t>
              <w:br/>
              <w:t>Team Formation</w:t>
            </w:r>
          </w:p>
        </w:tc>
        <w:tc>
          <w:tcPr>
            <w:tcW w:type="dxa" w:w="2592"/>
            <w:shd w:fill="F8FAFC"/>
            <w:tcMar>
              <w:top w:w="100" w:type="dxa"/>
              <w:bottom w:w="100" w:type="dxa"/>
              <w:left w:w="140" w:type="dxa"/>
              <w:right w:w="140" w:type="dxa"/>
            </w:tcMar>
          </w:tcPr>
          <w:p>
            <w:r>
              <w:rPr>
                <w:sz w:val="17"/>
              </w:rPr>
              <w:t>Team of 2–4 members, 5 canonical roles allocated, course/section binding</w:t>
            </w:r>
          </w:p>
        </w:tc>
        <w:tc>
          <w:tcPr>
            <w:tcW w:type="dxa" w:w="2592"/>
            <w:shd w:fill="F8FAFC"/>
            <w:tcMar>
              <w:top w:w="100" w:type="dxa"/>
              <w:bottom w:w="100" w:type="dxa"/>
              <w:left w:w="140" w:type="dxa"/>
              <w:right w:w="140" w:type="dxa"/>
            </w:tcMar>
          </w:tcPr>
          <w:p>
            <w:r>
              <w:rPr>
                <w:sz w:val="17"/>
              </w:rPr>
              <w:t>Roster Locking API (PATCH /api/teams/:id/lock)</w:t>
            </w:r>
          </w:p>
        </w:tc>
        <w:tc>
          <w:tcPr>
            <w:tcW w:type="dxa" w:w="2448"/>
            <w:shd w:fill="F8FAFC"/>
            <w:tcMar>
              <w:top w:w="100" w:type="dxa"/>
              <w:bottom w:w="100" w:type="dxa"/>
              <w:left w:w="140" w:type="dxa"/>
              <w:right w:w="140" w:type="dxa"/>
            </w:tcMar>
          </w:tcPr>
          <w:p>
            <w:r>
              <w:rPr>
                <w:sz w:val="17"/>
              </w:rPr>
              <w:t>Committee appointed: 1 Adviser, 1 Secretary, 3 Panelists</w:t>
            </w:r>
          </w:p>
        </w:tc>
      </w:tr>
      <w:tr>
        <w:tc>
          <w:tcPr>
            <w:tcW w:type="dxa" w:w="1728"/>
            <w:shd w:fill="FFFFFF"/>
            <w:tcMar>
              <w:top w:w="100" w:type="dxa"/>
              <w:bottom w:w="100" w:type="dxa"/>
              <w:left w:w="140" w:type="dxa"/>
              <w:right w:w="140" w:type="dxa"/>
            </w:tcMar>
          </w:tcPr>
          <w:p>
            <w:r>
              <w:rPr>
                <w:b/>
                <w:color w:val="0C2340"/>
                <w:sz w:val="17"/>
              </w:rPr>
              <w:t>Phase 1:</w:t>
              <w:br/>
              <w:t>Capstone 1</w:t>
            </w:r>
          </w:p>
        </w:tc>
        <w:tc>
          <w:tcPr>
            <w:tcW w:type="dxa" w:w="2592"/>
            <w:shd w:fill="FFFFFF"/>
            <w:tcMar>
              <w:top w:w="100" w:type="dxa"/>
              <w:bottom w:w="100" w:type="dxa"/>
              <w:left w:w="140" w:type="dxa"/>
              <w:right w:w="140" w:type="dxa"/>
            </w:tcMar>
          </w:tcPr>
          <w:p>
            <w:r>
              <w:rPr>
                <w:sz w:val="17"/>
              </w:rPr>
              <w:t>1–10 candidate title proposals, SDG tags (1–17), IT disciplines (1–10)</w:t>
            </w:r>
          </w:p>
        </w:tc>
        <w:tc>
          <w:tcPr>
            <w:tcW w:type="dxa" w:w="2592"/>
            <w:shd w:fill="FFFFFF"/>
            <w:tcMar>
              <w:top w:w="100" w:type="dxa"/>
              <w:bottom w:w="100" w:type="dxa"/>
              <w:left w:w="140" w:type="dxa"/>
              <w:right w:w="140" w:type="dxa"/>
            </w:tcMar>
          </w:tcPr>
          <w:p>
            <w:r>
              <w:rPr>
                <w:sz w:val="17"/>
              </w:rPr>
              <w:t>BAAI/bge-m3 cosine similarity pre-scan, Title Defense Hearing rubrics</w:t>
            </w:r>
          </w:p>
        </w:tc>
        <w:tc>
          <w:tcPr>
            <w:tcW w:type="dxa" w:w="2448"/>
            <w:shd w:fill="FFFFFF"/>
            <w:tcMar>
              <w:top w:w="100" w:type="dxa"/>
              <w:bottom w:w="100" w:type="dxa"/>
              <w:left w:w="140" w:type="dxa"/>
              <w:right w:w="140" w:type="dxa"/>
            </w:tcMar>
          </w:tcPr>
          <w:p>
            <w:r>
              <w:rPr>
                <w:sz w:val="17"/>
              </w:rPr>
              <w:t>Title approval status: titleStatus = 'approved'</w:t>
            </w:r>
          </w:p>
        </w:tc>
      </w:tr>
      <w:tr>
        <w:tc>
          <w:tcPr>
            <w:tcW w:type="dxa" w:w="1728"/>
            <w:shd w:fill="F8FAFC"/>
            <w:tcMar>
              <w:top w:w="100" w:type="dxa"/>
              <w:bottom w:w="100" w:type="dxa"/>
              <w:left w:w="140" w:type="dxa"/>
              <w:right w:w="140" w:type="dxa"/>
            </w:tcMar>
          </w:tcPr>
          <w:p>
            <w:r>
              <w:rPr>
                <w:b/>
                <w:color w:val="0C2340"/>
                <w:sz w:val="17"/>
              </w:rPr>
              <w:t>Phase 2:</w:t>
              <w:br/>
              <w:t>Capstone 2</w:t>
            </w:r>
          </w:p>
        </w:tc>
        <w:tc>
          <w:tcPr>
            <w:tcW w:type="dxa" w:w="2592"/>
            <w:shd w:fill="F8FAFC"/>
            <w:tcMar>
              <w:top w:w="100" w:type="dxa"/>
              <w:bottom w:w="100" w:type="dxa"/>
              <w:left w:w="140" w:type="dxa"/>
              <w:right w:w="140" w:type="dxa"/>
            </w:tcMar>
          </w:tcPr>
          <w:p>
            <w:r>
              <w:rPr>
                <w:sz w:val="17"/>
              </w:rPr>
              <w:t>Chapters 1–3 Manuscript (Word/PDF), Sophisticated Document Viewer</w:t>
            </w:r>
          </w:p>
        </w:tc>
        <w:tc>
          <w:tcPr>
            <w:tcW w:type="dxa" w:w="2592"/>
            <w:shd w:fill="F8FAFC"/>
            <w:tcMar>
              <w:top w:w="100" w:type="dxa"/>
              <w:bottom w:w="100" w:type="dxa"/>
              <w:left w:w="140" w:type="dxa"/>
              <w:right w:w="140" w:type="dxa"/>
            </w:tcMar>
          </w:tcPr>
          <w:p>
            <w:r>
              <w:rPr>
                <w:sz w:val="17"/>
              </w:rPr>
              <w:t>Dual Plagiarism Scan v1 (&lt; 25% threshold), Midterm defense rubrics</w:t>
            </w:r>
          </w:p>
        </w:tc>
        <w:tc>
          <w:tcPr>
            <w:tcW w:type="dxa" w:w="2448"/>
            <w:shd w:fill="F8FAFC"/>
            <w:tcMar>
              <w:top w:w="100" w:type="dxa"/>
              <w:bottom w:w="100" w:type="dxa"/>
              <w:left w:w="140" w:type="dxa"/>
              <w:right w:w="140" w:type="dxa"/>
            </w:tcMar>
          </w:tcPr>
          <w:p>
            <w:r>
              <w:rPr>
                <w:sz w:val="17"/>
              </w:rPr>
              <w:t>Action Done Matrix (ADM v1) signed off by committee</w:t>
            </w:r>
          </w:p>
        </w:tc>
      </w:tr>
      <w:tr>
        <w:tc>
          <w:tcPr>
            <w:tcW w:type="dxa" w:w="1728"/>
            <w:shd w:fill="FFFFFF"/>
            <w:tcMar>
              <w:top w:w="100" w:type="dxa"/>
              <w:bottom w:w="100" w:type="dxa"/>
              <w:left w:w="140" w:type="dxa"/>
              <w:right w:w="140" w:type="dxa"/>
            </w:tcMar>
          </w:tcPr>
          <w:p>
            <w:r>
              <w:rPr>
                <w:b/>
                <w:color w:val="0C2340"/>
                <w:sz w:val="17"/>
              </w:rPr>
              <w:t>Phase 3:</w:t>
              <w:br/>
              <w:t>Capstone 3</w:t>
            </w:r>
          </w:p>
        </w:tc>
        <w:tc>
          <w:tcPr>
            <w:tcW w:type="dxa" w:w="2592"/>
            <w:shd w:fill="FFFFFF"/>
            <w:tcMar>
              <w:top w:w="100" w:type="dxa"/>
              <w:bottom w:w="100" w:type="dxa"/>
              <w:left w:w="140" w:type="dxa"/>
              <w:right w:w="140" w:type="dxa"/>
            </w:tcMar>
          </w:tcPr>
          <w:p>
            <w:r>
              <w:rPr>
                <w:sz w:val="17"/>
              </w:rPr>
              <w:t>Interactive Gantt (4 milestone sections), Chapters 4–5 manuscript draft</w:t>
            </w:r>
          </w:p>
        </w:tc>
        <w:tc>
          <w:tcPr>
            <w:tcW w:type="dxa" w:w="2592"/>
            <w:shd w:fill="FFFFFF"/>
            <w:tcMar>
              <w:top w:w="100" w:type="dxa"/>
              <w:bottom w:w="100" w:type="dxa"/>
              <w:left w:w="140" w:type="dxa"/>
              <w:right w:w="140" w:type="dxa"/>
            </w:tcMar>
          </w:tcPr>
          <w:p>
            <w:r>
              <w:rPr>
                <w:sz w:val="17"/>
              </w:rPr>
              <w:t>Progress defense rubrics, Prototype demo, Late justification gate (isLate)</w:t>
            </w:r>
          </w:p>
        </w:tc>
        <w:tc>
          <w:tcPr>
            <w:tcW w:type="dxa" w:w="2448"/>
            <w:shd w:fill="FFFFFF"/>
            <w:tcMar>
              <w:top w:w="100" w:type="dxa"/>
              <w:bottom w:w="100" w:type="dxa"/>
              <w:left w:w="140" w:type="dxa"/>
              <w:right w:w="140" w:type="dxa"/>
            </w:tcMar>
          </w:tcPr>
          <w:p>
            <w:r>
              <w:rPr>
                <w:sz w:val="17"/>
              </w:rPr>
              <w:t>Action Done Matrix (ADM v2) signed off by committee</w:t>
            </w:r>
          </w:p>
        </w:tc>
      </w:tr>
      <w:tr>
        <w:tc>
          <w:tcPr>
            <w:tcW w:type="dxa" w:w="1728"/>
            <w:shd w:fill="F8FAFC"/>
            <w:tcMar>
              <w:top w:w="100" w:type="dxa"/>
              <w:bottom w:w="100" w:type="dxa"/>
              <w:left w:w="140" w:type="dxa"/>
              <w:right w:w="140" w:type="dxa"/>
            </w:tcMar>
          </w:tcPr>
          <w:p>
            <w:r>
              <w:rPr>
                <w:b/>
                <w:color w:val="0C2340"/>
                <w:sz w:val="17"/>
              </w:rPr>
              <w:t>Phase 4:</w:t>
              <w:br/>
              <w:t>Capstone 4</w:t>
            </w:r>
          </w:p>
        </w:tc>
        <w:tc>
          <w:tcPr>
            <w:tcW w:type="dxa" w:w="2592"/>
            <w:shd w:fill="F8FAFC"/>
            <w:tcMar>
              <w:top w:w="100" w:type="dxa"/>
              <w:bottom w:w="100" w:type="dxa"/>
              <w:left w:w="140" w:type="dxa"/>
              <w:right w:w="140" w:type="dxa"/>
            </w:tcMar>
          </w:tcPr>
          <w:p>
            <w:r>
              <w:rPr>
                <w:sz w:val="17"/>
              </w:rPr>
              <w:t>Full 5-chapter manuscript compilation, Final prototype implementation</w:t>
            </w:r>
          </w:p>
        </w:tc>
        <w:tc>
          <w:tcPr>
            <w:tcW w:type="dxa" w:w="2592"/>
            <w:shd w:fill="F8FAFC"/>
            <w:tcMar>
              <w:top w:w="100" w:type="dxa"/>
              <w:bottom w:w="100" w:type="dxa"/>
              <w:left w:w="140" w:type="dxa"/>
              <w:right w:w="140" w:type="dxa"/>
            </w:tcMar>
          </w:tcPr>
          <w:p>
            <w:r>
              <w:rPr>
                <w:sz w:val="17"/>
              </w:rPr>
              <w:t>Deep vector plagiarism scan (&lt; 25%), Final oral defense hearing rubrics</w:t>
            </w:r>
          </w:p>
        </w:tc>
        <w:tc>
          <w:tcPr>
            <w:tcW w:type="dxa" w:w="2448"/>
            <w:shd w:fill="F8FAFC"/>
            <w:tcMar>
              <w:top w:w="100" w:type="dxa"/>
              <w:bottom w:w="100" w:type="dxa"/>
              <w:left w:w="140" w:type="dxa"/>
              <w:right w:w="140" w:type="dxa"/>
            </w:tcMar>
          </w:tcPr>
          <w:p>
            <w:r>
              <w:rPr>
                <w:sz w:val="17"/>
              </w:rPr>
              <w:t>Secretary Endorsement Gate -&gt; 3-Tier Multi-Signatures -&gt; S3 Archival</w:t>
            </w:r>
          </w:p>
        </w:tc>
      </w:tr>
    </w:tbl>
    <w:p>
      <w:pPr>
        <w:spacing w:after="240"/>
      </w:pPr>
    </w:p>
    <w:p>
      <w:pPr>
        <w:keepNext/>
        <w:spacing w:before="360" w:after="120"/>
      </w:pPr>
      <w:r>
        <w:rPr>
          <w:b/>
          <w:color w:val="0C2340"/>
          <w:sz w:val="30"/>
        </w:rPr>
        <w:t>4. Phase 0: Team Formation &amp; Committee Binding</w:t>
      </w:r>
    </w:p>
    <w:p>
      <w:pPr>
        <w:spacing w:after="120"/>
      </w:pPr>
      <w:r>
        <w:rPr>
          <w:sz w:val="20"/>
        </w:rPr>
        <w:t>Phase 0 establishes the operational foundation for each capstone cohort. No team may begin drafting proposals or submitting deliverables until roster integrity is guaranteed.</w:t>
      </w:r>
    </w:p>
    <w:p>
      <w:pPr>
        <w:pStyle w:val="ListBullet"/>
        <w:spacing w:after="80"/>
        <w:ind w:left="360"/>
      </w:pPr>
      <w:r>
        <w:rPr>
          <w:b/>
          <w:color w:val="0F172A"/>
        </w:rPr>
        <w:t xml:space="preserve">Step 0.1 — Student Team Assembly: </w:t>
      </w:r>
      <w:r>
        <w:rPr>
          <w:sz w:val="20"/>
        </w:rPr>
        <w:t>Teams assemble with 2 to 4 eligible student proponents. Each team binds to an Academic Year, Program/Course, and Section.</w:t>
      </w:r>
    </w:p>
    <w:p>
      <w:pPr>
        <w:pStyle w:val="ListBullet"/>
        <w:spacing w:after="80"/>
        <w:ind w:left="360"/>
      </w:pPr>
      <w:r>
        <w:rPr>
          <w:b/>
          <w:color w:val="0F172A"/>
        </w:rPr>
        <w:t xml:space="preserve">Step 0.2 — Role Allocation: </w:t>
      </w:r>
      <w:r>
        <w:rPr>
          <w:sz w:val="20"/>
        </w:rPr>
        <w:t>Proponents assign each member to one of 5 standardized BukSU roles: (1) Project Lead &amp; Systems Analyst, (2) Frontend &amp; UI/UX Developer, (3) Backend &amp; Database Developer, (4) Full-Stack Developer, and (5) QA &amp; Technical Documentor.</w:t>
      </w:r>
    </w:p>
    <w:p>
      <w:pPr>
        <w:pStyle w:val="ListBullet"/>
        <w:spacing w:after="80"/>
        <w:ind w:left="360"/>
      </w:pPr>
      <w:r>
        <w:rPr>
          <w:b/>
          <w:color w:val="0F172A"/>
        </w:rPr>
        <w:t xml:space="preserve">Step 0.3 — Team Roster Locking: </w:t>
      </w:r>
      <w:r>
        <w:rPr>
          <w:sz w:val="20"/>
        </w:rPr>
        <w:t>Once team membership and roles are finalized, the team locks its roster via PATCH /api/teams/:id/lock. After locking, self-service roster alterations are strictly disabled to prevent opportunistic student hopping.</w:t>
      </w:r>
    </w:p>
    <w:p>
      <w:pPr>
        <w:pStyle w:val="ListBullet"/>
        <w:spacing w:after="80"/>
        <w:ind w:left="360"/>
      </w:pPr>
      <w:r>
        <w:rPr>
          <w:b/>
          <w:color w:val="0F172A"/>
        </w:rPr>
        <w:t xml:space="preserve">Step 0.4 — Defense Committee Appointment: </w:t>
      </w:r>
      <w:r>
        <w:rPr>
          <w:sz w:val="20"/>
        </w:rPr>
        <w:t>The Course Instructor selects and appoints the defense committee from active faculty: exactly 1 Adviser, 1 Secretary, and 3 Panelists (Lead/Chair, Member 2, Member 3). The appointment engine strictly validates that no instructors serve on the committee and that no faculty member holds duplicate roles on the team.</w:t>
      </w:r>
    </w:p>
    <w:p>
      <w:pPr>
        <w:keepNext/>
        <w:spacing w:before="360" w:after="120"/>
      </w:pPr>
      <w:r>
        <w:rPr>
          <w:b/>
          <w:color w:val="0C2340"/>
          <w:sz w:val="30"/>
        </w:rPr>
        <w:t>5. Phase 1: Capstone 1 (Title Defense &amp; Proposal Pre-Scan)</w:t>
      </w:r>
    </w:p>
    <w:p>
      <w:pPr>
        <w:spacing w:after="120"/>
      </w:pPr>
      <w:r>
        <w:rPr>
          <w:sz w:val="20"/>
        </w:rPr>
        <w:t>Capstone 1 guides proponents through problem definition, literature alignment, and topic defense.</w:t>
      </w:r>
    </w:p>
    <w:p>
      <w:pPr>
        <w:pStyle w:val="ListBullet"/>
        <w:spacing w:after="80"/>
        <w:ind w:left="360"/>
      </w:pPr>
      <w:r>
        <w:rPr>
          <w:b/>
          <w:color w:val="0F172A"/>
        </w:rPr>
        <w:t xml:space="preserve">Step 1.1 — Proposal Drafting: </w:t>
      </w:r>
      <w:r>
        <w:rPr>
          <w:sz w:val="20"/>
        </w:rPr>
        <w:t>Proponents draft between 1 and 10 candidate project titles. Each proposal is tagged with targeted United Nations Sustainable Development Goals (SDGs 1–17) and recognized Information Technology disciplines (Disciplines 1–10).</w:t>
      </w:r>
    </w:p>
    <w:p>
      <w:pPr>
        <w:pStyle w:val="ListBullet"/>
        <w:spacing w:after="80"/>
        <w:ind w:left="360"/>
      </w:pPr>
      <w:r>
        <w:rPr>
          <w:b/>
          <w:color w:val="0F172A"/>
        </w:rPr>
        <w:t xml:space="preserve">Step 1.2 — Live Archive Cosine Pre-Scan: </w:t>
      </w:r>
      <w:r>
        <w:rPr>
          <w:sz w:val="20"/>
        </w:rPr>
        <w:t>Before presentation to the panel, every title candidate undergoes a live archive cosine similarity pre-scan. The FastAPI plagiarism engine uses BAAI/bge-m3 to generate 1024-dimensional dense and sparse vector embeddings, comparing against all historical projects in ChromaDB to prevent topic duplication.</w:t>
      </w:r>
    </w:p>
    <w:p>
      <w:pPr>
        <w:pStyle w:val="ListBullet"/>
        <w:spacing w:after="80"/>
        <w:ind w:left="360"/>
      </w:pPr>
      <w:r>
        <w:rPr>
          <w:b/>
          <w:color w:val="0F172A"/>
        </w:rPr>
        <w:t xml:space="preserve">Step 1.3 — Proposal Defense Hearing: </w:t>
      </w:r>
      <w:r>
        <w:rPr>
          <w:sz w:val="20"/>
        </w:rPr>
        <w:t>The committee convenes for the Title Defense Hearing. Panelists and the Chair evaluate the proposed titles against standardized BukSU rubrics in real-time.</w:t>
      </w:r>
    </w:p>
    <w:p>
      <w:pPr>
        <w:pStyle w:val="ListBullet"/>
        <w:spacing w:after="80"/>
        <w:ind w:left="360"/>
      </w:pPr>
      <w:r>
        <w:rPr>
          <w:b/>
          <w:color w:val="0F172A"/>
        </w:rPr>
        <w:t xml:space="preserve">Step 1.4 — Title Approval &amp; Phase Promotion: </w:t>
      </w:r>
      <w:r>
        <w:rPr>
          <w:sz w:val="20"/>
        </w:rPr>
        <w:t>Upon successful defense, the committee approves the winning title proposal (titleStatus = 'approved'). The project title is permanently locked, and the team advances to Phase 2.</w:t>
      </w:r>
    </w:p>
    <w:p>
      <w:pPr>
        <w:keepNext/>
        <w:spacing w:before="360" w:after="120"/>
      </w:pPr>
      <w:r>
        <w:rPr>
          <w:b/>
          <w:color w:val="0C2340"/>
          <w:sz w:val="30"/>
        </w:rPr>
        <w:t>6. Phase 2: Capstone 2 (Chapters 1–3 Manuscript &amp; Midterm Defense)</w:t>
      </w:r>
    </w:p>
    <w:p>
      <w:pPr>
        <w:spacing w:after="120"/>
      </w:pPr>
      <w:r>
        <w:rPr>
          <w:sz w:val="20"/>
        </w:rPr>
        <w:t>Capstone 2 transitions proponents into formal academic research, methodology design, and initial manuscript synthesis.</w:t>
      </w:r>
    </w:p>
    <w:p>
      <w:pPr>
        <w:pStyle w:val="ListBullet"/>
        <w:spacing w:after="80"/>
        <w:ind w:left="360"/>
      </w:pPr>
      <w:r>
        <w:rPr>
          <w:b/>
          <w:color w:val="0F172A"/>
        </w:rPr>
        <w:t xml:space="preserve">Step 2.1 — Chapters 1–3 Submission: </w:t>
      </w:r>
      <w:r>
        <w:rPr>
          <w:sz w:val="20"/>
        </w:rPr>
        <w:t>Teams draft Chapters 1–3 (Introduction, Review of Related Literature, Methodology) and upload the manuscript (.docx or .pdf). The manuscript is reviewed universally via the SophisticatedDocumentViewer.</w:t>
      </w:r>
    </w:p>
    <w:p>
      <w:pPr>
        <w:pStyle w:val="ListBullet"/>
        <w:spacing w:after="80"/>
        <w:ind w:left="360"/>
      </w:pPr>
      <w:r>
        <w:rPr>
          <w:b/>
          <w:color w:val="0F172A"/>
        </w:rPr>
        <w:t xml:space="preserve">Step 2.2 — Dual Plagiarism Scan v1: </w:t>
      </w:r>
      <w:r>
        <w:rPr>
          <w:sz w:val="20"/>
        </w:rPr>
        <w:t>The manuscript automatically enters Plagiarism Scan v1. The system executes a dual-layer analysis combining Winnowing Rabin-Karp fingerprinting (for verbatim phrase matching) and BAAI/bge-m3 vector similarity scoring. Submissions must satisfy the institutional threshold (&lt; 25% similarity) to be cleared.</w:t>
      </w:r>
    </w:p>
    <w:p>
      <w:pPr>
        <w:pStyle w:val="ListBullet"/>
        <w:spacing w:after="80"/>
        <w:ind w:left="360"/>
      </w:pPr>
      <w:r>
        <w:rPr>
          <w:b/>
          <w:color w:val="0F172A"/>
        </w:rPr>
        <w:t xml:space="preserve">Step 2.3 — Midterm Oral Defense Hearing: </w:t>
      </w:r>
      <w:r>
        <w:rPr>
          <w:sz w:val="20"/>
        </w:rPr>
        <w:t>The committee conducts the formal Midterm Defense Hearing, evaluating the literature review rigor, proposed system architecture, and research methodology.</w:t>
      </w:r>
    </w:p>
    <w:p>
      <w:pPr>
        <w:pStyle w:val="ListBullet"/>
        <w:spacing w:after="80"/>
        <w:ind w:left="360"/>
      </w:pPr>
      <w:r>
        <w:rPr>
          <w:b/>
          <w:color w:val="0F172A"/>
        </w:rPr>
        <w:t xml:space="preserve">Step 2.4 — Action Done Matrix (ADM v1) Sign-Off: </w:t>
      </w:r>
      <w:r>
        <w:rPr>
          <w:sz w:val="20"/>
        </w:rPr>
        <w:t>Following the defense, panel remarks and required revisions are documented in the Action Done Matrix (ADM v1). Proponents submit revised manuscripts addressing all remarks. Committee members digitally sign off on completed actions before Phase 3 clearance is granted.</w:t>
      </w:r>
    </w:p>
    <w:p>
      <w:pPr>
        <w:keepNext/>
        <w:spacing w:before="360" w:after="120"/>
      </w:pPr>
      <w:r>
        <w:rPr>
          <w:b/>
          <w:color w:val="0C2340"/>
          <w:sz w:val="30"/>
        </w:rPr>
        <w:t>7. Phase 3: Capstone 3 (System Development &amp; Progress Defense)</w:t>
      </w:r>
    </w:p>
    <w:p>
      <w:pPr>
        <w:spacing w:after="120"/>
      </w:pPr>
      <w:r>
        <w:rPr>
          <w:sz w:val="20"/>
        </w:rPr>
        <w:t>Capstone 3 is dedicated to prototype engineering, iterative sprint management, and preliminary results analysis.</w:t>
      </w:r>
    </w:p>
    <w:p>
      <w:pPr>
        <w:pStyle w:val="ListBullet"/>
        <w:spacing w:after="80"/>
        <w:ind w:left="360"/>
      </w:pPr>
      <w:r>
        <w:rPr>
          <w:b/>
          <w:color w:val="0F172A"/>
        </w:rPr>
        <w:t xml:space="preserve">Step 3.1 — Interactive Gantt Milestones: </w:t>
      </w:r>
      <w:r>
        <w:rPr>
          <w:sz w:val="20"/>
        </w:rPr>
        <w:t>Teams track prototype development across an Interactive Gantt Chart divided into 4 milestone sections. Every milestone deliverable is tracked deterministically.</w:t>
      </w:r>
    </w:p>
    <w:p>
      <w:pPr>
        <w:pStyle w:val="ListBullet"/>
        <w:spacing w:after="80"/>
        <w:ind w:left="360"/>
      </w:pPr>
      <w:r>
        <w:rPr>
          <w:b/>
          <w:color w:val="0F172A"/>
        </w:rPr>
        <w:t xml:space="preserve">Step 3.2 — Late Justification Gating (isLate): </w:t>
      </w:r>
      <w:r>
        <w:rPr>
          <w:sz w:val="20"/>
        </w:rPr>
        <w:t>If any milestone or submission is delayed past the institutional deadline, the system triggers the isLate gate. The proponents must submit a formal justification that requires explicit Adviser digital approval before subsequent uploads are unlocked.</w:t>
      </w:r>
    </w:p>
    <w:p>
      <w:pPr>
        <w:pStyle w:val="ListBullet"/>
        <w:spacing w:after="80"/>
        <w:ind w:left="360"/>
      </w:pPr>
      <w:r>
        <w:rPr>
          <w:b/>
          <w:color w:val="0F172A"/>
        </w:rPr>
        <w:t xml:space="preserve">Step 3.3 — Manuscript Expansion (Chapters 4–5): </w:t>
      </w:r>
      <w:r>
        <w:rPr>
          <w:sz w:val="20"/>
        </w:rPr>
        <w:t>Proponents draft Chapter 4 (Results and Discussion) and Chapter 5 (Conclusions and Recommendations), integrating live system testing data.</w:t>
      </w:r>
    </w:p>
    <w:p>
      <w:pPr>
        <w:pStyle w:val="ListBullet"/>
        <w:spacing w:after="80"/>
        <w:ind w:left="360"/>
      </w:pPr>
      <w:r>
        <w:rPr>
          <w:b/>
          <w:color w:val="0F172A"/>
        </w:rPr>
        <w:t xml:space="preserve">Step 3.4 — Progress Defense Demonstration: </w:t>
      </w:r>
      <w:r>
        <w:rPr>
          <w:sz w:val="20"/>
        </w:rPr>
        <w:t>The committee convenes for the Progress Defense Hearing. Proponents demonstrate a functional working software prototype alongside their draft findings.</w:t>
      </w:r>
    </w:p>
    <w:p>
      <w:pPr>
        <w:pStyle w:val="ListBullet"/>
        <w:spacing w:after="80"/>
        <w:ind w:left="360"/>
      </w:pPr>
      <w:r>
        <w:rPr>
          <w:b/>
          <w:color w:val="0F172A"/>
        </w:rPr>
        <w:t xml:space="preserve">Step 3.5 — Action Done Matrix (ADM v2) Clearance: </w:t>
      </w:r>
      <w:r>
        <w:rPr>
          <w:sz w:val="20"/>
        </w:rPr>
        <w:t>Panel remarks are recorded into the Action Done Matrix (ADM v2). Using the SophisticatedDocumentViewer's Revision Diff (+/-) Studio, advisers and panelists verify manuscript diffs down to word, sentence, and line levels before applying digital sign-offs.</w:t>
      </w:r>
    </w:p>
    <w:p>
      <w:pPr>
        <w:keepNext/>
        <w:spacing w:before="360" w:after="120"/>
      </w:pPr>
      <w:r>
        <w:rPr>
          <w:b/>
          <w:color w:val="0C2340"/>
          <w:sz w:val="30"/>
        </w:rPr>
        <w:t>8. Phase 4: Capstone 4 (Final Defense, Multi-Tier ADM &amp; Archival)</w:t>
      </w:r>
    </w:p>
    <w:p>
      <w:pPr>
        <w:spacing w:after="120"/>
      </w:pPr>
      <w:r>
        <w:rPr>
          <w:sz w:val="20"/>
        </w:rPr>
        <w:t>Phase 4 represents the culmination of the capstone curriculum, requiring full manuscript completion, multi-tier institutional endorsements, and automated archival.</w:t>
      </w:r>
    </w:p>
    <w:p>
      <w:pPr>
        <w:pStyle w:val="ListBullet"/>
        <w:spacing w:after="80"/>
        <w:ind w:left="360"/>
      </w:pPr>
      <w:r>
        <w:rPr>
          <w:b/>
          <w:color w:val="0F172A"/>
        </w:rPr>
        <w:t xml:space="preserve">Step 4.1 — Full 5-Chapter Compilation Upload: </w:t>
      </w:r>
      <w:r>
        <w:rPr>
          <w:sz w:val="20"/>
        </w:rPr>
        <w:t>The complete 5-chapter manuscript compilation is uploaded along with final software release artifacts.</w:t>
      </w:r>
    </w:p>
    <w:p>
      <w:pPr>
        <w:pStyle w:val="ListBullet"/>
        <w:spacing w:after="80"/>
        <w:ind w:left="360"/>
      </w:pPr>
      <w:r>
        <w:rPr>
          <w:b/>
          <w:color w:val="0F172A"/>
        </w:rPr>
        <w:t xml:space="preserve">Step 4.2 — Deep Plagiarism Sweep: </w:t>
      </w:r>
      <w:r>
        <w:rPr>
          <w:sz w:val="20"/>
        </w:rPr>
        <w:t>The full manuscript undergoes deep vector plagiarism scanning across all 5 chapters, enforcing the strict &lt; 25% institutional originality threshold.</w:t>
      </w:r>
    </w:p>
    <w:p>
      <w:pPr>
        <w:pStyle w:val="ListBullet"/>
        <w:spacing w:after="80"/>
        <w:ind w:left="360"/>
      </w:pPr>
      <w:r>
        <w:rPr>
          <w:b/>
          <w:color w:val="0F172A"/>
        </w:rPr>
        <w:t xml:space="preserve">Step 4.3 — Final Oral Defense Hearing: </w:t>
      </w:r>
      <w:r>
        <w:rPr>
          <w:sz w:val="20"/>
        </w:rPr>
        <w:t>The panel convenes for the Final Oral Defense Hearing. Committee members score presentations and defense answers against institutional rubrics.</w:t>
      </w:r>
    </w:p>
    <w:p>
      <w:pPr>
        <w:pStyle w:val="ListBullet"/>
        <w:spacing w:after="80"/>
        <w:ind w:left="360"/>
      </w:pPr>
      <w:r>
        <w:rPr>
          <w:b/>
          <w:color w:val="0F172A"/>
        </w:rPr>
        <w:t xml:space="preserve">Step 4.4 — Secretary Compliance Verification Gate (Prerequisite): </w:t>
      </w:r>
      <w:r>
        <w:rPr>
          <w:sz w:val="20"/>
        </w:rPr>
        <w:t>Before committee signatures can unlock, the committee Secretary must verify that proponents have satisfied every panel remark: project.admSignatures.secretary.endorsed === true. Without this endorsement, all subsequent signature tiers remain immutably locked.</w:t>
      </w:r>
    </w:p>
    <w:p>
      <w:pPr>
        <w:pStyle w:val="ListBullet"/>
        <w:spacing w:after="80"/>
        <w:ind w:left="360"/>
      </w:pPr>
      <w:r>
        <w:rPr>
          <w:b/>
          <w:color w:val="0F172A"/>
        </w:rPr>
        <w:t xml:space="preserve">Step 4.5 — 3-Tier Multi-Signatory ADM Verification: </w:t>
      </w:r>
      <w:r>
        <w:rPr>
          <w:sz w:val="20"/>
        </w:rPr>
        <w:t>Once endorsed by the Secretary, the digital signature flow executes through 3 strictly sequenced tiers: (1) Tier 1: Capstone Adviser digital signature; (2) Tier 2: Defense Panelists and Defense Chair digital signatures; (3) Tier 3: College Dean institutional digital signature.</w:t>
      </w:r>
    </w:p>
    <w:p>
      <w:pPr>
        <w:pStyle w:val="ListBullet"/>
        <w:spacing w:after="80"/>
        <w:ind w:left="360"/>
      </w:pPr>
      <w:r>
        <w:rPr>
          <w:b/>
          <w:color w:val="0F172A"/>
        </w:rPr>
        <w:t xml:space="preserve">Step 4.6 — Sealed Completion Certificate Generation: </w:t>
      </w:r>
      <w:r>
        <w:rPr>
          <w:sz w:val="20"/>
        </w:rPr>
        <w:t>Upon full Tier 3 sign-off, the server automatically compiles a sealed, cryptographically verified PDF Capstone Completion Certificate bearing institutional watermarks, sign-off hashes, and metadata.</w:t>
      </w:r>
    </w:p>
    <w:p>
      <w:pPr>
        <w:pStyle w:val="ListBullet"/>
        <w:spacing w:after="80"/>
        <w:ind w:left="360"/>
      </w:pPr>
      <w:r>
        <w:rPr>
          <w:b/>
          <w:color w:val="0F172A"/>
        </w:rPr>
        <w:t xml:space="preserve">Step 4.7 — Atomic Auto-Archival: </w:t>
      </w:r>
      <w:r>
        <w:rPr>
          <w:sz w:val="20"/>
        </w:rPr>
        <w:t>The finalized manuscript, source assets, and completion certificates are atomically transferred to S3/MinIO cloud storage, and the project status transitions permanently to projectStatus = 'archived'.</w:t>
      </w:r>
    </w:p>
    <w:p>
      <w:pPr>
        <w:keepNext/>
        <w:spacing w:before="360" w:after="120"/>
      </w:pPr>
      <w:r>
        <w:rPr>
          <w:b/>
          <w:color w:val="0C2340"/>
          <w:sz w:val="30"/>
        </w:rPr>
        <w:t>9. Retrospective Archival Ingestion &amp; OCR Auto-Fill Engine</w:t>
      </w:r>
    </w:p>
    <w:p>
      <w:pPr>
        <w:spacing w:after="120"/>
      </w:pPr>
      <w:r>
        <w:rPr>
          <w:sz w:val="20"/>
        </w:rPr>
        <w:t>To empower the similarity engine and digitize historical BukSU research, CMS-V2 incorporates an asynchronous OCR and metadata extraction engine:</w:t>
      </w:r>
    </w:p>
    <w:p>
      <w:pPr>
        <w:pStyle w:val="ListBullet"/>
        <w:spacing w:after="80"/>
        <w:ind w:left="360"/>
      </w:pPr>
      <w:r>
        <w:rPr>
          <w:b/>
          <w:color w:val="0F172A"/>
        </w:rPr>
        <w:t xml:space="preserve">Step A.1 — Historical Manuscript Ingestion: </w:t>
      </w:r>
      <w:r>
        <w:rPr>
          <w:sz w:val="20"/>
        </w:rPr>
        <w:t>Faculty or administrators upload past capstone manuscripts and research journals in PDF format via the Archival Upload interface.</w:t>
      </w:r>
    </w:p>
    <w:p>
      <w:pPr>
        <w:pStyle w:val="ListBullet"/>
        <w:spacing w:after="80"/>
        <w:ind w:left="360"/>
      </w:pPr>
      <w:r>
        <w:rPr>
          <w:b/>
          <w:color w:val="0F172A"/>
        </w:rPr>
        <w:t xml:space="preserve">Step A.2 — Asynchronous BullMQ Queue &amp; Socket.IO: </w:t>
      </w:r>
      <w:r>
        <w:rPr>
          <w:sz w:val="20"/>
        </w:rPr>
        <w:t>The ingestion job is dispatched to BullMQ queue (document-extraction) backed by Redis. Progress is streamed live to the client via Socket.IO events.</w:t>
      </w:r>
    </w:p>
    <w:p>
      <w:pPr>
        <w:pStyle w:val="ListBullet"/>
        <w:spacing w:after="80"/>
        <w:ind w:left="360"/>
      </w:pPr>
      <w:r>
        <w:rPr>
          <w:b/>
          <w:color w:val="0F172A"/>
        </w:rPr>
        <w:t xml:space="preserve">Step A.3 — PaddleOCR-VL &amp; Resilient Fallback: </w:t>
      </w:r>
      <w:r>
        <w:rPr>
          <w:sz w:val="20"/>
        </w:rPr>
        <w:t>The dedicated Python microservice (PaddleOCR-VL 0.9B on cms-ocr-engine:8000) performs deep vision-language layout analysis, optical character recognition, and table boundary detection. If the OCR microservice experiences latency or downtime, the server seamlessly degrades to an in-process pdf-parse fallback (ocrStatus: 'degraded').</w:t>
      </w:r>
    </w:p>
    <w:p>
      <w:pPr>
        <w:pStyle w:val="ListBullet"/>
        <w:spacing w:after="80"/>
        <w:ind w:left="360"/>
      </w:pPr>
      <w:r>
        <w:rPr>
          <w:b/>
          <w:color w:val="0F172A"/>
        </w:rPr>
        <w:t xml:space="preserve">Step A.4 — Metadata Auto-Fill: </w:t>
      </w:r>
      <w:r>
        <w:rPr>
          <w:sz w:val="20"/>
        </w:rPr>
        <w:t>Extracted fields (project title, proponents, adviser, abstract, executive summary, year, SDGs, and disciplines) automatically populate editable archival forms.</w:t>
      </w:r>
    </w:p>
    <w:p>
      <w:pPr>
        <w:pStyle w:val="ListBullet"/>
        <w:spacing w:after="80"/>
        <w:ind w:left="360"/>
      </w:pPr>
      <w:r>
        <w:rPr>
          <w:b/>
          <w:color w:val="0F172A"/>
        </w:rPr>
        <w:t xml:space="preserve">Step A.5 — ChromaDB Vector Embeddings: </w:t>
      </w:r>
      <w:r>
        <w:rPr>
          <w:sz w:val="20"/>
        </w:rPr>
        <w:t>The extracted manuscript corpus is tokenized and embedded using BAAI/bge-m3 into ChromaDB's HNSW vector index. This continuously enriches the active corpus for future Phase 1 title similarity pre-scans and plagiarism detection.</w:t>
      </w:r>
    </w:p>
    <w:p>
      <w:pPr>
        <w:keepNext/>
        <w:spacing w:before="360" w:after="120"/>
      </w:pPr>
      <w:r>
        <w:rPr>
          <w:b/>
          <w:color w:val="0C2340"/>
          <w:sz w:val="30"/>
        </w:rPr>
        <w:t>10. Mandatory Unified Document Reader Contract</w:t>
      </w:r>
    </w:p>
    <w:p>
      <w:pPr>
        <w:spacing w:after="120"/>
      </w:pPr>
      <w:r>
        <w:rPr>
          <w:sz w:val="20"/>
        </w:rPr>
        <w:t>Across all phases and panels in BukSU CMS-V2, all document reading, verification, and diff inspection must strictly utilize the canonical SophisticatedDocumentViewer (client/src/components/documents/SophisticatedDocumentViewer.jsx). This contract guarantees institutional UI consistency and eliminates ad-hoc or fragmented document inspection.</w:t>
      </w:r>
    </w:p>
    <w:p>
      <w:pPr>
        <w:pStyle w:val="ListBullet"/>
        <w:spacing w:after="80"/>
        <w:ind w:left="360"/>
      </w:pPr>
      <w:r>
        <w:rPr>
          <w:b/>
          <w:color w:val="0F172A"/>
        </w:rPr>
        <w:t xml:space="preserve">1. Document Identity Bar: </w:t>
      </w:r>
      <w:r>
        <w:rPr>
          <w:sz w:val="20"/>
        </w:rPr>
        <w:t>Displays chapter title, version tag (v{N}), format badge (Word Document / PDF Manuscript), originality compliance badge ({N}% Original), filename, and file size.</w:t>
      </w:r>
    </w:p>
    <w:p>
      <w:pPr>
        <w:pStyle w:val="ListBullet"/>
        <w:spacing w:after="80"/>
        <w:ind w:left="360"/>
      </w:pPr>
      <w:r>
        <w:rPr>
          <w:b/>
          <w:color w:val="0F172A"/>
        </w:rPr>
        <w:t xml:space="preserve">2. Revision Diff (+/-) Studio: </w:t>
      </w:r>
      <w:r>
        <w:rPr>
          <w:sz w:val="20"/>
        </w:rPr>
        <w:t>Interactive revision comparison (v{N-1} -&gt; v{N}) with Word Diff, Sentence Diff, Line Diff, keyword search, deletion marker toggles, and insertion/deletion counters.</w:t>
      </w:r>
    </w:p>
    <w:p>
      <w:pPr>
        <w:pStyle w:val="ListBullet"/>
        <w:spacing w:after="80"/>
        <w:ind w:left="360"/>
      </w:pPr>
      <w:r>
        <w:rPr>
          <w:b/>
          <w:color w:val="0F172A"/>
        </w:rPr>
        <w:t xml:space="preserve">3. High-Fidelity Document Rendering: </w:t>
      </w:r>
      <w:r>
        <w:rPr>
          <w:sz w:val="20"/>
        </w:rPr>
        <w:t>Client-side OOXML rendering via docx-preview preserving Word fonts, margins, headings, and tables, alongside native streaming PDF view.</w:t>
      </w:r>
    </w:p>
    <w:p>
      <w:pPr>
        <w:pStyle w:val="ListBullet"/>
        <w:spacing w:after="80"/>
        <w:ind w:left="360"/>
      </w:pPr>
      <w:r>
        <w:rPr>
          <w:b/>
          <w:color w:val="0F172A"/>
        </w:rPr>
        <w:t xml:space="preserve">4. Interactive Controls: </w:t>
      </w:r>
      <w:r>
        <w:rPr>
          <w:sz w:val="20"/>
        </w:rPr>
        <w:t>Zoom controls (-, %, +), details metadata drawer, direct file download (?download=true), and responsive fullscreen expansion.</w:t>
      </w:r>
    </w:p>
    <w:p>
      <w:pPr>
        <w:pStyle w:val="ListBullet"/>
        <w:spacing w:after="80"/>
        <w:ind w:left="360"/>
      </w:pPr>
      <w:r>
        <w:rPr>
          <w:b/>
          <w:color w:val="0F172A"/>
        </w:rPr>
        <w:t xml:space="preserve">5. Dual Presentation Standard: </w:t>
      </w:r>
      <w:r>
        <w:rPr>
          <w:sz w:val="20"/>
        </w:rPr>
        <w:t>Maintains identical visual and functional capabilities whether displayed inline (embedded=true) or in a modal dialog (open=true).</w:t>
      </w:r>
    </w:p>
    <w:p>
      <w:pPr>
        <w:spacing w:after="120"/>
      </w:pPr>
      <w:r>
        <w:rPr>
          <w:b/>
          <w:color w:val="0F172A"/>
        </w:rPr>
        <w:t xml:space="preserve">Institutional Quality Notice: </w:t>
      </w:r>
      <w:r>
        <w:rPr>
          <w:sz w:val="20"/>
        </w:rPr>
        <w:t>Document compiled and verified under BukSU Information Technology Department ASDLC v2.0 Compliance Standards.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Bukidnon State University • College of Technologies • Department of Information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BukSU Capstone Management System V2 (CMS-V2) | System Workflow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