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A448A"/>
          <w:sz w:val="22"/>
        </w:rPr>
        <w:t>BUKIDNON STATE UNIVERSITY</w:t>
      </w:r>
    </w:p>
    <w:p>
      <w:pPr>
        <w:spacing w:before="0" w:after="280"/>
        <w:jc w:val="center"/>
      </w:pPr>
      <w:r>
        <w:rPr>
          <w:rFonts w:ascii="Arial" w:hAnsi="Arial"/>
          <w:color w:val="64748B"/>
          <w:sz w:val="19"/>
        </w:rPr>
        <w:t>College of Technologies — Information Technology Department</w:t>
      </w:r>
    </w:p>
    <w:p>
      <w:pPr>
        <w:spacing w:before="120" w:after="120"/>
        <w:jc w:val="center"/>
      </w:pPr>
      <w:r>
        <w:rPr>
          <w:rFonts w:ascii="Arial" w:hAnsi="Arial"/>
          <w:b/>
          <w:color w:val="0F294A"/>
          <w:sz w:val="44"/>
        </w:rPr>
        <w:t>BukSU Capstone Management System V2 (CMS-V2)</w:t>
      </w:r>
    </w:p>
    <w:p>
      <w:pPr>
        <w:spacing w:before="0" w:after="360"/>
        <w:jc w:val="center"/>
      </w:pPr>
      <w:r>
        <w:rPr>
          <w:rFonts w:ascii="Arial" w:hAnsi="Arial"/>
          <w:b/>
          <w:color w:val="C48B0F"/>
          <w:sz w:val="26"/>
        </w:rPr>
        <w:t>Comprehensive Algorithmic System Audit &amp; Technical Specification Report</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2340"/>
        <w:gridCol w:w="2340"/>
        <w:gridCol w:w="2340"/>
        <w:gridCol w:w="2340"/>
      </w:tblGrid>
      <w:tr>
        <w:tc>
          <w:tcPr>
            <w:tcW w:type="dxa" w:w="2304"/>
            <w:shd w:fill="F0F4F8"/>
            <w:tcMar>
              <w:top w:w="80" w:type="dxa"/>
              <w:bottom w:w="60" w:type="dxa"/>
              <w:left w:w="100" w:type="dxa"/>
              <w:right w:w="100" w:type="dxa"/>
            </w:tcMar>
          </w:tcPr>
          <w:p>
            <w:pPr>
              <w:jc w:val="center"/>
            </w:pPr>
            <w:r>
              <w:rPr>
                <w:rFonts w:ascii="Arial" w:hAnsi="Arial"/>
                <w:b/>
                <w:color w:val="1A448A"/>
                <w:sz w:val="16"/>
              </w:rPr>
              <w:t>Document Version</w:t>
            </w:r>
          </w:p>
        </w:tc>
        <w:tc>
          <w:tcPr>
            <w:tcW w:type="dxa" w:w="2376"/>
            <w:shd w:fill="F0F4F8"/>
            <w:tcMar>
              <w:top w:w="80" w:type="dxa"/>
              <w:bottom w:w="60" w:type="dxa"/>
              <w:left w:w="100" w:type="dxa"/>
              <w:right w:w="100" w:type="dxa"/>
            </w:tcMar>
          </w:tcPr>
          <w:p>
            <w:pPr>
              <w:jc w:val="center"/>
            </w:pPr>
            <w:r>
              <w:rPr>
                <w:rFonts w:ascii="Arial" w:hAnsi="Arial"/>
                <w:b/>
                <w:color w:val="1A448A"/>
                <w:sz w:val="16"/>
              </w:rPr>
              <w:t>Compliance Standard</w:t>
            </w:r>
          </w:p>
        </w:tc>
        <w:tc>
          <w:tcPr>
            <w:tcW w:type="dxa" w:w="2304"/>
            <w:shd w:fill="F0F4F8"/>
            <w:tcMar>
              <w:top w:w="80" w:type="dxa"/>
              <w:bottom w:w="60" w:type="dxa"/>
              <w:left w:w="100" w:type="dxa"/>
              <w:right w:w="100" w:type="dxa"/>
            </w:tcMar>
          </w:tcPr>
          <w:p>
            <w:pPr>
              <w:jc w:val="center"/>
            </w:pPr>
            <w:r>
              <w:rPr>
                <w:rFonts w:ascii="Arial" w:hAnsi="Arial"/>
                <w:b/>
                <w:color w:val="1A448A"/>
                <w:sz w:val="16"/>
              </w:rPr>
              <w:t>Audit Date</w:t>
            </w:r>
          </w:p>
        </w:tc>
        <w:tc>
          <w:tcPr>
            <w:tcW w:type="dxa" w:w="2376"/>
            <w:shd w:fill="F0F4F8"/>
            <w:tcMar>
              <w:top w:w="80" w:type="dxa"/>
              <w:bottom w:w="60" w:type="dxa"/>
              <w:left w:w="100" w:type="dxa"/>
              <w:right w:w="100" w:type="dxa"/>
            </w:tcMar>
          </w:tcPr>
          <w:p>
            <w:pPr>
              <w:jc w:val="center"/>
            </w:pPr>
            <w:r>
              <w:rPr>
                <w:rFonts w:ascii="Arial" w:hAnsi="Arial"/>
                <w:b/>
                <w:color w:val="1A448A"/>
                <w:sz w:val="16"/>
              </w:rPr>
              <w:t>Target Ecosystem</w:t>
            </w:r>
          </w:p>
        </w:tc>
      </w:tr>
      <w:tr>
        <w:tc>
          <w:tcPr>
            <w:tcW w:type="dxa" w:w="2304"/>
            <w:shd w:fill="F8FAFC"/>
            <w:tcMar>
              <w:top w:w="80" w:type="dxa"/>
              <w:bottom w:w="80" w:type="dxa"/>
              <w:left w:w="100" w:type="dxa"/>
              <w:right w:w="100" w:type="dxa"/>
            </w:tcMar>
          </w:tcPr>
          <w:p>
            <w:pPr>
              <w:jc w:val="center"/>
            </w:pPr>
            <w:r>
              <w:rPr>
                <w:rFonts w:ascii="Arial" w:hAnsi="Arial"/>
                <w:color w:val="1E293B"/>
                <w:sz w:val="17"/>
              </w:rPr>
              <w:t>v2.1 (Technical Release)</w:t>
            </w:r>
          </w:p>
        </w:tc>
        <w:tc>
          <w:tcPr>
            <w:tcW w:type="dxa" w:w="2376"/>
            <w:shd w:fill="F8FAFC"/>
            <w:tcMar>
              <w:top w:w="80" w:type="dxa"/>
              <w:bottom w:w="80" w:type="dxa"/>
              <w:left w:w="100" w:type="dxa"/>
              <w:right w:w="100" w:type="dxa"/>
            </w:tcMar>
          </w:tcPr>
          <w:p>
            <w:pPr>
              <w:jc w:val="center"/>
            </w:pPr>
            <w:r>
              <w:rPr>
                <w:rFonts w:ascii="Arial" w:hAnsi="Arial"/>
                <w:color w:val="1E293B"/>
                <w:sz w:val="17"/>
              </w:rPr>
              <w:t>ASDLC [v2.0] Verified</w:t>
            </w:r>
          </w:p>
        </w:tc>
        <w:tc>
          <w:tcPr>
            <w:tcW w:type="dxa" w:w="2304"/>
            <w:shd w:fill="F8FAFC"/>
            <w:tcMar>
              <w:top w:w="80" w:type="dxa"/>
              <w:bottom w:w="80" w:type="dxa"/>
              <w:left w:w="100" w:type="dxa"/>
              <w:right w:w="100" w:type="dxa"/>
            </w:tcMar>
          </w:tcPr>
          <w:p>
            <w:pPr>
              <w:jc w:val="center"/>
            </w:pPr>
            <w:r>
              <w:rPr>
                <w:rFonts w:ascii="Arial" w:hAnsi="Arial"/>
                <w:color w:val="1E293B"/>
                <w:sz w:val="17"/>
              </w:rPr>
              <w:t>September 2026</w:t>
            </w:r>
          </w:p>
        </w:tc>
        <w:tc>
          <w:tcPr>
            <w:tcW w:type="dxa" w:w="2376"/>
            <w:shd w:fill="F8FAFC"/>
            <w:tcMar>
              <w:top w:w="80" w:type="dxa"/>
              <w:bottom w:w="80" w:type="dxa"/>
              <w:left w:w="100" w:type="dxa"/>
              <w:right w:w="100" w:type="dxa"/>
            </w:tcMar>
          </w:tcPr>
          <w:p>
            <w:pPr>
              <w:jc w:val="center"/>
            </w:pPr>
            <w:r>
              <w:rPr>
                <w:rFonts w:ascii="Arial" w:hAnsi="Arial"/>
                <w:color w:val="1E293B"/>
                <w:sz w:val="17"/>
              </w:rPr>
              <w:t>BukSU CMS-V2 Monorepo</w:t>
            </w:r>
          </w:p>
        </w:tc>
      </w:tr>
    </w:tbl>
    <w:p>
      <w:pPr>
        <w:spacing w:before="280" w:after="200"/>
      </w:pPr>
    </w:p>
    <w:p>
      <w:pPr>
        <w:keepNext/>
        <w:spacing w:before="360" w:after="120"/>
      </w:pPr>
      <w:r>
        <w:rPr>
          <w:rFonts w:ascii="Arial" w:hAnsi="Arial"/>
          <w:b/>
          <w:color w:val="0F294A"/>
          <w:sz w:val="29"/>
        </w:rPr>
        <w:t>1. Executive Summary &amp; Algorithmic Architecture Topology</w:t>
      </w:r>
    </w:p>
    <w:p>
      <w:pPr>
        <w:spacing w:before="0" w:after="100" w:line="276" w:lineRule="auto"/>
      </w:pPr>
      <w:r>
        <w:rPr>
          <w:rFonts w:ascii="Arial" w:hAnsi="Arial"/>
          <w:color w:val="1E293B"/>
          <w:sz w:val="19"/>
        </w:rPr>
        <w:t>The BukSU Capstone Management System V2 (CMS-V2) employs a multi-tiered, asynchronous algorithmic architecture designed to automate, safeguard, and mathematically verify the 4-Phase Capstone Progression of the Bukidnon State University Information Technology Department. The algorithmic surface spans three core workspaces: the Python FastAPI Plagiarism &amp; Similarity Microservice, the Express.js / Mongoose REST API Backend, and the React 18 / Tailwind Client SPA.</w:t>
      </w:r>
    </w:p>
    <w:p>
      <w:pPr>
        <w:spacing w:before="0" w:after="100" w:line="276" w:lineRule="auto"/>
      </w:pPr>
      <w:r>
        <w:rPr>
          <w:rFonts w:ascii="Arial" w:hAnsi="Arial"/>
          <w:color w:val="1E293B"/>
          <w:sz w:val="19"/>
        </w:rPr>
        <w:t>The system's algorithmic foundations are categorized into five fundamental functional layers:</w:t>
      </w:r>
    </w:p>
    <w:p>
      <w:pPr>
        <w:pStyle w:val="ListBullet"/>
        <w:spacing w:before="0" w:after="60" w:line="276" w:lineRule="auto"/>
      </w:pPr>
      <w:r>
        <w:rPr>
          <w:rFonts w:ascii="Arial" w:hAnsi="Arial"/>
          <w:b/>
          <w:color w:val="1E293B"/>
          <w:sz w:val="19"/>
        </w:rPr>
        <w:t xml:space="preserve">1. Document Ingestion &amp; Normalization: </w:t>
      </w:r>
      <w:r>
        <w:rPr>
          <w:rFonts w:ascii="Arial" w:hAnsi="Arial"/>
          <w:color w:val="1E293B"/>
          <w:sz w:val="19"/>
        </w:rPr>
        <w:t>Handles optical character recognition, LaTeX formula parsing, table structuring via PaddleOCR-VL (0.9B), and dual-column Unicode de-hyphenation normalization.</w:t>
      </w:r>
    </w:p>
    <w:p>
      <w:pPr>
        <w:pStyle w:val="ListBullet"/>
        <w:spacing w:before="0" w:after="60" w:line="276" w:lineRule="auto"/>
      </w:pPr>
      <w:r>
        <w:rPr>
          <w:rFonts w:ascii="Arial" w:hAnsi="Arial"/>
          <w:b/>
          <w:color w:val="1E293B"/>
          <w:sz w:val="19"/>
        </w:rPr>
        <w:t xml:space="preserve">2. Deep Plagiarism &amp; Semantic Search: </w:t>
      </w:r>
      <w:r>
        <w:rPr>
          <w:rFonts w:ascii="Arial" w:hAnsi="Arial"/>
          <w:color w:val="1E293B"/>
          <w:sz w:val="19"/>
        </w:rPr>
        <w:t>Executes Schleimer Winnowing fingerprinting with Mersenne-61 rolling hashes alongside 1,024-dimensional BAAI/bge-m3 dense and sparse representations through a two-stage HybridSourceTracker (HST) pipeline.</w:t>
      </w:r>
    </w:p>
    <w:p>
      <w:pPr>
        <w:pStyle w:val="ListBullet"/>
        <w:spacing w:before="0" w:after="60" w:line="276" w:lineRule="auto"/>
      </w:pPr>
      <w:r>
        <w:rPr>
          <w:rFonts w:ascii="Arial" w:hAnsi="Arial"/>
          <w:b/>
          <w:color w:val="1E293B"/>
          <w:sz w:val="19"/>
        </w:rPr>
        <w:t xml:space="preserve">3. Title &amp; Proposal Similarity Pre-Scans: </w:t>
      </w:r>
      <w:r>
        <w:rPr>
          <w:rFonts w:ascii="Arial" w:hAnsi="Arial"/>
          <w:color w:val="1E293B"/>
          <w:sz w:val="19"/>
        </w:rPr>
        <w:t>Combines Levenshtein dynamic programming edit distance with dual Jaccard/Containment token blending and 5-field weighted proposal vectors.</w:t>
      </w:r>
    </w:p>
    <w:p>
      <w:pPr>
        <w:pStyle w:val="ListBullet"/>
        <w:spacing w:before="0" w:after="60" w:line="276" w:lineRule="auto"/>
      </w:pPr>
      <w:r>
        <w:rPr>
          <w:rFonts w:ascii="Arial" w:hAnsi="Arial"/>
          <w:b/>
          <w:color w:val="1E293B"/>
          <w:sz w:val="19"/>
        </w:rPr>
        <w:t xml:space="preserve">4. Interactive Diffing &amp; Vector Canvas Grounding: </w:t>
      </w:r>
      <w:r>
        <w:rPr>
          <w:rFonts w:ascii="Arial" w:hAnsi="Arial"/>
          <w:color w:val="1E293B"/>
          <w:sz w:val="19"/>
        </w:rPr>
        <w:t>Utilizes the Myers Diff algorithm for multi-granularity manuscript version diffing, coupled with 2D Separating Axis Theorem (SAT) collision detection for overlaying review annotations onto plagiarism coordinates.</w:t>
      </w:r>
    </w:p>
    <w:p>
      <w:pPr>
        <w:pStyle w:val="ListBullet"/>
        <w:spacing w:before="0" w:after="60" w:line="276" w:lineRule="auto"/>
      </w:pPr>
      <w:r>
        <w:rPr>
          <w:rFonts w:ascii="Arial" w:hAnsi="Arial"/>
          <w:b/>
          <w:color w:val="1E293B"/>
          <w:sz w:val="19"/>
        </w:rPr>
        <w:t xml:space="preserve">5. Academic Governance &amp; Constraint Satisfaction: </w:t>
      </w:r>
      <w:r>
        <w:rPr>
          <w:rFonts w:ascii="Arial" w:hAnsi="Arial"/>
          <w:color w:val="1E293B"/>
          <w:sz w:val="19"/>
        </w:rPr>
        <w:t>Enforces graph constraint satisfaction for committee appointments, cryptographic digital signing cascades for the Action Done Matrix (ADM), and grade leakage prevention barriers.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60" w:type="dxa"/>
            </w:tcMar>
            <w:tcBorders>
              <w:top w:val="none"/>
              <w:left w:val="single" w:sz="24" w:space="0" w:color="0F294A"/>
              <w:bottom w:val="none"/>
              <w:right w:val="none"/>
            </w:tcBorders>
          </w:tcPr>
          <w:p>
            <w:pPr>
              <w:spacing w:before="0" w:after="60"/>
            </w:pPr>
            <w:r>
              <w:rPr>
                <w:rFonts w:ascii="Arial" w:hAnsi="Arial"/>
                <w:b/>
                <w:color w:val="0F294A"/>
                <w:sz w:val="17"/>
              </w:rPr>
              <w:t>GOVERNANCE &amp; BOUNDED EXECUTION DIRECTIVE</w:t>
            </w:r>
          </w:p>
          <w:p>
            <w:pPr>
              <w:spacing w:before="0" w:after="0" w:line="276" w:lineRule="auto"/>
            </w:pPr>
            <w:r>
              <w:rPr>
                <w:rFonts w:ascii="Arial" w:hAnsi="Arial"/>
                <w:i/>
                <w:color w:val="1E293B"/>
                <w:sz w:val="18"/>
              </w:rPr>
              <w:t>Architectural Principle: Every algorithm in BukSU CMS-V2 adheres to bounded execution, deterministic fallback cascades, and space-preserving normalization to ensure full visual and data consistency across high-consequence academic milestones.</w:t>
            </w:r>
          </w:p>
        </w:tc>
      </w:tr>
    </w:tbl>
    <w:p>
      <w:pPr>
        <w:spacing w:before="80" w:after="80"/>
      </w:pPr>
    </w:p>
    <w:p>
      <w:pPr>
        <w:keepNext/>
        <w:spacing w:before="360" w:after="120"/>
      </w:pPr>
      <w:r>
        <w:rPr>
          <w:rFonts w:ascii="Arial" w:hAnsi="Arial"/>
          <w:b/>
          <w:color w:val="0F294A"/>
          <w:sz w:val="29"/>
        </w:rPr>
        <w:t>2. Plagiarism Detection &amp; Document Fingerprinting Algorithms</w:t>
      </w:r>
    </w:p>
    <w:p>
      <w:pPr>
        <w:keepNext/>
        <w:spacing w:before="260" w:after="80"/>
      </w:pPr>
      <w:r>
        <w:rPr>
          <w:rFonts w:ascii="Arial" w:hAnsi="Arial"/>
          <w:b/>
          <w:color w:val="1A448A"/>
          <w:sz w:val="24"/>
        </w:rPr>
        <w:t>2.1 Schleimer Winnowing Fingerprinting Algorithm</w:t>
      </w:r>
    </w:p>
    <w:p>
      <w:pPr>
        <w:spacing w:before="0" w:after="100" w:line="276" w:lineRule="auto"/>
      </w:pPr>
      <w:r>
        <w:rPr>
          <w:rFonts w:ascii="Arial" w:hAnsi="Arial"/>
          <w:b/>
          <w:color w:val="1E293B"/>
          <w:sz w:val="19"/>
        </w:rPr>
        <w:t xml:space="preserve">Core Architecture: </w:t>
      </w:r>
      <w:r>
        <w:rPr>
          <w:rFonts w:ascii="Arial" w:hAnsi="Arial"/>
          <w:color w:val="1E293B"/>
          <w:sz w:val="19"/>
        </w:rPr>
        <w:t>Implemented in both the Python microservice (plagiarism_engine/winnowing.py) and the Node.js server fallback (server/services/plagiarism.service.js). The Winnowing algorithm (Schleimer et al., 2003) provides guaranteed exact-match substring detection with linear time complexity and sub-linear space complexity.</w:t>
      </w:r>
    </w:p>
    <w:p>
      <w:pPr>
        <w:spacing w:before="0" w:after="100" w:line="276" w:lineRule="auto"/>
      </w:pPr>
      <w:r>
        <w:rPr>
          <w:rFonts w:ascii="Arial" w:hAnsi="Arial"/>
          <w:color w:val="1E293B"/>
          <w:sz w:val="19"/>
        </w:rPr>
        <w:t>The algorithm operates in two tightly coupled mathematical phases:</w:t>
      </w:r>
    </w:p>
    <w:p>
      <w:pPr>
        <w:pStyle w:val="ListBullet"/>
        <w:spacing w:before="0" w:after="60" w:line="276" w:lineRule="auto"/>
      </w:pPr>
      <w:r>
        <w:rPr>
          <w:rFonts w:ascii="Arial" w:hAnsi="Arial"/>
          <w:b/>
          <w:color w:val="1E293B"/>
          <w:sz w:val="19"/>
        </w:rPr>
        <w:t xml:space="preserve">Phase 1 (k-gram Rabin-Karp Rolling Hash): </w:t>
      </w:r>
      <w:r>
        <w:rPr>
          <w:rFonts w:ascii="Arial" w:hAnsi="Arial"/>
          <w:color w:val="1E293B"/>
          <w:sz w:val="19"/>
        </w:rPr>
        <w:t>A sliding window of length k slides character-by-character over cleaned text T. The hash at position i+1 is updated in O(1) time via the recurrence: h_(i+1) = ((h_i - c_i * B^(k-1)) * B + c_(i+k)) mod M. Here, the base B = 31, and the modulus M = 2^61 - 1 (a Mersenne prime, M_61). The Mersenne prime eliminates integer overflow vulnerabilities while avoiding Python BigNum performance penalties.</w:t>
      </w:r>
    </w:p>
    <w:p>
      <w:pPr>
        <w:pStyle w:val="ListBullet"/>
        <w:spacing w:before="0" w:after="60" w:line="276" w:lineRule="auto"/>
      </w:pPr>
      <w:r>
        <w:rPr>
          <w:rFonts w:ascii="Arial" w:hAnsi="Arial"/>
          <w:b/>
          <w:color w:val="1E293B"/>
          <w:sz w:val="19"/>
        </w:rPr>
        <w:t xml:space="preserve">Phase 2 (Window Minimum Selection with Rightmost Tie-Breaking): </w:t>
      </w:r>
      <w:r>
        <w:rPr>
          <w:rFonts w:ascii="Arial" w:hAnsi="Arial"/>
          <w:color w:val="1E293B"/>
          <w:sz w:val="19"/>
        </w:rPr>
        <w:t>A secondary sliding window of length w moves across the hash array. In each window, the minimum hash value is selected as a document fingerprint. In cases where multiple positions share the exact minimum hash, the rightmost occurrence is selected. This rightmost tie-breaking convention guarantees that if two documents share any contiguous substring of length L &gt;= k + w - 1, at least one shared fingerprint is mathematically guaranteed to be selected.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 Mathematical Parameters (Python Microservice)</w:t>
              <w:br/>
              <w:t>K-Gram Length (k):      50 characters</w:t>
              <w:br/>
              <w:t>Window Size (w):        100 characters</w:t>
              <w:br/>
              <w:t>Guaranteed Substring:   L &gt;= 50 + 100 - 1 = 149 characters</w:t>
              <w:br/>
              <w:t>Base (B):               31</w:t>
              <w:br/>
              <w:t>Modulus (M):            2^61 - 1 (2,305,843,009,213,693,951)</w:t>
              <w:br/>
              <w:t>Time Complexity:        O(n) Hashing + O(n) Windowing = O(n) Overall</w:t>
              <w:br/>
              <w:t>Space Complexity:       O(n / w) Fingerprints</w:t>
            </w:r>
          </w:p>
        </w:tc>
      </w:tr>
    </w:tbl>
    <w:p>
      <w:pPr>
        <w:spacing w:before="80" w:after="80"/>
      </w:pPr>
    </w:p>
    <w:p>
      <w:pPr>
        <w:spacing w:before="0" w:after="100" w:line="276" w:lineRule="auto"/>
      </w:pPr>
      <w:r>
        <w:rPr>
          <w:rFonts w:ascii="Arial" w:hAnsi="Arial"/>
          <w:color w:val="1E293B"/>
          <w:sz w:val="19"/>
        </w:rPr>
        <w:t>After fingerprint selection, matching hashes are mapped to character intervals [start, start + k). Overlapping and near-adjacent spans within a merge gap of 20 characters are merged into contiguous highlights. Merged spans shorter than 30 characters are filtered out as syntactic noise. The final Winnowing plagiarism ratio is derived from a bytearray coverage array tracking unique matched character positions across the entire document length.</w:t>
      </w:r>
    </w:p>
    <w:p>
      <w:pPr>
        <w:keepNext/>
        <w:spacing w:before="260" w:after="80"/>
      </w:pPr>
      <w:r>
        <w:rPr>
          <w:rFonts w:ascii="Arial" w:hAnsi="Arial"/>
          <w:b/>
          <w:color w:val="1A448A"/>
          <w:sz w:val="24"/>
        </w:rPr>
        <w:t>2.2 BAAI/bge-m3 Semantic Vector Representations</w:t>
      </w:r>
    </w:p>
    <w:p>
      <w:pPr>
        <w:spacing w:before="0" w:after="100" w:line="276" w:lineRule="auto"/>
      </w:pPr>
      <w:r>
        <w:rPr>
          <w:rFonts w:ascii="Arial" w:hAnsi="Arial"/>
          <w:b/>
          <w:color w:val="1E293B"/>
          <w:sz w:val="19"/>
        </w:rPr>
        <w:t xml:space="preserve">Embedding Framework: </w:t>
      </w:r>
      <w:r>
        <w:rPr>
          <w:rFonts w:ascii="Arial" w:hAnsi="Arial"/>
          <w:color w:val="1E293B"/>
          <w:sz w:val="19"/>
        </w:rPr>
        <w:t>To identify semantic plagiarism, paraphrasing, and concept borrowing where exact syntax has been rewritten, the system deploys BAAI/bge-m3 (plagiarism_engine/embeddings.py). Loaded as a process singleton with a ~1.2 GB memory footprint, it produces two distinct mathematical representations:</w:t>
      </w:r>
    </w:p>
    <w:p>
      <w:pPr>
        <w:pStyle w:val="ListBullet"/>
        <w:spacing w:before="0" w:after="60" w:line="276" w:lineRule="auto"/>
      </w:pPr>
      <w:r>
        <w:rPr>
          <w:rFonts w:ascii="Arial" w:hAnsi="Arial"/>
          <w:b/>
          <w:color w:val="1E293B"/>
          <w:sz w:val="19"/>
        </w:rPr>
        <w:t xml:space="preserve">1. Dense Semantic Head (1,024-dim): </w:t>
      </w:r>
      <w:r>
        <w:rPr>
          <w:rFonts w:ascii="Arial" w:hAnsi="Arial"/>
          <w:color w:val="1E293B"/>
          <w:sz w:val="19"/>
        </w:rPr>
        <w:t>Encodes paragraph segments (minimum 12 words) into 1,024-dimensional floating-point vectors with an extended context window of up to 8,192 tokens. Vectors are strictly L2-normalized: v_hat = v / ||v||_2. Consequently, cosine similarity reduces to a dot product: S_dense(u, v) = u_hat . v_hat.</w:t>
      </w:r>
    </w:p>
    <w:p>
      <w:pPr>
        <w:pStyle w:val="ListBullet"/>
        <w:spacing w:before="0" w:after="60" w:line="276" w:lineRule="auto"/>
      </w:pPr>
      <w:r>
        <w:rPr>
          <w:rFonts w:ascii="Arial" w:hAnsi="Arial"/>
          <w:b/>
          <w:color w:val="1E293B"/>
          <w:sz w:val="19"/>
        </w:rPr>
        <w:t xml:space="preserve">2. Sparse Lexical Head (Term-Salience): </w:t>
      </w:r>
      <w:r>
        <w:rPr>
          <w:rFonts w:ascii="Arial" w:hAnsi="Arial"/>
          <w:color w:val="1E293B"/>
          <w:sz w:val="19"/>
        </w:rPr>
        <w:t>Generates normalized token-importance weights capturing domain-specific IT terminology and technical nomenclature. Cosine similarity between sparse weight vectors A and B evaluates vocabulary specificity without neural dense projection drift: S_sparse(A, B) = sum(w_A(t) * w_B(t)) / (sqrt(sum(w_A^2)) * sqrt(sum(w_B^2))).</w:t>
      </w:r>
    </w:p>
    <w:p>
      <w:pPr>
        <w:keepNext/>
        <w:spacing w:before="260" w:after="80"/>
      </w:pPr>
      <w:r>
        <w:rPr>
          <w:rFonts w:ascii="Arial" w:hAnsi="Arial"/>
          <w:b/>
          <w:color w:val="1A448A"/>
          <w:sz w:val="24"/>
        </w:rPr>
        <w:t>2.3 Two-Stage HybridSourceTracker (HST) Pipeline</w:t>
      </w:r>
    </w:p>
    <w:p>
      <w:pPr>
        <w:spacing w:before="0" w:after="100" w:line="276" w:lineRule="auto"/>
      </w:pPr>
      <w:r>
        <w:rPr>
          <w:rFonts w:ascii="Arial" w:hAnsi="Arial"/>
          <w:b/>
          <w:color w:val="1E293B"/>
          <w:sz w:val="19"/>
        </w:rPr>
        <w:t xml:space="preserve">Two-Stage Pipeline: </w:t>
      </w:r>
      <w:r>
        <w:rPr>
          <w:rFonts w:ascii="Arial" w:hAnsi="Arial"/>
          <w:color w:val="1E293B"/>
          <w:sz w:val="19"/>
        </w:rPr>
        <w:t>Directly comparing every submitted document against the entire historical capstone archive using exact Winnowing scales quadratically (O(N * M)). The HybridSourceTracker (plagiarism_engine/hst_pipeline.py) solves this scalability challenge through an asymmetric two-stage retrieval and re-ranking architecture:</w:t>
      </w:r>
    </w:p>
    <w:p>
      <w:pPr>
        <w:pStyle w:val="ListBullet"/>
        <w:spacing w:before="0" w:after="60" w:line="276" w:lineRule="auto"/>
      </w:pPr>
      <w:r>
        <w:rPr>
          <w:rFonts w:ascii="Arial" w:hAnsi="Arial"/>
          <w:b/>
          <w:color w:val="1E293B"/>
          <w:sz w:val="19"/>
        </w:rPr>
        <w:t xml:space="preserve">Stage 1 (Coarse Candidate Retrieval - ANN): </w:t>
      </w:r>
      <w:r>
        <w:rPr>
          <w:rFonts w:ascii="Arial" w:hAnsi="Arial"/>
          <w:color w:val="1E293B"/>
          <w:sz w:val="19"/>
        </w:rPr>
        <w:t>The dense vectors of the submission query the ChromaDB HNSW (Hierarchical Navigable Small World) index (M=16, ef_construction=200, ef_search=100) using cosine distance. In O(log N) logarithmic time, ChromaDB filters the historical archive down to the top K=50 most semantically relevant candidate documents meeting a baseline similarity threshold of S_dense &gt;= 0.45.</w:t>
      </w:r>
    </w:p>
    <w:p>
      <w:pPr>
        <w:pStyle w:val="ListBullet"/>
        <w:spacing w:before="0" w:after="60" w:line="276" w:lineRule="auto"/>
      </w:pPr>
      <w:r>
        <w:rPr>
          <w:rFonts w:ascii="Arial" w:hAnsi="Arial"/>
          <w:b/>
          <w:color w:val="1E293B"/>
          <w:sz w:val="19"/>
        </w:rPr>
        <w:t xml:space="preserve">Stage 2 (Fine-Grained Hybrid Re-Ranking): </w:t>
      </w:r>
      <w:r>
        <w:rPr>
          <w:rFonts w:ascii="Arial" w:hAnsi="Arial"/>
          <w:color w:val="1E293B"/>
          <w:sz w:val="19"/>
        </w:rPr>
        <w:t>Only the retrieved top-50 candidate documents are subjected to fine-grained evaluation. The engine executes exact Winnowing fingerprint intersection, in-memory BGE-M3 sparse lexical dot-product scoring, and dense cosine calculation against each candidate.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60" w:type="dxa"/>
            </w:tcMar>
            <w:tcBorders>
              <w:top w:val="none"/>
              <w:left w:val="single" w:sz="24" w:space="0" w:color="0F294A"/>
              <w:bottom w:val="none"/>
              <w:right w:val="none"/>
            </w:tcBorders>
          </w:tcPr>
          <w:p>
            <w:pPr>
              <w:spacing w:before="0" w:after="60"/>
            </w:pPr>
            <w:r>
              <w:rPr>
                <w:rFonts w:ascii="Arial" w:hAnsi="Arial"/>
                <w:b/>
                <w:color w:val="0F294A"/>
                <w:sz w:val="17"/>
              </w:rPr>
              <w:t>CALIBRATED COMPOSITE SCORING &amp; GATING GATES</w:t>
            </w:r>
          </w:p>
          <w:p>
            <w:pPr>
              <w:spacing w:before="0" w:after="0" w:line="276" w:lineRule="auto"/>
            </w:pPr>
            <w:r>
              <w:rPr>
                <w:rFonts w:ascii="Arial" w:hAnsi="Arial"/>
                <w:i/>
                <w:color w:val="1E293B"/>
                <w:sz w:val="18"/>
              </w:rPr>
              <w:t>Composite Scoring Formula:</w:t>
              <w:br/>
              <w:t>S_comp = (0.50 * S_winnowing) + (0.30 * S_dense) + (0.20 * S_sparse)</w:t>
              <w:br/>
              <w:br/>
              <w:t>Institutional Policy Gates:</w:t>
              <w:br/>
              <w:t>• Manual Review Required: S_comp &gt;= 0.75 (Triggers coordinator review flag)</w:t>
              <w:br/>
              <w:t>• Critical Warning Alert: S_winnowing &gt;= 0.85 (Immediate critical warning flag)</w:t>
            </w:r>
          </w:p>
        </w:tc>
      </w:tr>
    </w:tbl>
    <w:p>
      <w:pPr>
        <w:spacing w:before="80" w:after="80"/>
      </w:pPr>
    </w:p>
    <w:p>
      <w:pPr>
        <w:keepNext/>
        <w:spacing w:before="260" w:after="80"/>
      </w:pPr>
      <w:r>
        <w:rPr>
          <w:rFonts w:ascii="Arial" w:hAnsi="Arial"/>
          <w:b/>
          <w:color w:val="1A448A"/>
          <w:sz w:val="24"/>
        </w:rPr>
        <w:t>2.4 In-Process Node.js / MongoDB Fingerprint Indexing</w:t>
      </w:r>
    </w:p>
    <w:p>
      <w:pPr>
        <w:spacing w:before="0" w:after="100" w:line="276" w:lineRule="auto"/>
      </w:pPr>
      <w:r>
        <w:rPr>
          <w:rFonts w:ascii="Arial" w:hAnsi="Arial"/>
          <w:b/>
          <w:color w:val="1E293B"/>
          <w:sz w:val="19"/>
        </w:rPr>
        <w:t xml:space="preserve">Server-Side Resilience: </w:t>
      </w:r>
      <w:r>
        <w:rPr>
          <w:rFonts w:ascii="Arial" w:hAnsi="Arial"/>
          <w:color w:val="1E293B"/>
          <w:sz w:val="19"/>
        </w:rPr>
        <w:t>The backend server maintains an in-process fallback and inverted index engine (server/services/fingerprintIndex.service.js &amp; plagiarism.service.js) for high-availability environments when the Python container is cold-starting:</w:t>
      </w:r>
    </w:p>
    <w:p>
      <w:pPr>
        <w:pStyle w:val="ListBullet"/>
        <w:spacing w:before="0" w:after="60" w:line="276" w:lineRule="auto"/>
      </w:pPr>
      <w:r>
        <w:rPr>
          <w:rFonts w:ascii="Arial" w:hAnsi="Arial"/>
          <w:b/>
          <w:color w:val="1E293B"/>
          <w:sz w:val="19"/>
        </w:rPr>
        <w:t xml:space="preserve">Fast-Path Winnowing: </w:t>
      </w:r>
      <w:r>
        <w:rPr>
          <w:rFonts w:ascii="Arial" w:hAnsi="Arial"/>
          <w:color w:val="1E293B"/>
          <w:sz w:val="19"/>
        </w:rPr>
        <w:t>Uses token-level k-grams (k=7 words, w=4 words) hashed with MD5 8-character hex slices.</w:t>
      </w:r>
    </w:p>
    <w:p>
      <w:pPr>
        <w:pStyle w:val="ListBullet"/>
        <w:spacing w:before="0" w:after="60" w:line="276" w:lineRule="auto"/>
      </w:pPr>
      <w:r>
        <w:rPr>
          <w:rFonts w:ascii="Arial" w:hAnsi="Arial"/>
          <w:b/>
          <w:color w:val="1E293B"/>
          <w:sz w:val="19"/>
        </w:rPr>
        <w:t xml:space="preserve">Space-Preserving Exclusions: </w:t>
      </w:r>
      <w:r>
        <w:rPr>
          <w:rFonts w:ascii="Arial" w:hAnsi="Arial"/>
          <w:color w:val="1E293B"/>
          <w:sz w:val="19"/>
        </w:rPr>
        <w:t>Before tokenization, quotation marks ("...") and entire Reference/Bibliography sections are padded with whitespace characters. This guarantees that cited literature and quotes are excluded from plagiarism scoring while preserving exact character offsets for PDF highlight grounding.</w:t>
      </w:r>
    </w:p>
    <w:p>
      <w:pPr>
        <w:pStyle w:val="ListBullet"/>
        <w:spacing w:before="0" w:after="60" w:line="276" w:lineRule="auto"/>
      </w:pPr>
      <w:r>
        <w:rPr>
          <w:rFonts w:ascii="Arial" w:hAnsi="Arial"/>
          <w:b/>
          <w:color w:val="1E293B"/>
          <w:sz w:val="19"/>
        </w:rPr>
        <w:t xml:space="preserve">Native Database Aggregation: </w:t>
      </w:r>
      <w:r>
        <w:rPr>
          <w:rFonts w:ascii="Arial" w:hAnsi="Arial"/>
          <w:color w:val="1E293B"/>
          <w:sz w:val="19"/>
        </w:rPr>
        <w:t>Fingerprints are indexed in the MongoDB collection 'fingerprints'. Candidate matching is executed directly in the database engine using the $setIntersection aggregation pipeline: {$project: {matchingHashes: {$setIntersection: [uniqueHashes, '$hashes.hash']}}}, reducing network roundtrips.</w:t>
      </w:r>
    </w:p>
    <w:p>
      <w:pPr>
        <w:keepNext/>
        <w:spacing w:before="360" w:after="120"/>
      </w:pPr>
      <w:r>
        <w:rPr>
          <w:rFonts w:ascii="Arial" w:hAnsi="Arial"/>
          <w:b/>
          <w:color w:val="0F294A"/>
          <w:sz w:val="29"/>
        </w:rPr>
        <w:t>3. Title &amp; Proposal Similarity Pre-Scan Algorithms</w:t>
      </w:r>
    </w:p>
    <w:p>
      <w:pPr>
        <w:keepNext/>
        <w:spacing w:before="260" w:after="80"/>
      </w:pPr>
      <w:r>
        <w:rPr>
          <w:rFonts w:ascii="Arial" w:hAnsi="Arial"/>
          <w:b/>
          <w:color w:val="1A448A"/>
          <w:sz w:val="24"/>
        </w:rPr>
        <w:t>3.1 Title Similarity Algorithm (Edit Distance + Token Blend)</w:t>
      </w:r>
    </w:p>
    <w:p>
      <w:pPr>
        <w:spacing w:before="0" w:after="100" w:line="276" w:lineRule="auto"/>
      </w:pPr>
      <w:r>
        <w:rPr>
          <w:rFonts w:ascii="Arial" w:hAnsi="Arial"/>
          <w:b/>
          <w:color w:val="1E293B"/>
          <w:sz w:val="19"/>
        </w:rPr>
        <w:t xml:space="preserve">Pre-Scan Defense: </w:t>
      </w:r>
      <w:r>
        <w:rPr>
          <w:rFonts w:ascii="Arial" w:hAnsi="Arial"/>
          <w:color w:val="1E293B"/>
          <w:sz w:val="19"/>
        </w:rPr>
        <w:t>In Phase 1 (Title Proposal Defense), proposed project titles are vetted against all approved historical capstones (server/utils/titleSimilarity.js) to prevent topic duplication and promote unique research innovation:</w:t>
      </w:r>
    </w:p>
    <w:p>
      <w:pPr>
        <w:pStyle w:val="ListBullet"/>
        <w:spacing w:before="0" w:after="60" w:line="276" w:lineRule="auto"/>
      </w:pPr>
      <w:r>
        <w:rPr>
          <w:rFonts w:ascii="Arial" w:hAnsi="Arial"/>
          <w:b/>
          <w:color w:val="1E293B"/>
          <w:sz w:val="19"/>
        </w:rPr>
        <w:t xml:space="preserve">1. Two-Row Dynamic Programming Levenshtein Distance: </w:t>
      </w:r>
      <w:r>
        <w:rPr>
          <w:rFonts w:ascii="Arial" w:hAnsi="Arial"/>
          <w:color w:val="1E293B"/>
          <w:sz w:val="19"/>
        </w:rPr>
        <w:t>Computes single-character insertions, deletions, and substitutions using a two-row matrix that minimizes memory allocation to O(min(m, n)). Titles are pre-normalized to resolve CamelCase word boundaries: CharScore = 1 - (LevenshteinDistance(normA, normB) / max(|normA|, |normB|)).</w:t>
      </w:r>
    </w:p>
    <w:p>
      <w:pPr>
        <w:pStyle w:val="ListBullet"/>
        <w:spacing w:before="0" w:after="60" w:line="276" w:lineRule="auto"/>
      </w:pPr>
      <w:r>
        <w:rPr>
          <w:rFonts w:ascii="Arial" w:hAnsi="Arial"/>
          <w:b/>
          <w:color w:val="1E293B"/>
          <w:sz w:val="19"/>
        </w:rPr>
        <w:t xml:space="preserve">2. Token Overlap Blend: </w:t>
      </w:r>
      <w:r>
        <w:rPr>
          <w:rFonts w:ascii="Arial" w:hAnsi="Arial"/>
          <w:color w:val="1E293B"/>
          <w:sz w:val="19"/>
        </w:rPr>
        <w:t>Calculates both Jaccard (|A ∩ B| / |A ∪ B|) and Containment (|A ∩ B| / min(|A|, |B|)) metrics across tokenized words. A hybrid token blend is derived: TokenBlend = 0.45 * Jaccard + 0.55 * Containment.</w:t>
      </w:r>
    </w:p>
    <w:p>
      <w:pPr>
        <w:pStyle w:val="ListBullet"/>
        <w:spacing w:before="0" w:after="60" w:line="276" w:lineRule="auto"/>
      </w:pPr>
      <w:r>
        <w:rPr>
          <w:rFonts w:ascii="Arial" w:hAnsi="Arial"/>
          <w:b/>
          <w:color w:val="1E293B"/>
          <w:sz w:val="19"/>
        </w:rPr>
        <w:t xml:space="preserve">3. Verbatim Containment Boost: </w:t>
      </w:r>
      <w:r>
        <w:rPr>
          <w:rFonts w:ascii="Arial" w:hAnsi="Arial"/>
          <w:color w:val="1E293B"/>
          <w:sz w:val="19"/>
        </w:rPr>
        <w:t>If a shorter title (&gt;= 20 characters) is contained verbatim within a longer title, the score is set to 0.98. Furthermore, if shared tokens &gt;= 2 and containment &gt;= 0.66, an immediate containment boost is awarded.</w:t>
      </w:r>
    </w:p>
    <w:p>
      <w:pPr>
        <w:pStyle w:val="ListBullet"/>
        <w:spacing w:before="0" w:after="60" w:line="276" w:lineRule="auto"/>
      </w:pPr>
      <w:r>
        <w:rPr>
          <w:rFonts w:ascii="Arial" w:hAnsi="Arial"/>
          <w:b/>
          <w:color w:val="1E293B"/>
          <w:sz w:val="19"/>
        </w:rPr>
        <w:t xml:space="preserve">4. Defensive Title-Keyword Weighting: </w:t>
      </w:r>
      <w:r>
        <w:rPr>
          <w:rFonts w:ascii="Arial" w:hAnsi="Arial"/>
          <w:color w:val="1E293B"/>
          <w:sz w:val="19"/>
        </w:rPr>
        <w:t>Combined Score = max(TitleScore, 0.70 * TitleScore + 0.30 * KeywordJaccard). The max operator prevents empty or divergent keyword tags from artificially lowering the similarity of an otherwise identical title.</w:t>
      </w:r>
    </w:p>
    <w:p>
      <w:pPr>
        <w:keepNext/>
        <w:spacing w:before="260" w:after="80"/>
      </w:pPr>
      <w:r>
        <w:rPr>
          <w:rFonts w:ascii="Arial" w:hAnsi="Arial"/>
          <w:b/>
          <w:color w:val="1A448A"/>
          <w:sz w:val="24"/>
        </w:rPr>
        <w:t>3.2 5-Field Weighted Proposal Similarity Algorithm</w:t>
      </w:r>
    </w:p>
    <w:p>
      <w:pPr>
        <w:spacing w:before="0" w:after="100" w:line="276" w:lineRule="auto"/>
      </w:pPr>
      <w:r>
        <w:rPr>
          <w:rFonts w:ascii="Arial" w:hAnsi="Arial"/>
          <w:b/>
          <w:color w:val="1E293B"/>
          <w:sz w:val="19"/>
        </w:rPr>
        <w:t xml:space="preserve">Blueprint Evaluation: </w:t>
      </w:r>
      <w:r>
        <w:rPr>
          <w:rFonts w:ascii="Arial" w:hAnsi="Arial"/>
          <w:color w:val="1E293B"/>
          <w:sz w:val="19"/>
        </w:rPr>
        <w:t>To evaluate entire proposal blueprints (server/utils/proposalSimilarity.js), candidate proposals are tokenized against a custom academic stopword dictionary containing 190+ terms (including domain noise words like 'system', 'application', 'mobile', 'based', 'using'). A multi-field weighted Jaccard calculation evaluates five distinct dimensions:</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3120"/>
        <w:gridCol w:w="3120"/>
        <w:gridCol w:w="3120"/>
      </w:tblGrid>
      <w:tr>
        <w:tc>
          <w:tcPr>
            <w:tcW w:type="dxa" w:w="3168"/>
            <w:shd w:fill="0F294A"/>
            <w:tcMar>
              <w:top w:w="80" w:type="dxa"/>
              <w:bottom w:w="80" w:type="dxa"/>
              <w:left w:w="100" w:type="dxa"/>
              <w:right w:w="100" w:type="dxa"/>
            </w:tcMar>
          </w:tcPr>
          <w:p>
            <w:r>
              <w:rPr>
                <w:rFonts w:ascii="Arial" w:hAnsi="Arial"/>
                <w:b/>
                <w:color w:val="FFFFFF"/>
                <w:sz w:val="17"/>
              </w:rPr>
              <w:t>Proposal Blueprint Field</w:t>
            </w:r>
          </w:p>
        </w:tc>
        <w:tc>
          <w:tcPr>
            <w:tcW w:type="dxa" w:w="1872"/>
            <w:shd w:fill="0F294A"/>
            <w:tcMar>
              <w:top w:w="80" w:type="dxa"/>
              <w:bottom w:w="80" w:type="dxa"/>
              <w:left w:w="100" w:type="dxa"/>
              <w:right w:w="100" w:type="dxa"/>
            </w:tcMar>
          </w:tcPr>
          <w:p>
            <w:r>
              <w:rPr>
                <w:rFonts w:ascii="Arial" w:hAnsi="Arial"/>
                <w:b/>
                <w:color w:val="FFFFFF"/>
                <w:sz w:val="17"/>
              </w:rPr>
              <w:t>Field Weight</w:t>
            </w:r>
          </w:p>
        </w:tc>
        <w:tc>
          <w:tcPr>
            <w:tcW w:type="dxa" w:w="4320"/>
            <w:shd w:fill="0F294A"/>
            <w:tcMar>
              <w:top w:w="80" w:type="dxa"/>
              <w:bottom w:w="80" w:type="dxa"/>
              <w:left w:w="100" w:type="dxa"/>
              <w:right w:w="100" w:type="dxa"/>
            </w:tcMar>
          </w:tcPr>
          <w:p>
            <w:r>
              <w:rPr>
                <w:rFonts w:ascii="Arial" w:hAnsi="Arial"/>
                <w:b/>
                <w:color w:val="FFFFFF"/>
                <w:sz w:val="17"/>
              </w:rPr>
              <w:t>Mathematical &amp; Evaluation Purpose</w:t>
            </w:r>
          </w:p>
        </w:tc>
      </w:tr>
      <w:tr>
        <w:tc>
          <w:tcPr>
            <w:tcW w:type="dxa" w:w="3168"/>
            <w:shd w:fill="FFFFFF"/>
            <w:tcMar>
              <w:top w:w="60" w:type="dxa"/>
              <w:bottom w:w="60" w:type="dxa"/>
              <w:left w:w="100" w:type="dxa"/>
              <w:right w:w="100" w:type="dxa"/>
            </w:tcMar>
          </w:tcPr>
          <w:p>
            <w:r>
              <w:rPr>
                <w:rFonts w:ascii="Arial" w:hAnsi="Arial"/>
                <w:color w:val="1E293B"/>
                <w:sz w:val="17"/>
              </w:rPr>
              <w:t>Proposed Title</w:t>
            </w:r>
          </w:p>
        </w:tc>
        <w:tc>
          <w:tcPr>
            <w:tcW w:type="dxa" w:w="1872"/>
            <w:shd w:fill="FFFFFF"/>
            <w:tcMar>
              <w:top w:w="60" w:type="dxa"/>
              <w:bottom w:w="60" w:type="dxa"/>
              <w:left w:w="100" w:type="dxa"/>
              <w:right w:w="100" w:type="dxa"/>
            </w:tcMar>
          </w:tcPr>
          <w:p>
            <w:r>
              <w:rPr>
                <w:rFonts w:ascii="Arial" w:hAnsi="Arial"/>
                <w:color w:val="1E293B"/>
                <w:sz w:val="17"/>
              </w:rPr>
              <w:t>0.60 (60%)</w:t>
            </w:r>
          </w:p>
        </w:tc>
        <w:tc>
          <w:tcPr>
            <w:tcW w:type="dxa" w:w="4320"/>
            <w:shd w:fill="FFFFFF"/>
            <w:tcMar>
              <w:top w:w="60" w:type="dxa"/>
              <w:bottom w:w="60" w:type="dxa"/>
              <w:left w:w="100" w:type="dxa"/>
              <w:right w:w="100" w:type="dxa"/>
            </w:tcMar>
          </w:tcPr>
          <w:p>
            <w:r>
              <w:rPr>
                <w:rFonts w:ascii="Arial" w:hAnsi="Arial"/>
                <w:color w:val="1E293B"/>
                <w:sz w:val="17"/>
              </w:rPr>
              <w:t>Primary conceptual anchor and project identity</w:t>
            </w:r>
          </w:p>
        </w:tc>
      </w:tr>
      <w:tr>
        <w:tc>
          <w:tcPr>
            <w:tcW w:type="dxa" w:w="3168"/>
            <w:shd w:fill="F8FAFC"/>
            <w:tcMar>
              <w:top w:w="60" w:type="dxa"/>
              <w:bottom w:w="60" w:type="dxa"/>
              <w:left w:w="100" w:type="dxa"/>
              <w:right w:w="100" w:type="dxa"/>
            </w:tcMar>
          </w:tcPr>
          <w:p>
            <w:r>
              <w:rPr>
                <w:rFonts w:ascii="Arial" w:hAnsi="Arial"/>
                <w:color w:val="1E293B"/>
                <w:sz w:val="17"/>
              </w:rPr>
              <w:t>Problem Statement</w:t>
            </w:r>
          </w:p>
        </w:tc>
        <w:tc>
          <w:tcPr>
            <w:tcW w:type="dxa" w:w="1872"/>
            <w:shd w:fill="F8FAFC"/>
            <w:tcMar>
              <w:top w:w="60" w:type="dxa"/>
              <w:bottom w:w="60" w:type="dxa"/>
              <w:left w:w="100" w:type="dxa"/>
              <w:right w:w="100" w:type="dxa"/>
            </w:tcMar>
          </w:tcPr>
          <w:p>
            <w:r>
              <w:rPr>
                <w:rFonts w:ascii="Arial" w:hAnsi="Arial"/>
                <w:color w:val="1E293B"/>
                <w:sz w:val="17"/>
              </w:rPr>
              <w:t>0.10 (10%)</w:t>
            </w:r>
          </w:p>
        </w:tc>
        <w:tc>
          <w:tcPr>
            <w:tcW w:type="dxa" w:w="4320"/>
            <w:shd w:fill="F8FAFC"/>
            <w:tcMar>
              <w:top w:w="60" w:type="dxa"/>
              <w:bottom w:w="60" w:type="dxa"/>
              <w:left w:w="100" w:type="dxa"/>
              <w:right w:w="100" w:type="dxa"/>
            </w:tcMar>
          </w:tcPr>
          <w:p>
            <w:r>
              <w:rPr>
                <w:rFonts w:ascii="Arial" w:hAnsi="Arial"/>
                <w:color w:val="1E293B"/>
                <w:sz w:val="17"/>
              </w:rPr>
              <w:t>Specific institutional or community pain-point addressed</w:t>
            </w:r>
          </w:p>
        </w:tc>
      </w:tr>
      <w:tr>
        <w:tc>
          <w:tcPr>
            <w:tcW w:type="dxa" w:w="3168"/>
            <w:shd w:fill="FFFFFF"/>
            <w:tcMar>
              <w:top w:w="60" w:type="dxa"/>
              <w:bottom w:w="60" w:type="dxa"/>
              <w:left w:w="100" w:type="dxa"/>
              <w:right w:w="100" w:type="dxa"/>
            </w:tcMar>
          </w:tcPr>
          <w:p>
            <w:r>
              <w:rPr>
                <w:rFonts w:ascii="Arial" w:hAnsi="Arial"/>
                <w:color w:val="1E293B"/>
                <w:sz w:val="17"/>
              </w:rPr>
              <w:t>Proposed Solution</w:t>
            </w:r>
          </w:p>
        </w:tc>
        <w:tc>
          <w:tcPr>
            <w:tcW w:type="dxa" w:w="1872"/>
            <w:shd w:fill="FFFFFF"/>
            <w:tcMar>
              <w:top w:w="60" w:type="dxa"/>
              <w:bottom w:w="60" w:type="dxa"/>
              <w:left w:w="100" w:type="dxa"/>
              <w:right w:w="100" w:type="dxa"/>
            </w:tcMar>
          </w:tcPr>
          <w:p>
            <w:r>
              <w:rPr>
                <w:rFonts w:ascii="Arial" w:hAnsi="Arial"/>
                <w:color w:val="1E293B"/>
                <w:sz w:val="17"/>
              </w:rPr>
              <w:t>0.10 (10%)</w:t>
            </w:r>
          </w:p>
        </w:tc>
        <w:tc>
          <w:tcPr>
            <w:tcW w:type="dxa" w:w="4320"/>
            <w:shd w:fill="FFFFFF"/>
            <w:tcMar>
              <w:top w:w="60" w:type="dxa"/>
              <w:bottom w:w="60" w:type="dxa"/>
              <w:left w:w="100" w:type="dxa"/>
              <w:right w:w="100" w:type="dxa"/>
            </w:tcMar>
          </w:tcPr>
          <w:p>
            <w:r>
              <w:rPr>
                <w:rFonts w:ascii="Arial" w:hAnsi="Arial"/>
                <w:color w:val="1E293B"/>
                <w:sz w:val="17"/>
              </w:rPr>
              <w:t>Technical architecture and algorithmic intervention</w:t>
            </w:r>
          </w:p>
        </w:tc>
      </w:tr>
      <w:tr>
        <w:tc>
          <w:tcPr>
            <w:tcW w:type="dxa" w:w="3168"/>
            <w:shd w:fill="F8FAFC"/>
            <w:tcMar>
              <w:top w:w="60" w:type="dxa"/>
              <w:bottom w:w="60" w:type="dxa"/>
              <w:left w:w="100" w:type="dxa"/>
              <w:right w:w="100" w:type="dxa"/>
            </w:tcMar>
          </w:tcPr>
          <w:p>
            <w:r>
              <w:rPr>
                <w:rFonts w:ascii="Arial" w:hAnsi="Arial"/>
                <w:color w:val="1E293B"/>
                <w:sz w:val="17"/>
              </w:rPr>
              <w:t>Unique Technical Contribution</w:t>
            </w:r>
          </w:p>
        </w:tc>
        <w:tc>
          <w:tcPr>
            <w:tcW w:type="dxa" w:w="1872"/>
            <w:shd w:fill="F8FAFC"/>
            <w:tcMar>
              <w:top w:w="60" w:type="dxa"/>
              <w:bottom w:w="60" w:type="dxa"/>
              <w:left w:w="100" w:type="dxa"/>
              <w:right w:w="100" w:type="dxa"/>
            </w:tcMar>
          </w:tcPr>
          <w:p>
            <w:r>
              <w:rPr>
                <w:rFonts w:ascii="Arial" w:hAnsi="Arial"/>
                <w:color w:val="1E293B"/>
                <w:sz w:val="17"/>
              </w:rPr>
              <w:t>0.10 (10%)</w:t>
            </w:r>
          </w:p>
        </w:tc>
        <w:tc>
          <w:tcPr>
            <w:tcW w:type="dxa" w:w="4320"/>
            <w:shd w:fill="F8FAFC"/>
            <w:tcMar>
              <w:top w:w="60" w:type="dxa"/>
              <w:bottom w:w="60" w:type="dxa"/>
              <w:left w:w="100" w:type="dxa"/>
              <w:right w:w="100" w:type="dxa"/>
            </w:tcMar>
          </w:tcPr>
          <w:p>
            <w:r>
              <w:rPr>
                <w:rFonts w:ascii="Arial" w:hAnsi="Arial"/>
                <w:color w:val="1E293B"/>
                <w:sz w:val="17"/>
              </w:rPr>
              <w:t>Novelty indicator separating project from prior art</w:t>
            </w:r>
          </w:p>
        </w:tc>
      </w:tr>
      <w:tr>
        <w:tc>
          <w:tcPr>
            <w:tcW w:type="dxa" w:w="3168"/>
            <w:shd w:fill="FFFFFF"/>
            <w:tcMar>
              <w:top w:w="60" w:type="dxa"/>
              <w:bottom w:w="60" w:type="dxa"/>
              <w:left w:w="100" w:type="dxa"/>
              <w:right w:w="100" w:type="dxa"/>
            </w:tcMar>
          </w:tcPr>
          <w:p>
            <w:r>
              <w:rPr>
                <w:rFonts w:ascii="Arial" w:hAnsi="Arial"/>
                <w:color w:val="1E293B"/>
                <w:sz w:val="17"/>
              </w:rPr>
              <w:t>Expected Beneficiary / Impact</w:t>
            </w:r>
          </w:p>
        </w:tc>
        <w:tc>
          <w:tcPr>
            <w:tcW w:type="dxa" w:w="1872"/>
            <w:shd w:fill="FFFFFF"/>
            <w:tcMar>
              <w:top w:w="60" w:type="dxa"/>
              <w:bottom w:w="60" w:type="dxa"/>
              <w:left w:w="100" w:type="dxa"/>
              <w:right w:w="100" w:type="dxa"/>
            </w:tcMar>
          </w:tcPr>
          <w:p>
            <w:r>
              <w:rPr>
                <w:rFonts w:ascii="Arial" w:hAnsi="Arial"/>
                <w:color w:val="1E293B"/>
                <w:sz w:val="17"/>
              </w:rPr>
              <w:t>0.10 (10%)</w:t>
            </w:r>
          </w:p>
        </w:tc>
        <w:tc>
          <w:tcPr>
            <w:tcW w:type="dxa" w:w="4320"/>
            <w:shd w:fill="FFFFFF"/>
            <w:tcMar>
              <w:top w:w="60" w:type="dxa"/>
              <w:bottom w:w="60" w:type="dxa"/>
              <w:left w:w="100" w:type="dxa"/>
              <w:right w:w="100" w:type="dxa"/>
            </w:tcMar>
          </w:tcPr>
          <w:p>
            <w:r>
              <w:rPr>
                <w:rFonts w:ascii="Arial" w:hAnsi="Arial"/>
                <w:color w:val="1E293B"/>
                <w:sz w:val="17"/>
              </w:rPr>
              <w:t>Target users, deployment scope, and SDG alignment</w:t>
            </w:r>
          </w:p>
        </w:tc>
      </w:tr>
    </w:tbl>
    <w:p>
      <w:pPr>
        <w:spacing w:before="120" w:after="120"/>
      </w:pPr>
    </w:p>
    <w:p>
      <w:pPr>
        <w:keepNext/>
        <w:spacing w:before="360" w:after="120"/>
      </w:pPr>
      <w:r>
        <w:rPr>
          <w:rFonts w:ascii="Arial" w:hAnsi="Arial"/>
          <w:b/>
          <w:color w:val="0F294A"/>
          <w:sz w:val="29"/>
        </w:rPr>
        <w:t>4. Document Ingestion, OCR &amp; Visual Alignment Algorithms</w:t>
      </w:r>
    </w:p>
    <w:p>
      <w:pPr>
        <w:keepNext/>
        <w:spacing w:before="260" w:after="80"/>
      </w:pPr>
      <w:r>
        <w:rPr>
          <w:rFonts w:ascii="Arial" w:hAnsi="Arial"/>
          <w:b/>
          <w:color w:val="1A448A"/>
          <w:sz w:val="24"/>
        </w:rPr>
        <w:t>4.1 PaddleOCR-VL Layout Analysis &amp; Text Extraction</w:t>
      </w:r>
    </w:p>
    <w:p>
      <w:pPr>
        <w:spacing w:before="0" w:after="100" w:line="276" w:lineRule="auto"/>
      </w:pPr>
      <w:r>
        <w:rPr>
          <w:rFonts w:ascii="Arial" w:hAnsi="Arial"/>
          <w:color w:val="1E293B"/>
          <w:sz w:val="19"/>
        </w:rPr>
        <w:t>Manuscripts submitted for archival ingestion or chapter review are dispatched via an asynchronous BullMQ queue ('document-extraction') to the PaddleOCR-VL (0.9B) vision-language microservice on port 8000 (server/services/ocrExtraction.service.js). The service extracts structured layout metadata, including bounding boxes, markdown tables, LaTeX mathematical expressions, and academic metadata (title, abstract, authors, publication year). If the microservice is unreachable or cold-starting, the gateway automatically catches the exception and falls back to in-process pdf-parse extraction, returning ocrStatus: 'degraded' to prevent workflow interruption.</w:t>
      </w:r>
    </w:p>
    <w:p>
      <w:pPr>
        <w:keepNext/>
        <w:spacing w:before="260" w:after="80"/>
      </w:pPr>
      <w:r>
        <w:rPr>
          <w:rFonts w:ascii="Arial" w:hAnsi="Arial"/>
          <w:b/>
          <w:color w:val="1A448A"/>
          <w:sz w:val="24"/>
        </w:rPr>
        <w:t>4.2 Academic Text Normalizer &amp; Hyphenation Collapser</w:t>
      </w:r>
    </w:p>
    <w:p>
      <w:pPr>
        <w:spacing w:before="0" w:after="100" w:line="276" w:lineRule="auto"/>
      </w:pPr>
      <w:r>
        <w:rPr>
          <w:rFonts w:ascii="Arial" w:hAnsi="Arial"/>
          <w:b/>
          <w:color w:val="1E293B"/>
          <w:sz w:val="19"/>
        </w:rPr>
        <w:t xml:space="preserve">Typography Cleansing: </w:t>
      </w:r>
      <w:r>
        <w:rPr>
          <w:rFonts w:ascii="Arial" w:hAnsi="Arial"/>
          <w:color w:val="1E293B"/>
          <w:sz w:val="19"/>
        </w:rPr>
        <w:t>Academic capstone manuscripts formatted in IEEE or dual-column layouts frequently split technical terms across line breaks with soft hyphens and typographic ligatures. The normalizer (client/src/utils/plagiarismHighlightAdapter.js) applies deterministic transforms:</w:t>
      </w:r>
    </w:p>
    <w:p>
      <w:pPr>
        <w:pStyle w:val="ListBullet"/>
        <w:spacing w:before="0" w:after="60" w:line="276" w:lineRule="auto"/>
      </w:pPr>
      <w:r>
        <w:rPr>
          <w:rFonts w:ascii="Arial" w:hAnsi="Arial"/>
          <w:b/>
          <w:color w:val="1E293B"/>
          <w:sz w:val="19"/>
        </w:rPr>
        <w:t xml:space="preserve">Zero-Width Filtering: </w:t>
      </w:r>
      <w:r>
        <w:rPr>
          <w:rFonts w:ascii="Arial" w:hAnsi="Arial"/>
          <w:color w:val="1E293B"/>
          <w:sz w:val="19"/>
        </w:rPr>
        <w:t>Strips soft hyphens (\u00ad) and zero-width spaces (\u200b, \u200c, \u200d, \ufeff).</w:t>
      </w:r>
    </w:p>
    <w:p>
      <w:pPr>
        <w:pStyle w:val="ListBullet"/>
        <w:spacing w:before="0" w:after="60" w:line="276" w:lineRule="auto"/>
      </w:pPr>
      <w:r>
        <w:rPr>
          <w:rFonts w:ascii="Arial" w:hAnsi="Arial"/>
          <w:b/>
          <w:color w:val="1E293B"/>
          <w:sz w:val="19"/>
        </w:rPr>
        <w:t xml:space="preserve">De-Hyphenation Regex: </w:t>
      </w:r>
      <w:r>
        <w:rPr>
          <w:rFonts w:ascii="Arial" w:hAnsi="Arial"/>
          <w:color w:val="1E293B"/>
          <w:sz w:val="19"/>
        </w:rPr>
        <w:t>Collapses line-end dual-column hyphens: /(\w+)-\s*[\r\n]+\s*(\w+)/g -&gt; '$1$2' (e.g. 'algo-\n rithm' -&gt; 'algorithm').</w:t>
      </w:r>
    </w:p>
    <w:p>
      <w:pPr>
        <w:pStyle w:val="ListBullet"/>
        <w:spacing w:before="0" w:after="60" w:line="276" w:lineRule="auto"/>
      </w:pPr>
      <w:r>
        <w:rPr>
          <w:rFonts w:ascii="Arial" w:hAnsi="Arial"/>
          <w:b/>
          <w:color w:val="1E293B"/>
          <w:sz w:val="19"/>
        </w:rPr>
        <w:t xml:space="preserve">Ligature Normalization: </w:t>
      </w:r>
      <w:r>
        <w:rPr>
          <w:rFonts w:ascii="Arial" w:hAnsi="Arial"/>
          <w:color w:val="1E293B"/>
          <w:sz w:val="19"/>
        </w:rPr>
        <w:t>Unfolds ligatures: \uFB00 -&gt; 'ff', \uFB01 -&gt; 'fi', \uFB02 -&gt; 'fl', \uFB03 -&gt; 'ffi', \uFB04 -&gt; 'ffl', æ -&gt; 'ae', œ -&gt; 'oe'.</w:t>
      </w:r>
    </w:p>
    <w:p>
      <w:pPr>
        <w:keepNext/>
        <w:spacing w:before="260" w:after="80"/>
      </w:pPr>
      <w:r>
        <w:rPr>
          <w:rFonts w:ascii="Arial" w:hAnsi="Arial"/>
          <w:b/>
          <w:color w:val="1A448A"/>
          <w:sz w:val="24"/>
        </w:rPr>
        <w:t>4.3 Separating Axis Theorem (SAT) 2D Highlight Overlap Detection</w:t>
      </w:r>
    </w:p>
    <w:p>
      <w:pPr>
        <w:spacing w:before="0" w:after="100" w:line="276" w:lineRule="auto"/>
      </w:pPr>
      <w:r>
        <w:rPr>
          <w:rFonts w:ascii="Arial" w:hAnsi="Arial"/>
          <w:color w:val="1E293B"/>
          <w:sz w:val="19"/>
        </w:rPr>
        <w:t>When rendering PDF manuscripts in the unified SophisticatedDocumentViewer, faculty annotations and plagiarism highlights often occupy colliding screen coordinates. The system applies 2D Separating Axis Theorem (AABB bounding box intersection):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function areRectsOverlapping(r1, r2) {</w:t>
              <w:br/>
              <w:t xml:space="preserve">  if (!r1 || !r2) return false;</w:t>
              <w:br/>
              <w:t xml:space="preserve">  return !(r1.x2 &lt; r2.x1 || r1.x1 &gt; r2.x2 || r1.y2 &lt; r2.y1 || r1.y1 &gt; r2.y2);</w:t>
              <w:br/>
              <w:t>}</w:t>
            </w:r>
          </w:p>
        </w:tc>
      </w:tr>
    </w:tbl>
    <w:p>
      <w:pPr>
        <w:spacing w:before="80" w:after="80"/>
      </w:pPr>
    </w:p>
    <w:p>
      <w:pPr>
        <w:spacing w:before="0" w:after="100" w:line="276" w:lineRule="auto"/>
      </w:pPr>
      <w:r>
        <w:rPr>
          <w:rFonts w:ascii="Arial" w:hAnsi="Arial"/>
          <w:color w:val="1E293B"/>
          <w:sz w:val="19"/>
        </w:rPr>
        <w:t>When a faculty comment and a plagiarism match intersect on the same page, the system marks isCrossLayerOverlap = true, rendering an institutional Turnitin-style diagonal-striped canvas fill (.archive-mark-overlap) to alert the committee.</w:t>
      </w:r>
    </w:p>
    <w:p>
      <w:pPr>
        <w:keepNext/>
        <w:spacing w:before="260" w:after="80"/>
      </w:pPr>
      <w:r>
        <w:rPr>
          <w:rFonts w:ascii="Arial" w:hAnsi="Arial"/>
          <w:b/>
          <w:color w:val="1A448A"/>
          <w:sz w:val="24"/>
        </w:rPr>
        <w:t>4.4 1D Interval Merging with Max-Similarity Preservation</w:t>
      </w:r>
    </w:p>
    <w:p>
      <w:pPr>
        <w:spacing w:before="0" w:after="100" w:line="276" w:lineRule="auto"/>
      </w:pPr>
      <w:r>
        <w:rPr>
          <w:rFonts w:ascii="Arial" w:hAnsi="Arial"/>
          <w:color w:val="1E293B"/>
          <w:sz w:val="19"/>
        </w:rPr>
        <w:t>In client/src/utils/intervalMerge.js, multiple overlapping match spans are sorted by startIndex ascending. Overlapping intervals [s1, e1] and [s2, e2] are merged in O(N log N) time, extending the boundary to max(e1, e2) and retaining the highest similarity score max(sim1, sim2) to eliminate redundant highlight layers.</w:t>
      </w:r>
    </w:p>
    <w:p>
      <w:pPr>
        <w:keepNext/>
        <w:spacing w:before="360" w:after="120"/>
      </w:pPr>
      <w:r>
        <w:rPr>
          <w:rFonts w:ascii="Arial" w:hAnsi="Arial"/>
          <w:b/>
          <w:color w:val="0F294A"/>
          <w:sz w:val="29"/>
        </w:rPr>
        <w:t>5. Text Diffing &amp; Revision Comparison Algorithms</w:t>
      </w:r>
    </w:p>
    <w:p>
      <w:pPr>
        <w:keepNext/>
        <w:spacing w:before="260" w:after="80"/>
      </w:pPr>
      <w:r>
        <w:rPr>
          <w:rFonts w:ascii="Arial" w:hAnsi="Arial"/>
          <w:b/>
          <w:color w:val="1A448A"/>
          <w:sz w:val="24"/>
        </w:rPr>
        <w:t>5.1 Myers Diff Algorithm (Word, Sentence &amp; Line Granularities)</w:t>
      </w:r>
    </w:p>
    <w:p>
      <w:pPr>
        <w:spacing w:before="0" w:after="100" w:line="276" w:lineRule="auto"/>
      </w:pPr>
      <w:r>
        <w:rPr>
          <w:rFonts w:ascii="Arial" w:hAnsi="Arial"/>
          <w:color w:val="1E293B"/>
          <w:sz w:val="19"/>
        </w:rPr>
        <w:t>In the Revision Diff (+/-) Studio (client/src/components/documents/RevisionDiffViewer.jsx), version comparisons between v_(N-1) and v_N are computed using the Myers diff algorithm (Longest Common Subsequence / Shortest Edit Script) in O(N * D) time. The viewer supports three granularities: diffWordsWithSpace (character spacing preserved), diffSentences, and diffLines.</w:t>
      </w:r>
    </w:p>
    <w:p>
      <w:pPr>
        <w:keepNext/>
        <w:spacing w:before="260" w:after="80"/>
      </w:pPr>
      <w:r>
        <w:rPr>
          <w:rFonts w:ascii="Arial" w:hAnsi="Arial"/>
          <w:b/>
          <w:color w:val="1A448A"/>
          <w:sz w:val="24"/>
        </w:rPr>
        <w:t>5.2 Atomic Chunk Pairing &amp; Annotation Association</w:t>
      </w:r>
    </w:p>
    <w:p>
      <w:pPr>
        <w:spacing w:before="0" w:after="100" w:line="276" w:lineRule="auto"/>
      </w:pPr>
      <w:r>
        <w:rPr>
          <w:rFonts w:ascii="Arial" w:hAnsi="Arial"/>
          <w:color w:val="1E293B"/>
          <w:sz w:val="19"/>
        </w:rPr>
        <w:t>Raw diff algorithms output isolated 'removed' and 'added' blocks. The pairDiffChunks algorithm traverses the diff array, pairing consecutive deletions and additions into an atomic 'replacement' tuple with oldValue and newValue. It then performs normalized substring matching against committee review remarks, anchoring faculty feedback directly to the exact replacement chunk.</w:t>
      </w:r>
    </w:p>
    <w:p>
      <w:pPr>
        <w:keepNext/>
        <w:spacing w:before="360" w:after="120"/>
      </w:pPr>
      <w:r>
        <w:rPr>
          <w:rFonts w:ascii="Arial" w:hAnsi="Arial"/>
          <w:b/>
          <w:color w:val="0F294A"/>
          <w:sz w:val="29"/>
        </w:rPr>
        <w:t>6. Academic Evaluation, Rubrics &amp; Consensus Scoring Algorithms</w:t>
      </w:r>
    </w:p>
    <w:p>
      <w:pPr>
        <w:keepNext/>
        <w:spacing w:before="260" w:after="80"/>
      </w:pPr>
      <w:r>
        <w:rPr>
          <w:rFonts w:ascii="Arial" w:hAnsi="Arial"/>
          <w:b/>
          <w:color w:val="1A448A"/>
          <w:sz w:val="24"/>
        </w:rPr>
        <w:t>6.1 Phase Rubric Criteria &amp; Weighting</w:t>
      </w:r>
    </w:p>
    <w:p>
      <w:pPr>
        <w:spacing w:before="0" w:after="100" w:line="276" w:lineRule="auto"/>
      </w:pPr>
      <w:r>
        <w:rPr>
          <w:rFonts w:ascii="Arial" w:hAnsi="Arial"/>
          <w:color w:val="1E293B"/>
          <w:sz w:val="19"/>
        </w:rPr>
        <w:t>Standardized rubric templates (server/modules/evaluations/evaluation.service.js) govern all oral defense hearings across the four capstone phases:</w:t>
      </w:r>
    </w:p>
    <w:p>
      <w:pPr>
        <w:pStyle w:val="ListBullet"/>
        <w:spacing w:before="0" w:after="60" w:line="276" w:lineRule="auto"/>
      </w:pPr>
      <w:r>
        <w:rPr>
          <w:rFonts w:ascii="Arial" w:hAnsi="Arial"/>
          <w:b/>
          <w:color w:val="1E293B"/>
          <w:sz w:val="19"/>
        </w:rPr>
        <w:t xml:space="preserve">Capstone 1 (Title &amp; Proposal Defense): </w:t>
      </w:r>
      <w:r>
        <w:rPr>
          <w:rFonts w:ascii="Arial" w:hAnsi="Arial"/>
          <w:color w:val="1E293B"/>
          <w:sz w:val="19"/>
        </w:rPr>
        <w:t>5 Criteria (Problem Definition, Methodology, Originality, Presentation Quality, Feasibility) scored 1–3 pts (Max 15 pts). 75% consensus threshold.</w:t>
      </w:r>
    </w:p>
    <w:p>
      <w:pPr>
        <w:pStyle w:val="ListBullet"/>
        <w:spacing w:before="0" w:after="60" w:line="276" w:lineRule="auto"/>
      </w:pPr>
      <w:r>
        <w:rPr>
          <w:rFonts w:ascii="Arial" w:hAnsi="Arial"/>
          <w:b/>
          <w:color w:val="1E293B"/>
          <w:sz w:val="19"/>
        </w:rPr>
        <w:t xml:space="preserve">Capstone 2 (System Development &amp; Midterm): </w:t>
      </w:r>
      <w:r>
        <w:rPr>
          <w:rFonts w:ascii="Arial" w:hAnsi="Arial"/>
          <w:color w:val="1E293B"/>
          <w:sz w:val="19"/>
        </w:rPr>
        <w:t>7 Criteria (System Progress, Technical Architecture, Alignment, Gantt Adherence, Working Prototype, Resolution, Q&amp;A) scored 1–4 pts (Max 28 pts). 75% passing threshold.</w:t>
      </w:r>
    </w:p>
    <w:p>
      <w:pPr>
        <w:pStyle w:val="ListBullet"/>
        <w:spacing w:before="0" w:after="60" w:line="276" w:lineRule="auto"/>
      </w:pPr>
      <w:r>
        <w:rPr>
          <w:rFonts w:ascii="Arial" w:hAnsi="Arial"/>
          <w:b/>
          <w:color w:val="1E293B"/>
          <w:sz w:val="19"/>
        </w:rPr>
        <w:t xml:space="preserve">Capstone 4 (Final Oral Defense): </w:t>
      </w:r>
      <w:r>
        <w:rPr>
          <w:rFonts w:ascii="Arial" w:hAnsi="Arial"/>
          <w:color w:val="1E293B"/>
          <w:sz w:val="19"/>
        </w:rPr>
        <w:t>6 Weighted Criteria (Results Ch.4 [20%], Conclusions Ch.5 [15%], Journal Quality [20%], Prototype [20%], Oral Defense [15%], Q&amp;A [10%]). Total: 100 points.</w:t>
      </w:r>
    </w:p>
    <w:p>
      <w:pPr>
        <w:keepNext/>
        <w:spacing w:before="260" w:after="80"/>
      </w:pPr>
      <w:r>
        <w:rPr>
          <w:rFonts w:ascii="Arial" w:hAnsi="Arial"/>
          <w:b/>
          <w:color w:val="1A448A"/>
          <w:sz w:val="24"/>
        </w:rPr>
        <w:t>6.2 Grade Leakage Prevention Guard</w:t>
      </w:r>
    </w:p>
    <w:p>
      <w:pPr>
        <w:spacing w:before="0" w:after="100" w:line="276" w:lineRule="auto"/>
      </w:pPr>
      <w:r>
        <w:rPr>
          <w:rFonts w:ascii="Arial" w:hAnsi="Arial"/>
          <w:color w:val="1E293B"/>
          <w:sz w:val="19"/>
        </w:rPr>
        <w:t>To protect academic grading integrity, the releaseEvaluations and getStudentConsolidatedGrades services enforce an immutable barrier: pendingPanelistCount = |assignedPanelistIds| - |submittedEvaluationIds|. If pendingPanelistCount &gt; 0, the endpoint strictly rejects student grade visibility with HTTP 403 EVALUATIONS_INCOMPLETE. All panelists must complete scoring before grades are released.</w:t>
      </w:r>
    </w:p>
    <w:p>
      <w:pPr>
        <w:keepNext/>
        <w:spacing w:before="260" w:after="80"/>
      </w:pPr>
      <w:r>
        <w:rPr>
          <w:rFonts w:ascii="Arial" w:hAnsi="Arial"/>
          <w:b/>
          <w:color w:val="1A448A"/>
          <w:sz w:val="24"/>
        </w:rPr>
        <w:t>6.3 Final Defense Consensus Verdict &amp; Auto-Archival</w:t>
      </w:r>
    </w:p>
    <w:p>
      <w:pPr>
        <w:spacing w:before="0" w:after="100" w:line="276" w:lineRule="auto"/>
      </w:pPr>
      <w:r>
        <w:rPr>
          <w:rFonts w:ascii="Arial" w:hAnsi="Arial"/>
          <w:color w:val="1E293B"/>
          <w:sz w:val="19"/>
        </w:rPr>
        <w:t>Upon release of final defense evaluations, the system evaluates panel consensus: if every evaluation record carries a decision of 'passed', 'passed_with_revision', or 'approved', the project undergoes atomic archival: project.isArchived = true, project.projectStatus = 'archived', and project.archivedAt = new Date().</w:t>
      </w:r>
    </w:p>
    <w:p>
      <w:pPr>
        <w:keepNext/>
        <w:spacing w:before="360" w:after="120"/>
      </w:pPr>
      <w:r>
        <w:rPr>
          <w:rFonts w:ascii="Arial" w:hAnsi="Arial"/>
          <w:b/>
          <w:color w:val="0F294A"/>
          <w:sz w:val="29"/>
        </w:rPr>
        <w:t>7. Action Done Matrix (ADM) &amp; Institutional Governance Algorithms</w:t>
      </w:r>
    </w:p>
    <w:p>
      <w:pPr>
        <w:keepNext/>
        <w:spacing w:before="260" w:after="80"/>
      </w:pPr>
      <w:r>
        <w:rPr>
          <w:rFonts w:ascii="Arial" w:hAnsi="Arial"/>
          <w:b/>
          <w:color w:val="1A448A"/>
          <w:sz w:val="24"/>
        </w:rPr>
        <w:t>7.1 Multi-Tier Sequential Signatory Cascade</w:t>
      </w:r>
    </w:p>
    <w:p>
      <w:pPr>
        <w:spacing w:before="0" w:after="100" w:line="276" w:lineRule="auto"/>
      </w:pPr>
      <w:r>
        <w:rPr>
          <w:rFonts w:ascii="Arial" w:hAnsi="Arial"/>
          <w:color w:val="1E293B"/>
          <w:sz w:val="19"/>
        </w:rPr>
        <w:t>In Phase 4, the Action Done Matrix verifies that proponents have complied with all panel defense remarks. Digital signature collection is enforced by an institutional state machine (server/modules/projects/project.controller.js):</w:t>
      </w:r>
    </w:p>
    <w:p>
      <w:pPr>
        <w:pStyle w:val="ListBullet"/>
        <w:spacing w:before="0" w:after="60" w:line="276" w:lineRule="auto"/>
      </w:pPr>
      <w:r>
        <w:rPr>
          <w:rFonts w:ascii="Arial" w:hAnsi="Arial"/>
          <w:b/>
          <w:color w:val="1E293B"/>
          <w:sz w:val="19"/>
        </w:rPr>
        <w:t xml:space="preserve">Secretary Endorsement Gate: </w:t>
      </w:r>
      <w:r>
        <w:rPr>
          <w:rFonts w:ascii="Arial" w:hAnsi="Arial"/>
          <w:color w:val="1E293B"/>
          <w:sz w:val="19"/>
        </w:rPr>
        <w:t>project.admSignatures.secretary.endorsed === true is an immutable prerequisite. Any attempt by an adviser, panelist, or chair to sign while endorsement is pending returns HTTP 403 FORBIDDEN.</w:t>
      </w:r>
    </w:p>
    <w:p>
      <w:pPr>
        <w:pStyle w:val="ListBullet"/>
        <w:spacing w:before="0" w:after="60" w:line="276" w:lineRule="auto"/>
      </w:pPr>
      <w:r>
        <w:rPr>
          <w:rFonts w:ascii="Arial" w:hAnsi="Arial"/>
          <w:b/>
          <w:color w:val="1E293B"/>
          <w:sz w:val="19"/>
        </w:rPr>
        <w:t xml:space="preserve">Signatory Cascade Tier 1: </w:t>
      </w:r>
      <w:r>
        <w:rPr>
          <w:rFonts w:ascii="Arial" w:hAnsi="Arial"/>
          <w:color w:val="1E293B"/>
          <w:sz w:val="19"/>
        </w:rPr>
        <w:t>Tier 1: Faculty Adviser signs compliance endorsement.</w:t>
      </w:r>
    </w:p>
    <w:p>
      <w:pPr>
        <w:pStyle w:val="ListBullet"/>
        <w:spacing w:before="0" w:after="60" w:line="276" w:lineRule="auto"/>
      </w:pPr>
      <w:r>
        <w:rPr>
          <w:rFonts w:ascii="Arial" w:hAnsi="Arial"/>
          <w:b/>
          <w:color w:val="1E293B"/>
          <w:sz w:val="19"/>
        </w:rPr>
        <w:t xml:space="preserve">Signatory Cascade Tier 2: </w:t>
      </w:r>
      <w:r>
        <w:rPr>
          <w:rFonts w:ascii="Arial" w:hAnsi="Arial"/>
          <w:color w:val="1E293B"/>
          <w:sz w:val="19"/>
        </w:rPr>
        <w:t>Tier 2: Defense Panelists verify individual corrective directives.</w:t>
      </w:r>
    </w:p>
    <w:p>
      <w:pPr>
        <w:pStyle w:val="ListBullet"/>
        <w:spacing w:before="0" w:after="60" w:line="276" w:lineRule="auto"/>
      </w:pPr>
      <w:r>
        <w:rPr>
          <w:rFonts w:ascii="Arial" w:hAnsi="Arial"/>
          <w:b/>
          <w:color w:val="1E293B"/>
          <w:sz w:val="19"/>
        </w:rPr>
        <w:t xml:space="preserve">Signatory Cascade Tier 3: </w:t>
      </w:r>
      <w:r>
        <w:rPr>
          <w:rFonts w:ascii="Arial" w:hAnsi="Arial"/>
          <w:color w:val="1E293B"/>
          <w:sz w:val="19"/>
        </w:rPr>
        <w:t>Tier 3: Defense Committee Chair applies final signature. The chair's signature automatically freezes all ADM rows (item.isLocked = true), sets admStatus = 'approved', and sequentially advances the project to the next capstone phase.</w:t>
      </w:r>
    </w:p>
    <w:p>
      <w:pPr>
        <w:keepNext/>
        <w:spacing w:before="260" w:after="80"/>
      </w:pPr>
      <w:r>
        <w:rPr>
          <w:rFonts w:ascii="Arial" w:hAnsi="Arial"/>
          <w:b/>
          <w:color w:val="1A448A"/>
          <w:sz w:val="24"/>
        </w:rPr>
        <w:t>7.2 Committee Composition Constraint Satisfaction Solver</w:t>
      </w:r>
    </w:p>
    <w:p>
      <w:pPr>
        <w:spacing w:before="0" w:after="100" w:line="276" w:lineRule="auto"/>
      </w:pPr>
      <w:r>
        <w:rPr>
          <w:rFonts w:ascii="Arial" w:hAnsi="Arial"/>
          <w:color w:val="1E293B"/>
          <w:sz w:val="19"/>
        </w:rPr>
        <w:t>In team.service.js:assignCommittee, committee assignments are validated against a strict constraint-satisfaction model: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2" w:space="0" w:color="1A448A"/>
              <w:bottom w:val="single" w:sz="4" w:space="0" w:color="CBD5E1"/>
              <w:right w:val="single" w:sz="4" w:space="0" w:color="CBD5E1"/>
            </w:tcBorders>
          </w:tcPr>
          <w:p>
            <w:pPr>
              <w:spacing w:before="0" w:after="0"/>
            </w:pPr>
            <w:r>
              <w:rPr>
                <w:rFonts w:ascii="Consolas" w:hAnsi="Consolas"/>
                <w:color w:val="0F172A"/>
                <w:sz w:val="17"/>
              </w:rPr>
              <w:t>Constraints Enforced:</w:t>
              <w:br/>
              <w:t>1. adviserId != secretaryId</w:t>
              <w:br/>
              <w:t>2. adviserId not in panelistIds</w:t>
              <w:br/>
              <w:t>3. secretaryId not in panelistIds</w:t>
              <w:br/>
              <w:t>4. len(set(panelistIds)) == len(panelistIds)  (Exactly 3 unique panelists)</w:t>
              <w:br/>
              <w:t>5. role(member) != 'instructor'  (Instructors strictly prohibited from committees)</w:t>
              <w:br/>
              <w:t>6. Target Structure == 1 Adviser + 1 Secretary + 3 Panelists (Chair, Member, Member)</w:t>
            </w:r>
          </w:p>
        </w:tc>
      </w:tr>
    </w:tbl>
    <w:p>
      <w:pPr>
        <w:spacing w:before="80" w:after="80"/>
      </w:pPr>
    </w:p>
    <w:p>
      <w:pPr>
        <w:keepNext/>
        <w:spacing w:before="260" w:after="80"/>
      </w:pPr>
      <w:r>
        <w:rPr>
          <w:rFonts w:ascii="Arial" w:hAnsi="Arial"/>
          <w:b/>
          <w:color w:val="1A448A"/>
          <w:sz w:val="24"/>
        </w:rPr>
        <w:t>7.3 Deadline Detection &amp; Late Justification Gating</w:t>
      </w:r>
    </w:p>
    <w:p>
      <w:pPr>
        <w:spacing w:before="0" w:after="100" w:line="276" w:lineRule="auto"/>
      </w:pPr>
      <w:r>
        <w:rPr>
          <w:rFonts w:ascii="Arial" w:hAnsi="Arial"/>
          <w:color w:val="1E293B"/>
          <w:sz w:val="19"/>
        </w:rPr>
        <w:t>The submission service (server/modules/submissions/submission.service.js) evaluates: isLate = deadline ? new Date() &gt; new Date(deadline) : false. If isLate is true and remarks are empty, the submission is rejected with HTTP 400 LATE_JUSTIFICATION_REQUIRED, enforcing institutional accountability.</w:t>
      </w:r>
    </w:p>
    <w:p>
      <w:pPr>
        <w:keepNext/>
        <w:spacing w:before="260" w:after="80"/>
      </w:pPr>
      <w:r>
        <w:rPr>
          <w:rFonts w:ascii="Arial" w:hAnsi="Arial"/>
          <w:b/>
          <w:color w:val="1A448A"/>
          <w:sz w:val="24"/>
        </w:rPr>
        <w:t>7.4 Academic Excel Gantt Matrix &amp; Accomplishment Recalculator</w:t>
      </w:r>
    </w:p>
    <w:p>
      <w:pPr>
        <w:spacing w:before="0" w:after="100" w:line="276" w:lineRule="auto"/>
      </w:pPr>
      <w:r>
        <w:rPr>
          <w:rFonts w:ascii="Arial" w:hAnsi="Arial"/>
          <w:color w:val="1E293B"/>
          <w:sz w:val="19"/>
        </w:rPr>
        <w:t>In client/src/utils/exportExcelGantt.js, the system natively generates Microsoft Excel SpreadsheetML 2003 XML in the browser. It maps 4 milestone sections across 12 weeks * 5 days = 60 contiguous timeline columns, applying XML style tags, cell fills, and recalculating weighted completion: Accomplishment = (sum(progress_i) / N) * 100%.</w:t>
      </w:r>
    </w:p>
    <w:p>
      <w:pPr>
        <w:keepNext/>
        <w:spacing w:before="260" w:after="80"/>
      </w:pPr>
      <w:r>
        <w:rPr>
          <w:rFonts w:ascii="Arial" w:hAnsi="Arial"/>
          <w:b/>
          <w:color w:val="1A448A"/>
          <w:sz w:val="24"/>
        </w:rPr>
        <w:t>7.5 Automated Manuscript Triage Pipeline</w:t>
      </w:r>
    </w:p>
    <w:p>
      <w:pPr>
        <w:spacing w:before="0" w:after="100" w:line="276" w:lineRule="auto"/>
      </w:pPr>
      <w:r>
        <w:rPr>
          <w:rFonts w:ascii="Arial" w:hAnsi="Arial"/>
          <w:color w:val="1E293B"/>
          <w:sz w:val="19"/>
        </w:rPr>
        <w:t>Before manuscript review in the panelist market (server/services/panelistTriage.service.js), an automated triage agent validates structural completeness (word count &gt;= 500, presence of abstract, methodology, conclusion, bibliography) and scans for 11 colloquial regex patterns ('gonna', 'wanna', 'kinda', 'stuff', 'a lot of', 'basically', 'actually'). Clean documents are promoted to DEFENSE_READY, while non-compliant documents receive automated revision notes.</w:t>
      </w:r>
    </w:p>
    <w:p>
      <w:pPr>
        <w:keepNext/>
        <w:spacing w:before="360" w:after="120"/>
      </w:pPr>
      <w:r>
        <w:rPr>
          <w:rFonts w:ascii="Arial" w:hAnsi="Arial"/>
          <w:b/>
          <w:color w:val="0F294A"/>
          <w:sz w:val="29"/>
        </w:rPr>
        <w:t>8. Comparative Algorithm Complexity &amp; Runtime Matrix</w:t>
      </w:r>
    </w:p>
    <w:tbl>
      <w:tblPr>
        <w:tblW w:type="auto" w:w="0"/>
        <w:jc w:val="center"/>
        <w:tblLayout w:type="fixed"/>
        <w:tblLook w:firstColumn="1" w:firstRow="1" w:lastColumn="0" w:lastRow="0" w:noHBand="0" w:noVBand="1" w:val="04A0"/>
        <w:tblBorders>
          <w:top w:val="single" w:sz="4" w:space="0" w:color="CBD5E1"/>
          <w:bottom w:val="single" w:sz="6" w:space="0" w:color="0F294A"/>
          <w:left w:val="none"/>
          <w:right w:val="none"/>
          <w:insideH w:val="single" w:sz="4" w:space="0" w:color="CBD5E1"/>
          <w:insideV w:val="none"/>
        </w:tblBorders>
      </w:tblPr>
      <w:tblGrid>
        <w:gridCol w:w="1872"/>
        <w:gridCol w:w="1872"/>
        <w:gridCol w:w="1872"/>
        <w:gridCol w:w="1872"/>
        <w:gridCol w:w="1872"/>
      </w:tblGrid>
      <w:tr>
        <w:tc>
          <w:tcPr>
            <w:tcW w:type="dxa" w:w="2592"/>
            <w:shd w:fill="0F294A"/>
            <w:tcMar>
              <w:top w:w="80" w:type="dxa"/>
              <w:bottom w:w="80" w:type="dxa"/>
              <w:left w:w="80" w:type="dxa"/>
              <w:right w:w="80" w:type="dxa"/>
            </w:tcMar>
          </w:tcPr>
          <w:p>
            <w:r>
              <w:rPr>
                <w:rFonts w:ascii="Arial" w:hAnsi="Arial"/>
                <w:b/>
                <w:color w:val="FFFFFF"/>
                <w:sz w:val="16"/>
              </w:rPr>
              <w:t>Algorithm &amp; Core Subsystem</w:t>
            </w:r>
          </w:p>
        </w:tc>
        <w:tc>
          <w:tcPr>
            <w:tcW w:type="dxa" w:w="2160"/>
            <w:shd w:fill="0F294A"/>
            <w:tcMar>
              <w:top w:w="80" w:type="dxa"/>
              <w:bottom w:w="80" w:type="dxa"/>
              <w:left w:w="80" w:type="dxa"/>
              <w:right w:w="80" w:type="dxa"/>
            </w:tcMar>
          </w:tcPr>
          <w:p>
            <w:r>
              <w:rPr>
                <w:rFonts w:ascii="Arial" w:hAnsi="Arial"/>
                <w:b/>
                <w:color w:val="FFFFFF"/>
                <w:sz w:val="16"/>
              </w:rPr>
              <w:t>Primary Source File</w:t>
            </w:r>
          </w:p>
        </w:tc>
        <w:tc>
          <w:tcPr>
            <w:tcW w:type="dxa" w:w="1440"/>
            <w:shd w:fill="0F294A"/>
            <w:tcMar>
              <w:top w:w="80" w:type="dxa"/>
              <w:bottom w:w="80" w:type="dxa"/>
              <w:left w:w="80" w:type="dxa"/>
              <w:right w:w="80" w:type="dxa"/>
            </w:tcMar>
          </w:tcPr>
          <w:p>
            <w:r>
              <w:rPr>
                <w:rFonts w:ascii="Arial" w:hAnsi="Arial"/>
                <w:b/>
                <w:color w:val="FFFFFF"/>
                <w:sz w:val="16"/>
              </w:rPr>
              <w:t>Time Complexity</w:t>
            </w:r>
          </w:p>
        </w:tc>
        <w:tc>
          <w:tcPr>
            <w:tcW w:type="dxa" w:w="1440"/>
            <w:shd w:fill="0F294A"/>
            <w:tcMar>
              <w:top w:w="80" w:type="dxa"/>
              <w:bottom w:w="80" w:type="dxa"/>
              <w:left w:w="80" w:type="dxa"/>
              <w:right w:w="80" w:type="dxa"/>
            </w:tcMar>
          </w:tcPr>
          <w:p>
            <w:r>
              <w:rPr>
                <w:rFonts w:ascii="Arial" w:hAnsi="Arial"/>
                <w:b/>
                <w:color w:val="FFFFFF"/>
                <w:sz w:val="16"/>
              </w:rPr>
              <w:t>Space Complexity</w:t>
            </w:r>
          </w:p>
        </w:tc>
        <w:tc>
          <w:tcPr>
            <w:tcW w:type="dxa" w:w="1728"/>
            <w:shd w:fill="0F294A"/>
            <w:tcMar>
              <w:top w:w="80" w:type="dxa"/>
              <w:bottom w:w="80" w:type="dxa"/>
              <w:left w:w="80" w:type="dxa"/>
              <w:right w:w="80" w:type="dxa"/>
            </w:tcMar>
          </w:tcPr>
          <w:p>
            <w:r>
              <w:rPr>
                <w:rFonts w:ascii="Arial" w:hAnsi="Arial"/>
                <w:b/>
                <w:color w:val="FFFFFF"/>
                <w:sz w:val="16"/>
              </w:rPr>
              <w:t>Fault Tolerance</w:t>
            </w:r>
          </w:p>
        </w:tc>
      </w:tr>
      <w:tr>
        <w:tc>
          <w:tcPr>
            <w:tcW w:type="dxa" w:w="2592"/>
            <w:shd w:fill="FFFFFF"/>
            <w:tcMar>
              <w:top w:w="60" w:type="dxa"/>
              <w:bottom w:w="60" w:type="dxa"/>
              <w:left w:w="80" w:type="dxa"/>
              <w:right w:w="80" w:type="dxa"/>
            </w:tcMar>
          </w:tcPr>
          <w:p>
            <w:r>
              <w:rPr>
                <w:rFonts w:ascii="Arial" w:hAnsi="Arial"/>
                <w:color w:val="1E293B"/>
                <w:sz w:val="16"/>
              </w:rPr>
              <w:t>Winnowing (Mersenne 61)</w:t>
            </w:r>
          </w:p>
        </w:tc>
        <w:tc>
          <w:tcPr>
            <w:tcW w:type="dxa" w:w="2160"/>
            <w:shd w:fill="FFFFFF"/>
            <w:tcMar>
              <w:top w:w="60" w:type="dxa"/>
              <w:bottom w:w="60" w:type="dxa"/>
              <w:left w:w="80" w:type="dxa"/>
              <w:right w:w="80" w:type="dxa"/>
            </w:tcMar>
          </w:tcPr>
          <w:p>
            <w:r>
              <w:rPr>
                <w:rFonts w:ascii="Arial" w:hAnsi="Arial"/>
                <w:color w:val="1E293B"/>
                <w:sz w:val="16"/>
              </w:rPr>
              <w:t>winnowing.py</w:t>
            </w:r>
          </w:p>
        </w:tc>
        <w:tc>
          <w:tcPr>
            <w:tcW w:type="dxa" w:w="1440"/>
            <w:shd w:fill="FFFFFF"/>
            <w:tcMar>
              <w:top w:w="60" w:type="dxa"/>
              <w:bottom w:w="60" w:type="dxa"/>
              <w:left w:w="80" w:type="dxa"/>
              <w:right w:w="80" w:type="dxa"/>
            </w:tcMar>
          </w:tcPr>
          <w:p>
            <w:r>
              <w:rPr>
                <w:rFonts w:ascii="Arial" w:hAnsi="Arial"/>
                <w:color w:val="1E293B"/>
                <w:sz w:val="16"/>
              </w:rPr>
              <w:t>O(N)</w:t>
            </w:r>
          </w:p>
        </w:tc>
        <w:tc>
          <w:tcPr>
            <w:tcW w:type="dxa" w:w="1440"/>
            <w:shd w:fill="FFFFFF"/>
            <w:tcMar>
              <w:top w:w="60" w:type="dxa"/>
              <w:bottom w:w="60" w:type="dxa"/>
              <w:left w:w="80" w:type="dxa"/>
              <w:right w:w="80" w:type="dxa"/>
            </w:tcMar>
          </w:tcPr>
          <w:p>
            <w:r>
              <w:rPr>
                <w:rFonts w:ascii="Arial" w:hAnsi="Arial"/>
                <w:color w:val="1E293B"/>
                <w:sz w:val="16"/>
              </w:rPr>
              <w:t>O(N / w)</w:t>
            </w:r>
          </w:p>
        </w:tc>
        <w:tc>
          <w:tcPr>
            <w:tcW w:type="dxa" w:w="1728"/>
            <w:shd w:fill="FFFFFF"/>
            <w:tcMar>
              <w:top w:w="60" w:type="dxa"/>
              <w:bottom w:w="60" w:type="dxa"/>
              <w:left w:w="80" w:type="dxa"/>
              <w:right w:w="80" w:type="dxa"/>
            </w:tcMar>
          </w:tcPr>
          <w:p>
            <w:r>
              <w:rPr>
                <w:rFonts w:ascii="Arial" w:hAnsi="Arial"/>
                <w:color w:val="1E293B"/>
                <w:sz w:val="16"/>
              </w:rPr>
              <w:t>Token Winnowing</w:t>
            </w:r>
          </w:p>
        </w:tc>
      </w:tr>
      <w:tr>
        <w:tc>
          <w:tcPr>
            <w:tcW w:type="dxa" w:w="2592"/>
            <w:shd w:fill="F8FAFC"/>
            <w:tcMar>
              <w:top w:w="60" w:type="dxa"/>
              <w:bottom w:w="60" w:type="dxa"/>
              <w:left w:w="80" w:type="dxa"/>
              <w:right w:w="80" w:type="dxa"/>
            </w:tcMar>
          </w:tcPr>
          <w:p>
            <w:r>
              <w:rPr>
                <w:rFonts w:ascii="Arial" w:hAnsi="Arial"/>
                <w:color w:val="1E293B"/>
                <w:sz w:val="16"/>
              </w:rPr>
              <w:t>BGE-M3 Dense Embeddings</w:t>
            </w:r>
          </w:p>
        </w:tc>
        <w:tc>
          <w:tcPr>
            <w:tcW w:type="dxa" w:w="2160"/>
            <w:shd w:fill="F8FAFC"/>
            <w:tcMar>
              <w:top w:w="60" w:type="dxa"/>
              <w:bottom w:w="60" w:type="dxa"/>
              <w:left w:w="80" w:type="dxa"/>
              <w:right w:w="80" w:type="dxa"/>
            </w:tcMar>
          </w:tcPr>
          <w:p>
            <w:r>
              <w:rPr>
                <w:rFonts w:ascii="Arial" w:hAnsi="Arial"/>
                <w:color w:val="1E293B"/>
                <w:sz w:val="16"/>
              </w:rPr>
              <w:t>embeddings.py</w:t>
            </w:r>
          </w:p>
        </w:tc>
        <w:tc>
          <w:tcPr>
            <w:tcW w:type="dxa" w:w="1440"/>
            <w:shd w:fill="F8FAFC"/>
            <w:tcMar>
              <w:top w:w="60" w:type="dxa"/>
              <w:bottom w:w="60" w:type="dxa"/>
              <w:left w:w="80" w:type="dxa"/>
              <w:right w:w="80" w:type="dxa"/>
            </w:tcMar>
          </w:tcPr>
          <w:p>
            <w:r>
              <w:rPr>
                <w:rFonts w:ascii="Arial" w:hAnsi="Arial"/>
                <w:color w:val="1E293B"/>
                <w:sz w:val="16"/>
              </w:rPr>
              <w:t>O(B · L · D)</w:t>
            </w:r>
          </w:p>
        </w:tc>
        <w:tc>
          <w:tcPr>
            <w:tcW w:type="dxa" w:w="1440"/>
            <w:shd w:fill="F8FAFC"/>
            <w:tcMar>
              <w:top w:w="60" w:type="dxa"/>
              <w:bottom w:w="60" w:type="dxa"/>
              <w:left w:w="80" w:type="dxa"/>
              <w:right w:w="80" w:type="dxa"/>
            </w:tcMar>
          </w:tcPr>
          <w:p>
            <w:r>
              <w:rPr>
                <w:rFonts w:ascii="Arial" w:hAnsi="Arial"/>
                <w:color w:val="1E293B"/>
                <w:sz w:val="16"/>
              </w:rPr>
              <w:t>O(B · D)</w:t>
            </w:r>
          </w:p>
        </w:tc>
        <w:tc>
          <w:tcPr>
            <w:tcW w:type="dxa" w:w="1728"/>
            <w:shd w:fill="F8FAFC"/>
            <w:tcMar>
              <w:top w:w="60" w:type="dxa"/>
              <w:bottom w:w="60" w:type="dxa"/>
              <w:left w:w="80" w:type="dxa"/>
              <w:right w:w="80" w:type="dxa"/>
            </w:tcMar>
          </w:tcPr>
          <w:p>
            <w:r>
              <w:rPr>
                <w:rFonts w:ascii="Arial" w:hAnsi="Arial"/>
                <w:color w:val="1E293B"/>
                <w:sz w:val="16"/>
              </w:rPr>
              <w:t>Torch CPU Clamp</w:t>
            </w:r>
          </w:p>
        </w:tc>
      </w:tr>
      <w:tr>
        <w:tc>
          <w:tcPr>
            <w:tcW w:type="dxa" w:w="2592"/>
            <w:shd w:fill="FFFFFF"/>
            <w:tcMar>
              <w:top w:w="60" w:type="dxa"/>
              <w:bottom w:w="60" w:type="dxa"/>
              <w:left w:w="80" w:type="dxa"/>
              <w:right w:w="80" w:type="dxa"/>
            </w:tcMar>
          </w:tcPr>
          <w:p>
            <w:r>
              <w:rPr>
                <w:rFonts w:ascii="Arial" w:hAnsi="Arial"/>
                <w:color w:val="1E293B"/>
                <w:sz w:val="16"/>
              </w:rPr>
              <w:t>BGE-M3 Sparse Weights</w:t>
            </w:r>
          </w:p>
        </w:tc>
        <w:tc>
          <w:tcPr>
            <w:tcW w:type="dxa" w:w="2160"/>
            <w:shd w:fill="FFFFFF"/>
            <w:tcMar>
              <w:top w:w="60" w:type="dxa"/>
              <w:bottom w:w="60" w:type="dxa"/>
              <w:left w:w="80" w:type="dxa"/>
              <w:right w:w="80" w:type="dxa"/>
            </w:tcMar>
          </w:tcPr>
          <w:p>
            <w:r>
              <w:rPr>
                <w:rFonts w:ascii="Arial" w:hAnsi="Arial"/>
                <w:color w:val="1E293B"/>
                <w:sz w:val="16"/>
              </w:rPr>
              <w:t>embeddings.py</w:t>
            </w:r>
          </w:p>
        </w:tc>
        <w:tc>
          <w:tcPr>
            <w:tcW w:type="dxa" w:w="1440"/>
            <w:shd w:fill="FFFFFF"/>
            <w:tcMar>
              <w:top w:w="60" w:type="dxa"/>
              <w:bottom w:w="60" w:type="dxa"/>
              <w:left w:w="80" w:type="dxa"/>
              <w:right w:w="80" w:type="dxa"/>
            </w:tcMar>
          </w:tcPr>
          <w:p>
            <w:r>
              <w:rPr>
                <w:rFonts w:ascii="Arial" w:hAnsi="Arial"/>
                <w:color w:val="1E293B"/>
                <w:sz w:val="16"/>
              </w:rPr>
              <w:t>O(B · L)</w:t>
            </w:r>
          </w:p>
        </w:tc>
        <w:tc>
          <w:tcPr>
            <w:tcW w:type="dxa" w:w="1440"/>
            <w:shd w:fill="FFFFFF"/>
            <w:tcMar>
              <w:top w:w="60" w:type="dxa"/>
              <w:bottom w:w="60" w:type="dxa"/>
              <w:left w:w="80" w:type="dxa"/>
              <w:right w:w="80" w:type="dxa"/>
            </w:tcMar>
          </w:tcPr>
          <w:p>
            <w:r>
              <w:rPr>
                <w:rFonts w:ascii="Arial" w:hAnsi="Arial"/>
                <w:color w:val="1E293B"/>
                <w:sz w:val="16"/>
              </w:rPr>
              <w:t>O(V)</w:t>
            </w:r>
          </w:p>
        </w:tc>
        <w:tc>
          <w:tcPr>
            <w:tcW w:type="dxa" w:w="1728"/>
            <w:shd w:fill="FFFFFF"/>
            <w:tcMar>
              <w:top w:w="60" w:type="dxa"/>
              <w:bottom w:w="60" w:type="dxa"/>
              <w:left w:w="80" w:type="dxa"/>
              <w:right w:w="80" w:type="dxa"/>
            </w:tcMar>
          </w:tcPr>
          <w:p>
            <w:r>
              <w:rPr>
                <w:rFonts w:ascii="Arial" w:hAnsi="Arial"/>
                <w:color w:val="1E293B"/>
                <w:sz w:val="16"/>
              </w:rPr>
              <w:t>Term Freq Fallback</w:t>
            </w:r>
          </w:p>
        </w:tc>
      </w:tr>
      <w:tr>
        <w:tc>
          <w:tcPr>
            <w:tcW w:type="dxa" w:w="2592"/>
            <w:shd w:fill="F8FAFC"/>
            <w:tcMar>
              <w:top w:w="60" w:type="dxa"/>
              <w:bottom w:w="60" w:type="dxa"/>
              <w:left w:w="80" w:type="dxa"/>
              <w:right w:w="80" w:type="dxa"/>
            </w:tcMar>
          </w:tcPr>
          <w:p>
            <w:r>
              <w:rPr>
                <w:rFonts w:ascii="Arial" w:hAnsi="Arial"/>
                <w:color w:val="1E293B"/>
                <w:sz w:val="16"/>
              </w:rPr>
              <w:t>ChromaDB HNSW ANN</w:t>
            </w:r>
          </w:p>
        </w:tc>
        <w:tc>
          <w:tcPr>
            <w:tcW w:type="dxa" w:w="2160"/>
            <w:shd w:fill="F8FAFC"/>
            <w:tcMar>
              <w:top w:w="60" w:type="dxa"/>
              <w:bottom w:w="60" w:type="dxa"/>
              <w:left w:w="80" w:type="dxa"/>
              <w:right w:w="80" w:type="dxa"/>
            </w:tcMar>
          </w:tcPr>
          <w:p>
            <w:r>
              <w:rPr>
                <w:rFonts w:ascii="Arial" w:hAnsi="Arial"/>
                <w:color w:val="1E293B"/>
                <w:sz w:val="16"/>
              </w:rPr>
              <w:t>database.py</w:t>
            </w:r>
          </w:p>
        </w:tc>
        <w:tc>
          <w:tcPr>
            <w:tcW w:type="dxa" w:w="1440"/>
            <w:shd w:fill="F8FAFC"/>
            <w:tcMar>
              <w:top w:w="60" w:type="dxa"/>
              <w:bottom w:w="60" w:type="dxa"/>
              <w:left w:w="80" w:type="dxa"/>
              <w:right w:w="80" w:type="dxa"/>
            </w:tcMar>
          </w:tcPr>
          <w:p>
            <w:r>
              <w:rPr>
                <w:rFonts w:ascii="Arial" w:hAnsi="Arial"/>
                <w:color w:val="1E293B"/>
                <w:sz w:val="16"/>
              </w:rPr>
              <w:t>O(log N)</w:t>
            </w:r>
          </w:p>
        </w:tc>
        <w:tc>
          <w:tcPr>
            <w:tcW w:type="dxa" w:w="1440"/>
            <w:shd w:fill="F8FAFC"/>
            <w:tcMar>
              <w:top w:w="60" w:type="dxa"/>
              <w:bottom w:w="60" w:type="dxa"/>
              <w:left w:w="80" w:type="dxa"/>
              <w:right w:w="80" w:type="dxa"/>
            </w:tcMar>
          </w:tcPr>
          <w:p>
            <w:r>
              <w:rPr>
                <w:rFonts w:ascii="Arial" w:hAnsi="Arial"/>
                <w:color w:val="1E293B"/>
                <w:sz w:val="16"/>
              </w:rPr>
              <w:t>O(N · M)</w:t>
            </w:r>
          </w:p>
        </w:tc>
        <w:tc>
          <w:tcPr>
            <w:tcW w:type="dxa" w:w="1728"/>
            <w:shd w:fill="F8FAFC"/>
            <w:tcMar>
              <w:top w:w="60" w:type="dxa"/>
              <w:bottom w:w="60" w:type="dxa"/>
              <w:left w:w="80" w:type="dxa"/>
              <w:right w:w="80" w:type="dxa"/>
            </w:tcMar>
          </w:tcPr>
          <w:p>
            <w:r>
              <w:rPr>
                <w:rFonts w:ascii="Arial" w:hAnsi="Arial"/>
                <w:color w:val="1E293B"/>
                <w:sz w:val="16"/>
              </w:rPr>
              <w:t>Linear Corpus Scan</w:t>
            </w:r>
          </w:p>
        </w:tc>
      </w:tr>
      <w:tr>
        <w:tc>
          <w:tcPr>
            <w:tcW w:type="dxa" w:w="2592"/>
            <w:shd w:fill="FFFFFF"/>
            <w:tcMar>
              <w:top w:w="60" w:type="dxa"/>
              <w:bottom w:w="60" w:type="dxa"/>
              <w:left w:w="80" w:type="dxa"/>
              <w:right w:w="80" w:type="dxa"/>
            </w:tcMar>
          </w:tcPr>
          <w:p>
            <w:r>
              <w:rPr>
                <w:rFonts w:ascii="Arial" w:hAnsi="Arial"/>
                <w:color w:val="1E293B"/>
                <w:sz w:val="16"/>
              </w:rPr>
              <w:t>Two-Stage HST Tracker</w:t>
            </w:r>
          </w:p>
        </w:tc>
        <w:tc>
          <w:tcPr>
            <w:tcW w:type="dxa" w:w="2160"/>
            <w:shd w:fill="FFFFFF"/>
            <w:tcMar>
              <w:top w:w="60" w:type="dxa"/>
              <w:bottom w:w="60" w:type="dxa"/>
              <w:left w:w="80" w:type="dxa"/>
              <w:right w:w="80" w:type="dxa"/>
            </w:tcMar>
          </w:tcPr>
          <w:p>
            <w:r>
              <w:rPr>
                <w:rFonts w:ascii="Arial" w:hAnsi="Arial"/>
                <w:color w:val="1E293B"/>
                <w:sz w:val="16"/>
              </w:rPr>
              <w:t>hst_pipeline.py</w:t>
            </w:r>
          </w:p>
        </w:tc>
        <w:tc>
          <w:tcPr>
            <w:tcW w:type="dxa" w:w="1440"/>
            <w:shd w:fill="FFFFFF"/>
            <w:tcMar>
              <w:top w:w="60" w:type="dxa"/>
              <w:bottom w:w="60" w:type="dxa"/>
              <w:left w:w="80" w:type="dxa"/>
              <w:right w:w="80" w:type="dxa"/>
            </w:tcMar>
          </w:tcPr>
          <w:p>
            <w:r>
              <w:rPr>
                <w:rFonts w:ascii="Arial" w:hAnsi="Arial"/>
                <w:color w:val="1E293B"/>
                <w:sz w:val="16"/>
              </w:rPr>
              <w:t>O(log N + K·L)</w:t>
            </w:r>
          </w:p>
        </w:tc>
        <w:tc>
          <w:tcPr>
            <w:tcW w:type="dxa" w:w="1440"/>
            <w:shd w:fill="FFFFFF"/>
            <w:tcMar>
              <w:top w:w="60" w:type="dxa"/>
              <w:bottom w:w="60" w:type="dxa"/>
              <w:left w:w="80" w:type="dxa"/>
              <w:right w:w="80" w:type="dxa"/>
            </w:tcMar>
          </w:tcPr>
          <w:p>
            <w:r>
              <w:rPr>
                <w:rFonts w:ascii="Arial" w:hAnsi="Arial"/>
                <w:color w:val="1E293B"/>
                <w:sz w:val="16"/>
              </w:rPr>
              <w:t>O(K)</w:t>
            </w:r>
          </w:p>
        </w:tc>
        <w:tc>
          <w:tcPr>
            <w:tcW w:type="dxa" w:w="1728"/>
            <w:shd w:fill="FFFFFF"/>
            <w:tcMar>
              <w:top w:w="60" w:type="dxa"/>
              <w:bottom w:w="60" w:type="dxa"/>
              <w:left w:w="80" w:type="dxa"/>
              <w:right w:w="80" w:type="dxa"/>
            </w:tcMar>
          </w:tcPr>
          <w:p>
            <w:r>
              <w:rPr>
                <w:rFonts w:ascii="Arial" w:hAnsi="Arial"/>
                <w:color w:val="1E293B"/>
                <w:sz w:val="16"/>
              </w:rPr>
              <w:t>Syntactic Fallback</w:t>
            </w:r>
          </w:p>
        </w:tc>
      </w:tr>
      <w:tr>
        <w:tc>
          <w:tcPr>
            <w:tcW w:type="dxa" w:w="2592"/>
            <w:shd w:fill="F8FAFC"/>
            <w:tcMar>
              <w:top w:w="60" w:type="dxa"/>
              <w:bottom w:w="60" w:type="dxa"/>
              <w:left w:w="80" w:type="dxa"/>
              <w:right w:w="80" w:type="dxa"/>
            </w:tcMar>
          </w:tcPr>
          <w:p>
            <w:r>
              <w:rPr>
                <w:rFonts w:ascii="Arial" w:hAnsi="Arial"/>
                <w:color w:val="1E293B"/>
                <w:sz w:val="16"/>
              </w:rPr>
              <w:t>Title Levenshtein DP</w:t>
            </w:r>
          </w:p>
        </w:tc>
        <w:tc>
          <w:tcPr>
            <w:tcW w:type="dxa" w:w="2160"/>
            <w:shd w:fill="F8FAFC"/>
            <w:tcMar>
              <w:top w:w="60" w:type="dxa"/>
              <w:bottom w:w="60" w:type="dxa"/>
              <w:left w:w="80" w:type="dxa"/>
              <w:right w:w="80" w:type="dxa"/>
            </w:tcMar>
          </w:tcPr>
          <w:p>
            <w:r>
              <w:rPr>
                <w:rFonts w:ascii="Arial" w:hAnsi="Arial"/>
                <w:color w:val="1E293B"/>
                <w:sz w:val="16"/>
              </w:rPr>
              <w:t>titleSimilarity.js</w:t>
            </w:r>
          </w:p>
        </w:tc>
        <w:tc>
          <w:tcPr>
            <w:tcW w:type="dxa" w:w="1440"/>
            <w:shd w:fill="F8FAFC"/>
            <w:tcMar>
              <w:top w:w="60" w:type="dxa"/>
              <w:bottom w:w="60" w:type="dxa"/>
              <w:left w:w="80" w:type="dxa"/>
              <w:right w:w="80" w:type="dxa"/>
            </w:tcMar>
          </w:tcPr>
          <w:p>
            <w:r>
              <w:rPr>
                <w:rFonts w:ascii="Arial" w:hAnsi="Arial"/>
                <w:color w:val="1E293B"/>
                <w:sz w:val="16"/>
              </w:rPr>
              <w:t>O(m · n)</w:t>
            </w:r>
          </w:p>
        </w:tc>
        <w:tc>
          <w:tcPr>
            <w:tcW w:type="dxa" w:w="1440"/>
            <w:shd w:fill="F8FAFC"/>
            <w:tcMar>
              <w:top w:w="60" w:type="dxa"/>
              <w:bottom w:w="60" w:type="dxa"/>
              <w:left w:w="80" w:type="dxa"/>
              <w:right w:w="80" w:type="dxa"/>
            </w:tcMar>
          </w:tcPr>
          <w:p>
            <w:r>
              <w:rPr>
                <w:rFonts w:ascii="Arial" w:hAnsi="Arial"/>
                <w:color w:val="1E293B"/>
                <w:sz w:val="16"/>
              </w:rPr>
              <w:t>O(min(m, n))</w:t>
            </w:r>
          </w:p>
        </w:tc>
        <w:tc>
          <w:tcPr>
            <w:tcW w:type="dxa" w:w="1728"/>
            <w:shd w:fill="F8FAFC"/>
            <w:tcMar>
              <w:top w:w="60" w:type="dxa"/>
              <w:bottom w:w="60" w:type="dxa"/>
              <w:left w:w="80" w:type="dxa"/>
              <w:right w:w="80" w:type="dxa"/>
            </w:tcMar>
          </w:tcPr>
          <w:p>
            <w:r>
              <w:rPr>
                <w:rFonts w:ascii="Arial" w:hAnsi="Arial"/>
                <w:color w:val="1E293B"/>
                <w:sz w:val="16"/>
              </w:rPr>
              <w:t>Direct Token Jaccard</w:t>
            </w:r>
          </w:p>
        </w:tc>
      </w:tr>
      <w:tr>
        <w:tc>
          <w:tcPr>
            <w:tcW w:type="dxa" w:w="2592"/>
            <w:shd w:fill="FFFFFF"/>
            <w:tcMar>
              <w:top w:w="60" w:type="dxa"/>
              <w:bottom w:w="60" w:type="dxa"/>
              <w:left w:w="80" w:type="dxa"/>
              <w:right w:w="80" w:type="dxa"/>
            </w:tcMar>
          </w:tcPr>
          <w:p>
            <w:r>
              <w:rPr>
                <w:rFonts w:ascii="Arial" w:hAnsi="Arial"/>
                <w:color w:val="1E293B"/>
                <w:sz w:val="16"/>
              </w:rPr>
              <w:t>Proposal 5-Field Jaccard</w:t>
            </w:r>
          </w:p>
        </w:tc>
        <w:tc>
          <w:tcPr>
            <w:tcW w:type="dxa" w:w="2160"/>
            <w:shd w:fill="FFFFFF"/>
            <w:tcMar>
              <w:top w:w="60" w:type="dxa"/>
              <w:bottom w:w="60" w:type="dxa"/>
              <w:left w:w="80" w:type="dxa"/>
              <w:right w:w="80" w:type="dxa"/>
            </w:tcMar>
          </w:tcPr>
          <w:p>
            <w:r>
              <w:rPr>
                <w:rFonts w:ascii="Arial" w:hAnsi="Arial"/>
                <w:color w:val="1E293B"/>
                <w:sz w:val="16"/>
              </w:rPr>
              <w:t>proposalSimilarity.js</w:t>
            </w:r>
          </w:p>
        </w:tc>
        <w:tc>
          <w:tcPr>
            <w:tcW w:type="dxa" w:w="1440"/>
            <w:shd w:fill="FFFFFF"/>
            <w:tcMar>
              <w:top w:w="60" w:type="dxa"/>
              <w:bottom w:w="60" w:type="dxa"/>
              <w:left w:w="80" w:type="dxa"/>
              <w:right w:w="80" w:type="dxa"/>
            </w:tcMar>
          </w:tcPr>
          <w:p>
            <w:r>
              <w:rPr>
                <w:rFonts w:ascii="Arial" w:hAnsi="Arial"/>
                <w:color w:val="1E293B"/>
                <w:sz w:val="16"/>
              </w:rPr>
              <w:t>O(|T1| + |T2|)</w:t>
            </w:r>
          </w:p>
        </w:tc>
        <w:tc>
          <w:tcPr>
            <w:tcW w:type="dxa" w:w="1440"/>
            <w:shd w:fill="FFFFFF"/>
            <w:tcMar>
              <w:top w:w="60" w:type="dxa"/>
              <w:bottom w:w="60" w:type="dxa"/>
              <w:left w:w="80" w:type="dxa"/>
              <w:right w:w="80" w:type="dxa"/>
            </w:tcMar>
          </w:tcPr>
          <w:p>
            <w:r>
              <w:rPr>
                <w:rFonts w:ascii="Arial" w:hAnsi="Arial"/>
                <w:color w:val="1E293B"/>
                <w:sz w:val="16"/>
              </w:rPr>
              <w:t>O(|T1| + |T2|)</w:t>
            </w:r>
          </w:p>
        </w:tc>
        <w:tc>
          <w:tcPr>
            <w:tcW w:type="dxa" w:w="1728"/>
            <w:shd w:fill="FFFFFF"/>
            <w:tcMar>
              <w:top w:w="60" w:type="dxa"/>
              <w:bottom w:w="60" w:type="dxa"/>
              <w:left w:w="80" w:type="dxa"/>
              <w:right w:w="80" w:type="dxa"/>
            </w:tcMar>
          </w:tcPr>
          <w:p>
            <w:r>
              <w:rPr>
                <w:rFonts w:ascii="Arial" w:hAnsi="Arial"/>
                <w:color w:val="1E293B"/>
                <w:sz w:val="16"/>
              </w:rPr>
              <w:t>Title-Only Scan</w:t>
            </w:r>
          </w:p>
        </w:tc>
      </w:tr>
      <w:tr>
        <w:tc>
          <w:tcPr>
            <w:tcW w:type="dxa" w:w="2592"/>
            <w:shd w:fill="F8FAFC"/>
            <w:tcMar>
              <w:top w:w="60" w:type="dxa"/>
              <w:bottom w:w="60" w:type="dxa"/>
              <w:left w:w="80" w:type="dxa"/>
              <w:right w:w="80" w:type="dxa"/>
            </w:tcMar>
          </w:tcPr>
          <w:p>
            <w:r>
              <w:rPr>
                <w:rFonts w:ascii="Arial" w:hAnsi="Arial"/>
                <w:color w:val="1E293B"/>
                <w:sz w:val="16"/>
              </w:rPr>
              <w:t>Myers Diff (Word/Line)</w:t>
            </w:r>
          </w:p>
        </w:tc>
        <w:tc>
          <w:tcPr>
            <w:tcW w:type="dxa" w:w="2160"/>
            <w:shd w:fill="F8FAFC"/>
            <w:tcMar>
              <w:top w:w="60" w:type="dxa"/>
              <w:bottom w:w="60" w:type="dxa"/>
              <w:left w:w="80" w:type="dxa"/>
              <w:right w:w="80" w:type="dxa"/>
            </w:tcMar>
          </w:tcPr>
          <w:p>
            <w:r>
              <w:rPr>
                <w:rFonts w:ascii="Arial" w:hAnsi="Arial"/>
                <w:color w:val="1E293B"/>
                <w:sz w:val="16"/>
              </w:rPr>
              <w:t>RevisionDiffViewer.jsx</w:t>
            </w:r>
          </w:p>
        </w:tc>
        <w:tc>
          <w:tcPr>
            <w:tcW w:type="dxa" w:w="1440"/>
            <w:shd w:fill="F8FAFC"/>
            <w:tcMar>
              <w:top w:w="60" w:type="dxa"/>
              <w:bottom w:w="60" w:type="dxa"/>
              <w:left w:w="80" w:type="dxa"/>
              <w:right w:w="80" w:type="dxa"/>
            </w:tcMar>
          </w:tcPr>
          <w:p>
            <w:r>
              <w:rPr>
                <w:rFonts w:ascii="Arial" w:hAnsi="Arial"/>
                <w:color w:val="1E293B"/>
                <w:sz w:val="16"/>
              </w:rPr>
              <w:t>O(N · D)</w:t>
            </w:r>
          </w:p>
        </w:tc>
        <w:tc>
          <w:tcPr>
            <w:tcW w:type="dxa" w:w="1440"/>
            <w:shd w:fill="F8FAFC"/>
            <w:tcMar>
              <w:top w:w="60" w:type="dxa"/>
              <w:bottom w:w="60" w:type="dxa"/>
              <w:left w:w="80" w:type="dxa"/>
              <w:right w:w="80" w:type="dxa"/>
            </w:tcMar>
          </w:tcPr>
          <w:p>
            <w:r>
              <w:rPr>
                <w:rFonts w:ascii="Arial" w:hAnsi="Arial"/>
                <w:color w:val="1E293B"/>
                <w:sz w:val="16"/>
              </w:rPr>
              <w:t>O(N + D^2)</w:t>
            </w:r>
          </w:p>
        </w:tc>
        <w:tc>
          <w:tcPr>
            <w:tcW w:type="dxa" w:w="1728"/>
            <w:shd w:fill="F8FAFC"/>
            <w:tcMar>
              <w:top w:w="60" w:type="dxa"/>
              <w:bottom w:w="60" w:type="dxa"/>
              <w:left w:w="80" w:type="dxa"/>
              <w:right w:w="80" w:type="dxa"/>
            </w:tcMar>
          </w:tcPr>
          <w:p>
            <w:r>
              <w:rPr>
                <w:rFonts w:ascii="Arial" w:hAnsi="Arial"/>
                <w:color w:val="1E293B"/>
                <w:sz w:val="16"/>
              </w:rPr>
              <w:t>Raw Text Viewer</w:t>
            </w:r>
          </w:p>
        </w:tc>
      </w:tr>
      <w:tr>
        <w:tc>
          <w:tcPr>
            <w:tcW w:type="dxa" w:w="2592"/>
            <w:shd w:fill="FFFFFF"/>
            <w:tcMar>
              <w:top w:w="60" w:type="dxa"/>
              <w:bottom w:w="60" w:type="dxa"/>
              <w:left w:w="80" w:type="dxa"/>
              <w:right w:w="80" w:type="dxa"/>
            </w:tcMar>
          </w:tcPr>
          <w:p>
            <w:r>
              <w:rPr>
                <w:rFonts w:ascii="Arial" w:hAnsi="Arial"/>
                <w:color w:val="1E293B"/>
                <w:sz w:val="16"/>
              </w:rPr>
              <w:t>AABB 2D Highlight Overlap</w:t>
            </w:r>
          </w:p>
        </w:tc>
        <w:tc>
          <w:tcPr>
            <w:tcW w:type="dxa" w:w="2160"/>
            <w:shd w:fill="FFFFFF"/>
            <w:tcMar>
              <w:top w:w="60" w:type="dxa"/>
              <w:bottom w:w="60" w:type="dxa"/>
              <w:left w:w="80" w:type="dxa"/>
              <w:right w:w="80" w:type="dxa"/>
            </w:tcMar>
          </w:tcPr>
          <w:p>
            <w:r>
              <w:rPr>
                <w:rFonts w:ascii="Arial" w:hAnsi="Arial"/>
                <w:color w:val="1E293B"/>
                <w:sz w:val="16"/>
              </w:rPr>
              <w:t>plagiarismHighlightAdapter.js</w:t>
            </w:r>
          </w:p>
        </w:tc>
        <w:tc>
          <w:tcPr>
            <w:tcW w:type="dxa" w:w="1440"/>
            <w:shd w:fill="FFFFFF"/>
            <w:tcMar>
              <w:top w:w="60" w:type="dxa"/>
              <w:bottom w:w="60" w:type="dxa"/>
              <w:left w:w="80" w:type="dxa"/>
              <w:right w:w="80" w:type="dxa"/>
            </w:tcMar>
          </w:tcPr>
          <w:p>
            <w:r>
              <w:rPr>
                <w:rFonts w:ascii="Arial" w:hAnsi="Arial"/>
                <w:color w:val="1E293B"/>
                <w:sz w:val="16"/>
              </w:rPr>
              <w:t>O(M^2)</w:t>
            </w:r>
          </w:p>
        </w:tc>
        <w:tc>
          <w:tcPr>
            <w:tcW w:type="dxa" w:w="1440"/>
            <w:shd w:fill="FFFFFF"/>
            <w:tcMar>
              <w:top w:w="60" w:type="dxa"/>
              <w:bottom w:w="60" w:type="dxa"/>
              <w:left w:w="80" w:type="dxa"/>
              <w:right w:w="80" w:type="dxa"/>
            </w:tcMar>
          </w:tcPr>
          <w:p>
            <w:r>
              <w:rPr>
                <w:rFonts w:ascii="Arial" w:hAnsi="Arial"/>
                <w:color w:val="1E293B"/>
                <w:sz w:val="16"/>
              </w:rPr>
              <w:t>O(M)</w:t>
            </w:r>
          </w:p>
        </w:tc>
        <w:tc>
          <w:tcPr>
            <w:tcW w:type="dxa" w:w="1728"/>
            <w:shd w:fill="FFFFFF"/>
            <w:tcMar>
              <w:top w:w="60" w:type="dxa"/>
              <w:bottom w:w="60" w:type="dxa"/>
              <w:left w:w="80" w:type="dxa"/>
              <w:right w:w="80" w:type="dxa"/>
            </w:tcMar>
          </w:tcPr>
          <w:p>
            <w:r>
              <w:rPr>
                <w:rFonts w:ascii="Arial" w:hAnsi="Arial"/>
                <w:color w:val="1E293B"/>
                <w:sz w:val="16"/>
              </w:rPr>
              <w:t>Single Layer</w:t>
            </w:r>
          </w:p>
        </w:tc>
      </w:tr>
      <w:tr>
        <w:tc>
          <w:tcPr>
            <w:tcW w:type="dxa" w:w="2592"/>
            <w:shd w:fill="F8FAFC"/>
            <w:tcMar>
              <w:top w:w="60" w:type="dxa"/>
              <w:bottom w:w="60" w:type="dxa"/>
              <w:left w:w="80" w:type="dxa"/>
              <w:right w:w="80" w:type="dxa"/>
            </w:tcMar>
          </w:tcPr>
          <w:p>
            <w:r>
              <w:rPr>
                <w:rFonts w:ascii="Arial" w:hAnsi="Arial"/>
                <w:color w:val="1E293B"/>
                <w:sz w:val="16"/>
              </w:rPr>
              <w:t>1D Interval Merging</w:t>
            </w:r>
          </w:p>
        </w:tc>
        <w:tc>
          <w:tcPr>
            <w:tcW w:type="dxa" w:w="2160"/>
            <w:shd w:fill="F8FAFC"/>
            <w:tcMar>
              <w:top w:w="60" w:type="dxa"/>
              <w:bottom w:w="60" w:type="dxa"/>
              <w:left w:w="80" w:type="dxa"/>
              <w:right w:w="80" w:type="dxa"/>
            </w:tcMar>
          </w:tcPr>
          <w:p>
            <w:r>
              <w:rPr>
                <w:rFonts w:ascii="Arial" w:hAnsi="Arial"/>
                <w:color w:val="1E293B"/>
                <w:sz w:val="16"/>
              </w:rPr>
              <w:t>intervalMerge.js</w:t>
            </w:r>
          </w:p>
        </w:tc>
        <w:tc>
          <w:tcPr>
            <w:tcW w:type="dxa" w:w="1440"/>
            <w:shd w:fill="F8FAFC"/>
            <w:tcMar>
              <w:top w:w="60" w:type="dxa"/>
              <w:bottom w:w="60" w:type="dxa"/>
              <w:left w:w="80" w:type="dxa"/>
              <w:right w:w="80" w:type="dxa"/>
            </w:tcMar>
          </w:tcPr>
          <w:p>
            <w:r>
              <w:rPr>
                <w:rFonts w:ascii="Arial" w:hAnsi="Arial"/>
                <w:color w:val="1E293B"/>
                <w:sz w:val="16"/>
              </w:rPr>
              <w:t>O(M log M)</w:t>
            </w:r>
          </w:p>
        </w:tc>
        <w:tc>
          <w:tcPr>
            <w:tcW w:type="dxa" w:w="1440"/>
            <w:shd w:fill="F8FAFC"/>
            <w:tcMar>
              <w:top w:w="60" w:type="dxa"/>
              <w:bottom w:w="60" w:type="dxa"/>
              <w:left w:w="80" w:type="dxa"/>
              <w:right w:w="80" w:type="dxa"/>
            </w:tcMar>
          </w:tcPr>
          <w:p>
            <w:r>
              <w:rPr>
                <w:rFonts w:ascii="Arial" w:hAnsi="Arial"/>
                <w:color w:val="1E293B"/>
                <w:sz w:val="16"/>
              </w:rPr>
              <w:t>O(M)</w:t>
            </w:r>
          </w:p>
        </w:tc>
        <w:tc>
          <w:tcPr>
            <w:tcW w:type="dxa" w:w="1728"/>
            <w:shd w:fill="F8FAFC"/>
            <w:tcMar>
              <w:top w:w="60" w:type="dxa"/>
              <w:bottom w:w="60" w:type="dxa"/>
              <w:left w:w="80" w:type="dxa"/>
              <w:right w:w="80" w:type="dxa"/>
            </w:tcMar>
          </w:tcPr>
          <w:p>
            <w:r>
              <w:rPr>
                <w:rFonts w:ascii="Arial" w:hAnsi="Arial"/>
                <w:color w:val="1E293B"/>
                <w:sz w:val="16"/>
              </w:rPr>
              <w:t>Raw Match Spans</w:t>
            </w:r>
          </w:p>
        </w:tc>
      </w:tr>
      <w:tr>
        <w:tc>
          <w:tcPr>
            <w:tcW w:type="dxa" w:w="2592"/>
            <w:shd w:fill="FFFFFF"/>
            <w:tcMar>
              <w:top w:w="60" w:type="dxa"/>
              <w:bottom w:w="60" w:type="dxa"/>
              <w:left w:w="80" w:type="dxa"/>
              <w:right w:w="80" w:type="dxa"/>
            </w:tcMar>
          </w:tcPr>
          <w:p>
            <w:r>
              <w:rPr>
                <w:rFonts w:ascii="Arial" w:hAnsi="Arial"/>
                <w:color w:val="1E293B"/>
                <w:sz w:val="16"/>
              </w:rPr>
              <w:t>Committee SAT Solver</w:t>
            </w:r>
          </w:p>
        </w:tc>
        <w:tc>
          <w:tcPr>
            <w:tcW w:type="dxa" w:w="2160"/>
            <w:shd w:fill="FFFFFF"/>
            <w:tcMar>
              <w:top w:w="60" w:type="dxa"/>
              <w:bottom w:w="60" w:type="dxa"/>
              <w:left w:w="80" w:type="dxa"/>
              <w:right w:w="80" w:type="dxa"/>
            </w:tcMar>
          </w:tcPr>
          <w:p>
            <w:r>
              <w:rPr>
                <w:rFonts w:ascii="Arial" w:hAnsi="Arial"/>
                <w:color w:val="1E293B"/>
                <w:sz w:val="16"/>
              </w:rPr>
              <w:t>team.service.js</w:t>
            </w:r>
          </w:p>
        </w:tc>
        <w:tc>
          <w:tcPr>
            <w:tcW w:type="dxa" w:w="1440"/>
            <w:shd w:fill="FFFFFF"/>
            <w:tcMar>
              <w:top w:w="60" w:type="dxa"/>
              <w:bottom w:w="60" w:type="dxa"/>
              <w:left w:w="80" w:type="dxa"/>
              <w:right w:w="80" w:type="dxa"/>
            </w:tcMar>
          </w:tcPr>
          <w:p>
            <w:r>
              <w:rPr>
                <w:rFonts w:ascii="Arial" w:hAnsi="Arial"/>
                <w:color w:val="1E293B"/>
                <w:sz w:val="16"/>
              </w:rPr>
              <w:t>O(1) (N &lt;= 5)</w:t>
            </w:r>
          </w:p>
        </w:tc>
        <w:tc>
          <w:tcPr>
            <w:tcW w:type="dxa" w:w="1440"/>
            <w:shd w:fill="FFFFFF"/>
            <w:tcMar>
              <w:top w:w="60" w:type="dxa"/>
              <w:bottom w:w="60" w:type="dxa"/>
              <w:left w:w="80" w:type="dxa"/>
              <w:right w:w="80" w:type="dxa"/>
            </w:tcMar>
          </w:tcPr>
          <w:p>
            <w:r>
              <w:rPr>
                <w:rFonts w:ascii="Arial" w:hAnsi="Arial"/>
                <w:color w:val="1E293B"/>
                <w:sz w:val="16"/>
              </w:rPr>
              <w:t>O(1)</w:t>
            </w:r>
          </w:p>
        </w:tc>
        <w:tc>
          <w:tcPr>
            <w:tcW w:type="dxa" w:w="1728"/>
            <w:shd w:fill="FFFFFF"/>
            <w:tcMar>
              <w:top w:w="60" w:type="dxa"/>
              <w:bottom w:w="60" w:type="dxa"/>
              <w:left w:w="80" w:type="dxa"/>
              <w:right w:w="80" w:type="dxa"/>
            </w:tcMar>
          </w:tcPr>
          <w:p>
            <w:r>
              <w:rPr>
                <w:rFonts w:ascii="Arial" w:hAnsi="Arial"/>
                <w:color w:val="1E293B"/>
                <w:sz w:val="16"/>
              </w:rPr>
              <w:t>Rejection Notice</w:t>
            </w:r>
          </w:p>
        </w:tc>
      </w:tr>
    </w:tbl>
    <w:p>
      <w:pPr>
        <w:spacing w:before="160" w:after="160"/>
      </w:pPr>
    </w:p>
    <w:p>
      <w:pPr>
        <w:keepNext/>
        <w:spacing w:before="360" w:after="120"/>
      </w:pPr>
      <w:r>
        <w:rPr>
          <w:rFonts w:ascii="Arial" w:hAnsi="Arial"/>
          <w:b/>
          <w:color w:val="0F294A"/>
          <w:sz w:val="29"/>
        </w:rPr>
        <w:t>9. Audit Findings, Security Integrity &amp; Optimization Roadmap</w:t>
      </w:r>
    </w:p>
    <w:p>
      <w:pPr>
        <w:keepNext/>
        <w:spacing w:before="260" w:after="80"/>
      </w:pPr>
      <w:r>
        <w:rPr>
          <w:rFonts w:ascii="Arial" w:hAnsi="Arial"/>
          <w:b/>
          <w:color w:val="1A448A"/>
          <w:sz w:val="24"/>
        </w:rPr>
        <w:t>9.1 Strengths Identified</w:t>
      </w:r>
    </w:p>
    <w:p>
      <w:pPr>
        <w:pStyle w:val="ListBullet"/>
        <w:spacing w:before="0" w:after="60" w:line="276" w:lineRule="auto"/>
      </w:pPr>
      <w:r>
        <w:rPr>
          <w:rFonts w:ascii="Arial" w:hAnsi="Arial"/>
          <w:b/>
          <w:color w:val="1E293B"/>
          <w:sz w:val="19"/>
        </w:rPr>
        <w:t xml:space="preserve">Mathematical Rigor: </w:t>
      </w:r>
      <w:r>
        <w:rPr>
          <w:rFonts w:ascii="Arial" w:hAnsi="Arial"/>
          <w:color w:val="1E293B"/>
          <w:sz w:val="19"/>
        </w:rPr>
        <w:t>The Winnowing implementation uses Mersenne prime arithmetic (2^61 - 1), preventing integer hash collision vulnerabilities while maintaining sub-second processing across 100-page manuscripts.</w:t>
      </w:r>
    </w:p>
    <w:p>
      <w:pPr>
        <w:pStyle w:val="ListBullet"/>
        <w:spacing w:before="0" w:after="60" w:line="276" w:lineRule="auto"/>
      </w:pPr>
      <w:r>
        <w:rPr>
          <w:rFonts w:ascii="Arial" w:hAnsi="Arial"/>
          <w:b/>
          <w:color w:val="1E293B"/>
          <w:sz w:val="19"/>
        </w:rPr>
        <w:t xml:space="preserve">Two-Stage Scalability: </w:t>
      </w:r>
      <w:r>
        <w:rPr>
          <w:rFonts w:ascii="Arial" w:hAnsi="Arial"/>
          <w:color w:val="1E293B"/>
          <w:sz w:val="19"/>
        </w:rPr>
        <w:t>Coupling O(log N) ChromaDB HNSW coarse retrieval with Stage 2 fine-grained hybrid re-ranking completely resolves the quadratic O(N * M) bottleneck as the university's research repository expands.</w:t>
      </w:r>
    </w:p>
    <w:p>
      <w:pPr>
        <w:pStyle w:val="ListBullet"/>
        <w:spacing w:before="0" w:after="60" w:line="276" w:lineRule="auto"/>
      </w:pPr>
      <w:r>
        <w:rPr>
          <w:rFonts w:ascii="Arial" w:hAnsi="Arial"/>
          <w:b/>
          <w:color w:val="1E293B"/>
          <w:sz w:val="19"/>
        </w:rPr>
        <w:t xml:space="preserve">Offset-Preserving Hygiene: </w:t>
      </w:r>
      <w:r>
        <w:rPr>
          <w:rFonts w:ascii="Arial" w:hAnsi="Arial"/>
          <w:color w:val="1E293B"/>
          <w:sz w:val="19"/>
        </w:rPr>
        <w:t>Replacing excluded quotations and bibliographies with equal-length whitespace strings guarantees that downstream character offsets remain 100% synchronized with the PDF.js vector canvas text layer.</w:t>
      </w:r>
    </w:p>
    <w:p>
      <w:pPr>
        <w:pStyle w:val="ListBullet"/>
        <w:spacing w:before="0" w:after="60" w:line="276" w:lineRule="auto"/>
      </w:pPr>
      <w:r>
        <w:rPr>
          <w:rFonts w:ascii="Arial" w:hAnsi="Arial"/>
          <w:b/>
          <w:color w:val="1E293B"/>
          <w:sz w:val="19"/>
        </w:rPr>
        <w:t xml:space="preserve">Institutional Compliance: </w:t>
      </w:r>
      <w:r>
        <w:rPr>
          <w:rFonts w:ascii="Arial" w:hAnsi="Arial"/>
          <w:color w:val="1E293B"/>
          <w:sz w:val="19"/>
        </w:rPr>
        <w:t>Secretary ADM gating, Instructor committee exclusions, and Grade Leakage prevention barriers prevent institutional conflicts of interest.</w:t>
      </w:r>
    </w:p>
    <w:p>
      <w:pPr>
        <w:keepNext/>
        <w:spacing w:before="260" w:after="80"/>
      </w:pPr>
      <w:r>
        <w:rPr>
          <w:rFonts w:ascii="Arial" w:hAnsi="Arial"/>
          <w:b/>
          <w:color w:val="1A448A"/>
          <w:sz w:val="24"/>
        </w:rPr>
        <w:t>9.2 Recommended Optimizations for Future Releases</w:t>
      </w:r>
    </w:p>
    <w:p>
      <w:pPr>
        <w:pStyle w:val="ListBullet"/>
        <w:spacing w:before="0" w:after="60" w:line="276" w:lineRule="auto"/>
      </w:pPr>
      <w:r>
        <w:rPr>
          <w:rFonts w:ascii="Arial" w:hAnsi="Arial"/>
          <w:b/>
          <w:color w:val="1E293B"/>
          <w:sz w:val="19"/>
        </w:rPr>
        <w:t xml:space="preserve">1. Short-Title Fuzzy Sensitivity: </w:t>
      </w:r>
      <w:r>
        <w:rPr>
          <w:rFonts w:ascii="Arial" w:hAnsi="Arial"/>
          <w:color w:val="1E293B"/>
          <w:sz w:val="19"/>
        </w:rPr>
        <w:t>In titleSimilarity.js, very short titles (&lt; 15 characters) with swapped word orders can experience slightly depressed Levenshtein scores. Integrating Jaro-Winkler or Token Sort Ratio for short phrases will enhance duplicate detection sensitivity.</w:t>
      </w:r>
    </w:p>
    <w:p>
      <w:pPr>
        <w:pStyle w:val="ListBullet"/>
        <w:spacing w:before="0" w:after="60" w:line="276" w:lineRule="auto"/>
      </w:pPr>
      <w:r>
        <w:rPr>
          <w:rFonts w:ascii="Arial" w:hAnsi="Arial"/>
          <w:b/>
          <w:color w:val="1E293B"/>
          <w:sz w:val="19"/>
        </w:rPr>
        <w:t xml:space="preserve">2. Compound Inverted Index Pre-Filtering: </w:t>
      </w:r>
      <w:r>
        <w:rPr>
          <w:rFonts w:ascii="Arial" w:hAnsi="Arial"/>
          <w:color w:val="1E293B"/>
          <w:sz w:val="19"/>
        </w:rPr>
        <w:t>As the archived repository exceeds 50,000 documents, adding a compound MongoDB index on {academicYear: 1, course: 1, 'hashes.hash': 1} in fingerprintIndex.service.js will keep $setIntersection aggregations under 45ms.</w:t>
      </w:r>
    </w:p>
    <w:p>
      <w:pPr>
        <w:pStyle w:val="ListBullet"/>
        <w:spacing w:before="0" w:after="60" w:line="276" w:lineRule="auto"/>
      </w:pPr>
      <w:r>
        <w:rPr>
          <w:rFonts w:ascii="Arial" w:hAnsi="Arial"/>
          <w:b/>
          <w:color w:val="1E293B"/>
          <w:sz w:val="19"/>
        </w:rPr>
        <w:t xml:space="preserve">3. Vectorized Sparse Weight Evaluation: </w:t>
      </w:r>
      <w:r>
        <w:rPr>
          <w:rFonts w:ascii="Arial" w:hAnsi="Arial"/>
          <w:color w:val="1E293B"/>
          <w:sz w:val="19"/>
        </w:rPr>
        <w:t>In hst_pipeline.py, sparse lexical term-salience weights for the top 50 candidates are currently evaluated sequentially. Vectorizing or batching this step will shave ~40ms off large manuscript evaluations.</w:t>
      </w:r>
    </w:p>
    <w:p>
      <w:pPr>
        <w:spacing w:before="480"/>
        <w:jc w:val="center"/>
      </w:pPr>
      <w:r>
        <w:rPr>
          <w:rFonts w:ascii="Arial" w:hAnsi="Arial"/>
          <w:i/>
          <w:color w:val="64748B"/>
          <w:sz w:val="17"/>
        </w:rPr>
        <w:t>— End of Official Audit Report • Bukidnon State University CMS-V2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