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6"/>
      </w:tblGrid>
      <w:tr>
        <w:tc>
          <w:tcPr>
            <w:tcW w:type="dxa" w:w="9866"/>
            <w:tcBorders>
              <w:top w:val="none" w:color="FFFFFF" w:sz="0"/>
              <w:left w:val="none" w:color="FFFFFF" w:sz="0"/>
              <w:bottom w:val="none" w:color="FFFFFF" w:sz="0"/>
              <w:right w:val="none" w:color="FFFFFF" w:sz="0"/>
            </w:tcBorders>
            <w:shd w:fill="1B3F64" w:color="auto" w:val="clear"/>
            <w:tcMar>
              <w:top w:type="dxa" w:w="320"/>
              <w:left w:type="dxa" w:w="320"/>
              <w:bottom w:type="dxa" w:w="280"/>
              <w:right w:type="dxa" w:w="320"/>
            </w:tcMar>
          </w:tcPr>
          <w:p>
            <w:pPr>
              <w:keepLines/>
              <w:spacing w:after="80" w:before="0" w:line="200" w:lineRule="exact"/>
            </w:pPr>
            <w:r>
              <w:rPr>
                <w:rFonts w:ascii="Arial" w:cs="Arial" w:eastAsia="Arial" w:hAnsi="Arial"/>
                <w:b/>
                <w:bCs/>
                <w:caps/>
                <w:color w:val="A9C4DE"/>
                <w:spacing w:val="24"/>
                <w:sz w:val="15"/>
                <w:szCs w:val="15"/>
              </w:rPr>
              <w:t xml:space="preserve">Akquisitionsgelegenheit</w:t>
            </w:r>
          </w:p>
          <w:p>
            <w:pPr>
              <w:keepLines/>
              <w:spacing w:after="40" w:before="0" w:line="480" w:lineRule="exact"/>
            </w:pPr>
            <w:r>
              <w:rPr>
                <w:rFonts w:ascii="IBM Plex Sans" w:cs="IBM Plex Sans" w:eastAsia="IBM Plex Sans" w:hAnsi="IBM Plex Sans"/>
                <w:b w:val="false"/>
                <w:bCs w:val="false"/>
                <w:caps w:val="false"/>
                <w:color w:val="FFFFFF"/>
                <w:sz w:val="40"/>
                <w:szCs w:val="40"/>
              </w:rPr>
              <w:t xml:space="preserve">Zweifamilienhaus in Büsserach</w:t>
            </w:r>
          </w:p>
          <w:p>
            <w:pPr>
              <w:keepLines/>
              <w:spacing w:after="0" w:before="0" w:line="280" w:lineRule="exact"/>
            </w:pPr>
            <w:r>
              <w:rPr>
                <w:rFonts w:ascii="IBM Plex Sans" w:cs="IBM Plex Sans" w:eastAsia="IBM Plex Sans" w:hAnsi="IBM Plex Sans"/>
                <w:b w:val="false"/>
                <w:bCs w:val="false"/>
                <w:caps w:val="false"/>
                <w:color w:val="FFFFFF"/>
                <w:sz w:val="22"/>
                <w:szCs w:val="22"/>
              </w:rPr>
              <w:t xml:space="preserve">Neumattstrasse 15, 4227 Büsserach</w:t>
            </w:r>
          </w:p>
        </w:tc>
      </w:tr>
    </w:tbl>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67"/>
        <w:gridCol w:w="2467"/>
        <w:gridCol w:w="2467"/>
        <w:gridCol w:w="2467"/>
      </w:tblGrid>
      <w:tr>
        <w:tc>
          <w:tcPr>
            <w:tcW w:type="dxa" w:w="2467"/>
            <w:tcBorders>
              <w:top w:val="none" w:color="FFFFFF" w:sz="0"/>
              <w:left w:val="none" w:color="FFFFFF" w:sz="0"/>
              <w:bottom w:val="none" w:color="FFFFFF" w:sz="0"/>
              <w:right w:val="single" w:color="FFFFFF" w:sz="24"/>
            </w:tcBorders>
            <w:shd w:fill="F9F9F1" w:color="auto" w:val="clear"/>
            <w:tcMar>
              <w:top w:type="dxa" w:w="140"/>
              <w:left w:type="dxa" w:w="200"/>
              <w:bottom w:type="dxa" w:w="140"/>
              <w:right w:type="dxa" w:w="200"/>
            </w:tcMar>
          </w:tcPr>
          <w:p>
            <w:pPr>
              <w:keepLines/>
              <w:spacing w:after="0" w:before="0" w:line="300" w:lineRule="exact"/>
            </w:pPr>
            <w:r>
              <w:rPr>
                <w:rFonts w:ascii="IBM Plex Sans" w:cs="IBM Plex Sans" w:eastAsia="IBM Plex Sans" w:hAnsi="IBM Plex Sans"/>
                <w:b w:val="false"/>
                <w:bCs w:val="false"/>
                <w:caps w:val="false"/>
                <w:color w:val="1B3F64"/>
                <w:sz w:val="25"/>
                <w:szCs w:val="25"/>
              </w:rPr>
              <w:t xml:space="preserve">2</w:t>
            </w:r>
          </w:p>
          <w:p>
            <w:pPr>
              <w:keepLines/>
              <w:spacing w:after="0" w:before="0" w:line="180" w:lineRule="exact"/>
            </w:pPr>
            <w:r>
              <w:rPr>
                <w:rFonts w:ascii="Arial" w:cs="Arial" w:eastAsia="Arial" w:hAnsi="Arial"/>
                <w:b w:val="false"/>
                <w:bCs w:val="false"/>
                <w:caps w:val="false"/>
                <w:color w:val="585857"/>
                <w:sz w:val="14"/>
                <w:szCs w:val="14"/>
              </w:rPr>
              <w:t xml:space="preserve">Wohnungen</w:t>
            </w:r>
          </w:p>
        </w:tc>
        <w:tc>
          <w:tcPr>
            <w:tcW w:type="dxa" w:w="2467"/>
            <w:tcBorders>
              <w:top w:val="none" w:color="FFFFFF" w:sz="0"/>
              <w:left w:val="single" w:color="FFFFFF" w:sz="24"/>
              <w:bottom w:val="none" w:color="FFFFFF" w:sz="0"/>
              <w:right w:val="single" w:color="FFFFFF" w:sz="24"/>
            </w:tcBorders>
            <w:shd w:fill="F9F9F1" w:color="auto" w:val="clear"/>
            <w:tcMar>
              <w:top w:type="dxa" w:w="140"/>
              <w:left w:type="dxa" w:w="200"/>
              <w:bottom w:type="dxa" w:w="140"/>
              <w:right w:type="dxa" w:w="200"/>
            </w:tcMar>
          </w:tcPr>
          <w:p>
            <w:pPr>
              <w:keepLines/>
              <w:spacing w:after="0" w:before="0" w:line="300" w:lineRule="exact"/>
            </w:pPr>
            <w:r>
              <w:rPr>
                <w:rFonts w:ascii="IBM Plex Sans" w:cs="IBM Plex Sans" w:eastAsia="IBM Plex Sans" w:hAnsi="IBM Plex Sans"/>
                <w:b w:val="false"/>
                <w:bCs w:val="false"/>
                <w:caps w:val="false"/>
                <w:color w:val="1B3F64"/>
                <w:sz w:val="25"/>
                <w:szCs w:val="25"/>
              </w:rPr>
              <w:t xml:space="preserve">490 m²</w:t>
            </w:r>
          </w:p>
          <w:p>
            <w:pPr>
              <w:keepLines/>
              <w:spacing w:after="0" w:before="0" w:line="180" w:lineRule="exact"/>
            </w:pPr>
            <w:r>
              <w:rPr>
                <w:rFonts w:ascii="Arial" w:cs="Arial" w:eastAsia="Arial" w:hAnsi="Arial"/>
                <w:b w:val="false"/>
                <w:bCs w:val="false"/>
                <w:caps w:val="false"/>
                <w:color w:val="585857"/>
                <w:sz w:val="14"/>
                <w:szCs w:val="14"/>
              </w:rPr>
              <w:t xml:space="preserve">Grundstück</w:t>
            </w:r>
          </w:p>
        </w:tc>
        <w:tc>
          <w:tcPr>
            <w:tcW w:type="dxa" w:w="2467"/>
            <w:tcBorders>
              <w:top w:val="none" w:color="FFFFFF" w:sz="0"/>
              <w:left w:val="single" w:color="FFFFFF" w:sz="24"/>
              <w:bottom w:val="none" w:color="FFFFFF" w:sz="0"/>
              <w:right w:val="single" w:color="FFFFFF" w:sz="24"/>
            </w:tcBorders>
            <w:shd w:fill="F9F9F1" w:color="auto" w:val="clear"/>
            <w:tcMar>
              <w:top w:type="dxa" w:w="140"/>
              <w:left w:type="dxa" w:w="200"/>
              <w:bottom w:type="dxa" w:w="140"/>
              <w:right w:type="dxa" w:w="200"/>
            </w:tcMar>
          </w:tcPr>
          <w:p>
            <w:pPr>
              <w:keepLines/>
              <w:spacing w:after="0" w:before="0" w:line="300" w:lineRule="exact"/>
            </w:pPr>
            <w:r>
              <w:rPr>
                <w:rFonts w:ascii="IBM Plex Sans" w:cs="IBM Plex Sans" w:eastAsia="IBM Plex Sans" w:hAnsi="IBM Plex Sans"/>
                <w:b w:val="false"/>
                <w:bCs w:val="false"/>
                <w:caps w:val="false"/>
                <w:color w:val="1B3F64"/>
                <w:sz w:val="25"/>
                <w:szCs w:val="25"/>
              </w:rPr>
              <w:t xml:space="preserve">CHF 42’600</w:t>
            </w:r>
          </w:p>
          <w:p>
            <w:pPr>
              <w:keepLines/>
              <w:spacing w:after="0" w:before="0" w:line="180" w:lineRule="exact"/>
            </w:pPr>
            <w:r>
              <w:rPr>
                <w:rFonts w:ascii="Arial" w:cs="Arial" w:eastAsia="Arial" w:hAnsi="Arial"/>
                <w:b w:val="false"/>
                <w:bCs w:val="false"/>
                <w:caps w:val="false"/>
                <w:color w:val="585857"/>
                <w:sz w:val="14"/>
                <w:szCs w:val="14"/>
              </w:rPr>
              <w:t xml:space="preserve">Mietertrag IST p.a.</w:t>
            </w:r>
          </w:p>
        </w:tc>
        <w:tc>
          <w:tcPr>
            <w:tcW w:type="dxa" w:w="2467"/>
            <w:tcBorders>
              <w:top w:val="none" w:color="FFFFFF" w:sz="0"/>
              <w:left w:val="single" w:color="FFFFFF" w:sz="24"/>
              <w:bottom w:val="none" w:color="FFFFFF" w:sz="0"/>
              <w:right w:val="none" w:color="FFFFFF" w:sz="0"/>
            </w:tcBorders>
            <w:shd w:fill="F9F9F1" w:color="auto" w:val="clear"/>
            <w:tcMar>
              <w:top w:type="dxa" w:w="140"/>
              <w:left w:type="dxa" w:w="200"/>
              <w:bottom w:type="dxa" w:w="140"/>
              <w:right w:type="dxa" w:w="200"/>
            </w:tcMar>
          </w:tcPr>
          <w:p>
            <w:pPr>
              <w:keepLines/>
              <w:spacing w:after="0" w:before="0" w:line="300" w:lineRule="exact"/>
            </w:pPr>
            <w:r>
              <w:rPr>
                <w:rFonts w:ascii="IBM Plex Sans" w:cs="IBM Plex Sans" w:eastAsia="IBM Plex Sans" w:hAnsi="IBM Plex Sans"/>
                <w:b w:val="false"/>
                <w:bCs w:val="false"/>
                <w:caps w:val="false"/>
                <w:color w:val="1B3F64"/>
                <w:sz w:val="25"/>
                <w:szCs w:val="25"/>
              </w:rPr>
              <w:t xml:space="preserve">CHF 995’000</w:t>
            </w:r>
          </w:p>
          <w:p>
            <w:pPr>
              <w:keepLines/>
              <w:spacing w:after="0" w:before="0" w:line="180" w:lineRule="exact"/>
            </w:pPr>
            <w:r>
              <w:rPr>
                <w:rFonts w:ascii="Arial" w:cs="Arial" w:eastAsia="Arial" w:hAnsi="Arial"/>
                <w:b w:val="false"/>
                <w:bCs w:val="false"/>
                <w:caps w:val="false"/>
                <w:color w:val="585857"/>
                <w:sz w:val="14"/>
                <w:szCs w:val="14"/>
              </w:rPr>
              <w:t xml:space="preserve">Verkaufsrichtpreis</w:t>
            </w:r>
          </w:p>
        </w:tc>
      </w:tr>
    </w:tbl>
    <w:p>
      <w:pPr>
        <w:spacing w:after="0" w:before="0" w:line="150" w:lineRule="exact"/>
      </w:pPr>
      <w:r>
        <w:rPr>
          <w:sz w:val="2"/>
          <w:szCs w:val="2"/>
        </w:rPr>
        <w:t xml:space="preserve"/>
      </w:r>
    </w:p>
    <w:p>
      <w:pPr>
        <w:spacing w:after="150" w:before="0"/>
      </w:pPr>
      <w:r>
        <w:drawing>
          <wp:inline distT="0" distB="0" distL="0" distR="0">
            <wp:extent cx="6267450" cy="2085975"/>
            <wp:effectExtent t="0" r="0" b="0" l="0"/>
            <wp:docPr id="1" name="Titelbild" descr="Titelbild" title="Titel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l="0" t="26505" r="0" b="26505"/>
                    <a:stretch>
                      <a:fillRect/>
                    </a:stretch>
                  </pic:blipFill>
                  <pic:spPr bwMode="auto">
                    <a:xfrm>
                      <a:off x="0" y="0"/>
                      <a:ext cx="6267450" cy="2085975"/>
                    </a:xfrm>
                    <a:prstGeom prst="rect">
                      <a:avLst/>
                    </a:prstGeom>
                  </pic:spPr>
                </pic:pic>
              </a:graphicData>
            </a:graphic>
          </wp:inline>
        </w:drawing>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20"/>
        <w:gridCol w:w="3946"/>
      </w:tblGrid>
      <w:tr>
        <w:tc>
          <w:tcPr>
            <w:tcW w:type="dxa" w:w="5920"/>
            <w:tcBorders>
              <w:top w:val="none" w:color="FFFFFF" w:sz="0"/>
              <w:left w:val="none" w:color="FFFFFF" w:sz="0"/>
              <w:bottom w:val="none" w:color="FFFFFF" w:sz="0"/>
              <w:right w:val="none" w:color="FFFFFF" w:sz="0"/>
            </w:tcBorders>
            <w:tcMar>
              <w:top w:type="dxa" w:w="240"/>
              <w:left w:type="dxa" w:w="0"/>
              <w:bottom w:type="dxa" w:w="240"/>
              <w:right w:type="dxa" w:w="320"/>
            </w:tcMar>
          </w:tcPr>
          <w:p>
            <w:pPr>
              <w:keepNext/>
              <w:keepLines/>
              <w:pBdr>
                <w:bottom w:val="single" w:color="1B3F64" w:sz="6" w:space="1"/>
              </w:pBdr>
              <w:spacing w:after="75" w:before="0" w:line="320" w:lineRule="exact"/>
            </w:pPr>
            <w:r>
              <w:rPr>
                <w:rFonts w:ascii="IBM Plex Sans" w:cs="IBM Plex Sans" w:eastAsia="IBM Plex Sans" w:hAnsi="IBM Plex Sans"/>
                <w:b w:val="false"/>
                <w:bCs w:val="false"/>
                <w:caps w:val="false"/>
                <w:color w:val="1B3F64"/>
                <w:sz w:val="26"/>
                <w:szCs w:val="26"/>
              </w:rPr>
              <w:t xml:space="preserve">Transaktionsübersicht</w:t>
            </w:r>
          </w:p>
          <w:p>
            <w:pPr>
              <w:keepNext/>
              <w:keepLines/>
              <w:spacing w:after="23" w:before="0" w:line="220" w:lineRule="exact"/>
            </w:pPr>
            <w:r>
              <w:rPr>
                <w:rFonts w:ascii="Arial" w:cs="Arial" w:eastAsia="Arial" w:hAnsi="Arial"/>
                <w:b/>
                <w:bCs/>
                <w:caps w:val="false"/>
                <w:color w:val="1B3F64"/>
                <w:sz w:val="17"/>
                <w:szCs w:val="17"/>
              </w:rPr>
              <w:t xml:space="preserve">Ausgangslage</w:t>
            </w:r>
          </w:p>
          <w:p>
            <w:pPr>
              <w:keepLines/>
              <w:spacing w:after="0" w:before="0" w:line="250" w:lineRule="exact"/>
            </w:pPr>
            <w:r>
              <w:rPr>
                <w:rFonts w:ascii="Arial" w:cs="Arial" w:eastAsia="Arial" w:hAnsi="Arial"/>
                <w:b w:val="false"/>
                <w:bCs w:val="false"/>
                <w:caps w:val="false"/>
                <w:color w:val="231F20"/>
                <w:sz w:val="18"/>
                <w:szCs w:val="18"/>
              </w:rPr>
              <w:t xml:space="preserve">Zum Verkauf steht ein Zweifamilienhaus mit zwei 4.5-Zimmer-Wohnungen an der Neumattstrasse 15 in Büsserach. Die Liegenschaft erzielt einen Nettomietertrag von CHF 42’600 p.a.; der Verkaufsrichtpreis beträgt CHF 995’000. Die Übernahme erfolgt nach Vereinbarung.</w:t>
            </w:r>
          </w:p>
          <w:p>
            <w:pPr>
              <w:keepNext/>
              <w:keepLines/>
              <w:spacing w:after="23" w:before="90" w:line="220" w:lineRule="exact"/>
            </w:pPr>
            <w:r>
              <w:rPr>
                <w:rFonts w:ascii="Arial" w:cs="Arial" w:eastAsia="Arial" w:hAnsi="Arial"/>
                <w:b/>
                <w:bCs/>
                <w:caps w:val="false"/>
                <w:color w:val="1B3F64"/>
                <w:sz w:val="17"/>
                <w:szCs w:val="17"/>
              </w:rPr>
              <w:t xml:space="preserve">Objekt &amp; Lage</w:t>
            </w:r>
          </w:p>
          <w:p>
            <w:pPr>
              <w:keepLines/>
              <w:spacing w:after="0" w:before="0" w:line="250" w:lineRule="exact"/>
            </w:pPr>
            <w:r>
              <w:rPr>
                <w:rFonts w:ascii="Arial" w:cs="Arial" w:eastAsia="Arial" w:hAnsi="Arial"/>
                <w:b w:val="false"/>
                <w:bCs w:val="false"/>
                <w:caps w:val="false"/>
                <w:color w:val="231F20"/>
                <w:sz w:val="18"/>
                <w:szCs w:val="18"/>
              </w:rPr>
              <w:t xml:space="preserve">Das Zweifamilienhaus steht auf einem Grundstück von 490 m² in einer ruhigen, gewachsenen Wohnlage im Dorfgebiet von Büsserach (Bezirk Thierstein, Kanton Solothurn). Bushaltestelle, Kindergarten, Primarschule und Bäckerei sind zu Fuss erreichbar. Die PostAuto-Linie 115 verkehrt im Halbstundentakt; via Laufen besteht S-Bahn-Anschluss Richtung Basel.</w:t>
            </w:r>
          </w:p>
          <w:p>
            <w:pPr>
              <w:keepNext/>
              <w:keepLines/>
              <w:spacing w:after="23" w:before="90" w:line="220" w:lineRule="exact"/>
            </w:pPr>
            <w:r>
              <w:rPr>
                <w:rFonts w:ascii="Arial" w:cs="Arial" w:eastAsia="Arial" w:hAnsi="Arial"/>
                <w:b/>
                <w:bCs/>
                <w:caps w:val="false"/>
                <w:color w:val="1B3F64"/>
                <w:sz w:val="17"/>
                <w:szCs w:val="17"/>
              </w:rPr>
              <w:t xml:space="preserve">Baujahr &amp; Investitionen</w:t>
            </w:r>
          </w:p>
          <w:p>
            <w:pPr>
              <w:keepLines/>
              <w:spacing w:after="0" w:before="0" w:line="250" w:lineRule="exact"/>
            </w:pPr>
            <w:r>
              <w:rPr>
                <w:rFonts w:ascii="Arial" w:cs="Arial" w:eastAsia="Arial" w:hAnsi="Arial"/>
                <w:b w:val="false"/>
                <w:bCs w:val="false"/>
                <w:caps w:val="false"/>
                <w:color w:val="231F20"/>
                <w:sz w:val="18"/>
                <w:szCs w:val="18"/>
              </w:rPr>
              <w:t xml:space="preserve">Die Erdgeschosswohnung wurde 2020 komplett renoviert. Die Wohnung im 1. Obergeschoss befindet sich in solidem und gepflegtem Zustand. Die Wärmeerzeugung erfolgt über eine Ölheizung aus dem Jahr 2001.</w:t>
            </w:r>
          </w:p>
          <w:p>
            <w:pPr>
              <w:keepNext/>
              <w:keepLines/>
              <w:spacing w:after="23" w:before="90" w:line="220" w:lineRule="exact"/>
            </w:pPr>
            <w:r>
              <w:rPr>
                <w:rFonts w:ascii="Arial" w:cs="Arial" w:eastAsia="Arial" w:hAnsi="Arial"/>
                <w:b/>
                <w:bCs/>
                <w:caps w:val="false"/>
                <w:color w:val="1B3F64"/>
                <w:sz w:val="17"/>
                <w:szCs w:val="17"/>
              </w:rPr>
              <w:t xml:space="preserve">Einheiten &amp; Nebenräume</w:t>
            </w:r>
          </w:p>
          <w:p>
            <w:pPr>
              <w:keepLines/>
              <w:spacing w:after="0" w:before="0" w:line="250" w:lineRule="exact"/>
            </w:pPr>
            <w:r>
              <w:rPr>
                <w:rFonts w:ascii="Arial" w:cs="Arial" w:eastAsia="Arial" w:hAnsi="Arial"/>
                <w:b w:val="false"/>
                <w:bCs w:val="false"/>
                <w:caps w:val="false"/>
                <w:color w:val="231F20"/>
                <w:sz w:val="18"/>
                <w:szCs w:val="18"/>
              </w:rPr>
              <w:t xml:space="preserve">Die Liegenschaft umfasst zwei 4.5-Zimmer-Wohnungen mit je rund 100 m² im Erdgeschoss und im 1. Obergeschoss. Zur Erdgeschosswohnung gehört ein privater Gartensitzplatz. Zur Parkierung stehen zwei gedeckte und zwei Aussenparkplätze zur Verfügung.</w:t>
            </w:r>
          </w:p>
        </w:tc>
        <w:tc>
          <w:tcPr>
            <w:tcW w:type="dxa" w:w="3946"/>
            <w:tcBorders>
              <w:top w:val="none" w:color="FFFFFF" w:sz="0"/>
              <w:left w:val="none" w:color="FFFFFF" w:sz="0"/>
              <w:bottom w:val="none" w:color="FFFFFF" w:sz="0"/>
              <w:right w:val="none" w:color="FFFFFF" w:sz="0"/>
            </w:tcBorders>
            <w:shd w:fill="F9F9F1" w:color="auto" w:val="clear"/>
            <w:tcMar>
              <w:top w:type="dxa" w:w="240"/>
              <w:left w:type="dxa" w:w="240"/>
              <w:bottom w:type="dxa" w:w="240"/>
              <w:right w:type="dxa" w:w="240"/>
            </w:tcMar>
          </w:tcPr>
          <w:p>
            <w:pPr>
              <w:keepNext/>
              <w:keepLines/>
              <w:pBdr>
                <w:bottom w:val="single" w:color="1B3F64" w:sz="6" w:space="1"/>
              </w:pBdr>
              <w:spacing w:after="75" w:before="0" w:line="320" w:lineRule="exact"/>
            </w:pPr>
            <w:r>
              <w:rPr>
                <w:rFonts w:ascii="IBM Plex Sans" w:cs="IBM Plex Sans" w:eastAsia="IBM Plex Sans" w:hAnsi="IBM Plex Sans"/>
                <w:b w:val="false"/>
                <w:bCs w:val="false"/>
                <w:caps w:val="false"/>
                <w:color w:val="1B3F64"/>
                <w:sz w:val="26"/>
                <w:szCs w:val="26"/>
              </w:rPr>
              <w:t xml:space="preserve">Investorenargument</w:t>
            </w:r>
          </w:p>
          <w:p>
            <w:pPr>
              <w:keepNext/>
              <w:keepLines/>
              <w:spacing w:after="15" w:before="105" w:line="240" w:lineRule="exact"/>
            </w:pPr>
            <w:r>
              <w:rPr>
                <w:rFonts w:ascii="Arial" w:cs="Arial" w:eastAsia="Arial" w:hAnsi="Arial"/>
                <w:b/>
                <w:bCs/>
                <w:caps w:val="false"/>
                <w:color w:val="1B3F64"/>
                <w:sz w:val="18"/>
                <w:szCs w:val="18"/>
              </w:rPr>
              <w:t xml:space="preserve">Renovierte Erdgeschosswohnung</w:t>
            </w:r>
          </w:p>
          <w:p>
            <w:pPr>
              <w:keepLines/>
              <w:spacing w:after="0" w:before="0" w:line="250" w:lineRule="exact"/>
            </w:pPr>
            <w:r>
              <w:rPr>
                <w:rFonts w:ascii="Arial" w:cs="Arial" w:eastAsia="Arial" w:hAnsi="Arial"/>
                <w:b w:val="false"/>
                <w:bCs w:val="false"/>
                <w:caps w:val="false"/>
                <w:color w:val="231F20"/>
                <w:sz w:val="18"/>
                <w:szCs w:val="18"/>
              </w:rPr>
              <w:t xml:space="preserve">2020 komplett renoviert, mit Echtholzparkett, Waschturm in der Wohnung und privatem Gartensitzplatz; die Wohnung ist vermietet.</w:t>
            </w:r>
          </w:p>
          <w:p>
            <w:pPr>
              <w:keepNext/>
              <w:keepLines/>
              <w:spacing w:after="15" w:before="105" w:line="240" w:lineRule="exact"/>
            </w:pPr>
            <w:r>
              <w:rPr>
                <w:rFonts w:ascii="Arial" w:cs="Arial" w:eastAsia="Arial" w:hAnsi="Arial"/>
                <w:b/>
                <w:bCs/>
                <w:caps w:val="false"/>
                <w:color w:val="1B3F64"/>
                <w:sz w:val="18"/>
                <w:szCs w:val="18"/>
              </w:rPr>
              <w:t xml:space="preserve">Mietzinspotenzial im Obergeschoss</w:t>
            </w:r>
          </w:p>
          <w:p>
            <w:pPr>
              <w:keepLines/>
              <w:spacing w:after="0" w:before="0" w:line="250" w:lineRule="exact"/>
            </w:pPr>
            <w:r>
              <w:rPr>
                <w:rFonts w:ascii="Arial" w:cs="Arial" w:eastAsia="Arial" w:hAnsi="Arial"/>
                <w:b w:val="false"/>
                <w:bCs w:val="false"/>
                <w:caps w:val="false"/>
                <w:color w:val="231F20"/>
                <w:sz w:val="18"/>
                <w:szCs w:val="18"/>
              </w:rPr>
              <w:t xml:space="preserve">Die Wohnung im 1. Obergeschoss ist in solidem und gepflegtem Zustand; eine gezielte Sanierung nach Mieterwechsel ermöglicht eine Mietzinsoptimierung.</w:t>
            </w:r>
          </w:p>
          <w:p>
            <w:pPr>
              <w:keepNext/>
              <w:keepLines/>
              <w:spacing w:after="15" w:before="105" w:line="240" w:lineRule="exact"/>
            </w:pPr>
            <w:r>
              <w:rPr>
                <w:rFonts w:ascii="Arial" w:cs="Arial" w:eastAsia="Arial" w:hAnsi="Arial"/>
                <w:b/>
                <w:bCs/>
                <w:caps w:val="false"/>
                <w:color w:val="1B3F64"/>
                <w:sz w:val="18"/>
                <w:szCs w:val="18"/>
              </w:rPr>
              <w:t xml:space="preserve">Wohnlage mit ÖV-Anschluss</w:t>
            </w:r>
          </w:p>
          <w:p>
            <w:pPr>
              <w:keepLines/>
              <w:spacing w:after="0" w:before="0" w:line="250" w:lineRule="exact"/>
            </w:pPr>
            <w:r>
              <w:rPr>
                <w:rFonts w:ascii="Arial" w:cs="Arial" w:eastAsia="Arial" w:hAnsi="Arial"/>
                <w:b w:val="false"/>
                <w:bCs w:val="false"/>
                <w:caps w:val="false"/>
                <w:color w:val="231F20"/>
                <w:sz w:val="18"/>
                <w:szCs w:val="18"/>
              </w:rPr>
              <w:t xml:space="preserve">Ruhige Wohnlage im Dorfgebiet, Schule und Bushaltestelle zu Fuss erreichbar; S-Bahn Richtung Basel via Laufen, Autobahn A18 in rund 15 Minuten.</w:t>
            </w:r>
          </w:p>
          <w:p>
            <w:pPr>
              <w:keepNext/>
              <w:keepLines/>
              <w:spacing w:after="15" w:before="105" w:line="240" w:lineRule="exact"/>
            </w:pPr>
            <w:r>
              <w:rPr>
                <w:rFonts w:ascii="Arial" w:cs="Arial" w:eastAsia="Arial" w:hAnsi="Arial"/>
                <w:b/>
                <w:bCs/>
                <w:caps w:val="false"/>
                <w:color w:val="1B3F64"/>
                <w:sz w:val="18"/>
                <w:szCs w:val="18"/>
              </w:rPr>
              <w:t xml:space="preserve">Vier Parkplätze, keine Grundlasten</w:t>
            </w:r>
          </w:p>
          <w:p>
            <w:pPr>
              <w:keepLines/>
              <w:spacing w:after="0" w:before="0" w:line="250" w:lineRule="exact"/>
            </w:pPr>
            <w:r>
              <w:rPr>
                <w:rFonts w:ascii="Arial" w:cs="Arial" w:eastAsia="Arial" w:hAnsi="Arial"/>
                <w:b w:val="false"/>
                <w:bCs w:val="false"/>
                <w:caps w:val="false"/>
                <w:color w:val="231F20"/>
                <w:sz w:val="18"/>
                <w:szCs w:val="18"/>
              </w:rPr>
              <w:t xml:space="preserve">Zwei gedeckte und zwei Aussenparkplätze; auf dem Grundstück lasten keine Grundlasten.</w:t>
            </w:r>
          </w:p>
          <w:p>
            <w:pPr>
              <w:keepNext/>
              <w:keepLines/>
              <w:spacing w:after="45" w:before="210" w:line="280" w:lineRule="exact"/>
            </w:pPr>
            <w:r>
              <w:rPr>
                <w:rFonts w:ascii="IBM Plex Sans" w:cs="IBM Plex Sans" w:eastAsia="IBM Plex Sans" w:hAnsi="IBM Plex Sans"/>
                <w:b w:val="false"/>
                <w:bCs w:val="false"/>
                <w:caps w:val="false"/>
                <w:color w:val="1B3F64"/>
                <w:sz w:val="22"/>
                <w:szCs w:val="22"/>
              </w:rPr>
              <w:t xml:space="preserve">Ansprechpartner</w:t>
            </w:r>
          </w:p>
          <w:p>
            <w:pPr>
              <w:keepNext/>
              <w:spacing w:after="0" w:before="0" w:line="230" w:lineRule="exact"/>
            </w:pPr>
            <w:r>
              <w:rPr>
                <w:rFonts w:ascii="Arial" w:cs="Arial" w:eastAsia="Arial" w:hAnsi="Arial"/>
                <w:b/>
                <w:bCs/>
                <w:caps w:val="false"/>
                <w:color w:val="1B3F64"/>
                <w:sz w:val="17"/>
                <w:szCs w:val="17"/>
              </w:rPr>
              <w:t xml:space="preserve">Patrick Moren</w:t>
            </w:r>
          </w:p>
          <w:p>
            <w:pPr>
              <w:keepNext/>
              <w:spacing w:after="0" w:before="0" w:line="230" w:lineRule="exact"/>
            </w:pPr>
            <w:r>
              <w:rPr>
                <w:rFonts w:ascii="Arial" w:cs="Arial" w:eastAsia="Arial" w:hAnsi="Arial"/>
                <w:b w:val="false"/>
                <w:bCs w:val="false"/>
                <w:caps w:val="false"/>
                <w:color w:val="231F20"/>
                <w:sz w:val="17"/>
                <w:szCs w:val="17"/>
              </w:rPr>
              <w:t xml:space="preserve">Teamleiter Bewirtschaftung</w:t>
            </w:r>
          </w:p>
          <w:p>
            <w:pPr>
              <w:keepNext/>
              <w:spacing w:after="0" w:before="0" w:line="230" w:lineRule="exact"/>
            </w:pPr>
            <w:r>
              <w:rPr>
                <w:rFonts w:ascii="Arial" w:cs="Arial" w:eastAsia="Arial" w:hAnsi="Arial"/>
                <w:b w:val="false"/>
                <w:bCs w:val="false"/>
                <w:caps w:val="false"/>
                <w:color w:val="231F20"/>
                <w:sz w:val="17"/>
                <w:szCs w:val="17"/>
              </w:rPr>
              <w:t xml:space="preserve">+41 61 225 20 40</w:t>
            </w:r>
          </w:p>
          <w:p>
            <w:pPr>
              <w:keepNext w:val="false"/>
              <w:spacing w:after="0" w:before="0" w:line="230" w:lineRule="exact"/>
            </w:pPr>
            <w:r>
              <w:rPr>
                <w:rFonts w:ascii="Arial" w:cs="Arial" w:eastAsia="Arial" w:hAnsi="Arial"/>
                <w:b w:val="false"/>
                <w:bCs w:val="false"/>
                <w:caps w:val="false"/>
                <w:color w:val="231F20"/>
                <w:sz w:val="17"/>
                <w:szCs w:val="17"/>
              </w:rPr>
              <w:t xml:space="preserve">p.moren@schaeppi.ch</w:t>
            </w:r>
          </w:p>
        </w:tc>
      </w:tr>
    </w:tbl>
    <w:p>
      <w:pPr>
        <w:keepNext/>
        <w:keepLines/>
        <w:pageBreakBefore/>
        <w:pBdr>
          <w:bottom w:val="single" w:color="1B3F64" w:sz="6" w:space="1"/>
        </w:pBdr>
        <w:spacing w:after="100" w:before="0" w:line="320" w:lineRule="exact"/>
      </w:pPr>
      <w:r>
        <w:rPr>
          <w:rFonts w:ascii="IBM Plex Sans" w:cs="IBM Plex Sans" w:eastAsia="IBM Plex Sans" w:hAnsi="IBM Plex Sans"/>
          <w:b w:val="false"/>
          <w:bCs w:val="false"/>
          <w:caps w:val="false"/>
          <w:color w:val="1B3F64"/>
          <w:sz w:val="26"/>
          <w:szCs w:val="26"/>
        </w:rPr>
        <w:t xml:space="preserve">Facts &amp; Figures</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8"/>
        <w:gridCol w:w="6808"/>
      </w:tblGrid>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Adresse</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Neumattstrasse 15, 4227 Büsserach</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Objektart</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Zweifamilienhaus</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Grundstücksnummer</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1904</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Grundstücksfläche</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490 m²</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Einheiten</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1 × 4.5-Zimmer-Wohnung (Erdgeschoss, ca. 100 m²)</w:t>
            </w:r>
            <w:r>
              <w:rPr>
                <w:rFonts w:ascii="Arial" w:cs="Arial" w:eastAsia="Arial" w:hAnsi="Arial"/>
                <w:b w:val="false"/>
                <w:bCs w:val="false"/>
                <w:caps w:val="false"/>
                <w:color w:val="231F20"/>
                <w:sz w:val="17"/>
                <w:szCs w:val="17"/>
              </w:rPr>
              <w:br/>
              <w:t xml:space="preserve">1 × 4.5-Zimmer-Wohnung (1. Obergeschoss, ca. 100 m²)</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Parkierung</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2 Einstellplätze / gedeckte Parkplätze, 2 Aussenparkplätze</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Zustand</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Wohnung Erdgeschoss 2020 komplett renoviert; Wohnung 1. Obergeschoss in solidem und gepflegtem Zustand</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Wärmeerzeugung</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Ölheizung (2001)</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Grundlasten / Dienstbarkeiten</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Keine</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Verfügbar ab</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Nach Vereinbarung</w:t>
            </w:r>
          </w:p>
        </w:tc>
      </w:tr>
    </w:tbl>
    <w:p>
      <w:pPr>
        <w:keepNext/>
        <w:keepLines/>
        <w:pBdr>
          <w:bottom w:val="single" w:color="1B3F64" w:sz="6" w:space="1"/>
        </w:pBdr>
        <w:spacing w:after="100" w:before="240" w:line="320" w:lineRule="exact"/>
      </w:pPr>
      <w:r>
        <w:rPr>
          <w:rFonts w:ascii="IBM Plex Sans" w:cs="IBM Plex Sans" w:eastAsia="IBM Plex Sans" w:hAnsi="IBM Plex Sans"/>
          <w:b w:val="false"/>
          <w:bCs w:val="false"/>
          <w:caps w:val="false"/>
          <w:color w:val="1B3F64"/>
          <w:sz w:val="26"/>
          <w:szCs w:val="26"/>
        </w:rPr>
        <w:t xml:space="preserve">Einheiten</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79"/>
        <w:gridCol w:w="1806"/>
        <w:gridCol w:w="1390"/>
        <w:gridCol w:w="3891"/>
      </w:tblGrid>
      <w:tr>
        <w:trPr>
          <w:cantSplit/>
          <w:tblHeader/>
        </w:trPr>
        <w:tc>
          <w:tcPr>
            <w:tcW w:type="dxa" w:w="2779"/>
            <w:tcBorders>
              <w:top w:val="none" w:color="FFFFFF" w:sz="0"/>
              <w:left w:val="none" w:color="FFFFFF" w:sz="0"/>
              <w:bottom w:val="none" w:color="FFFFFF" w:sz="0"/>
              <w:right w:val="none" w:color="FFFFFF" w:sz="0"/>
            </w:tcBorders>
            <w:shd w:fill="1B3F64" w:color="auto" w:val="clear"/>
            <w:tcMar>
              <w:top w:type="dxa" w:w="50"/>
              <w:left w:type="dxa" w:w="80"/>
              <w:bottom w:type="dxa" w:w="50"/>
              <w:right w:type="dxa" w:w="80"/>
            </w:tcMar>
          </w:tcPr>
          <w:p>
            <w:pPr>
              <w:keepLines/>
              <w:spacing w:after="0" w:before="0" w:line="220" w:lineRule="exact"/>
            </w:pPr>
            <w:r>
              <w:rPr>
                <w:rFonts w:ascii="Arial" w:cs="Arial" w:eastAsia="Arial" w:hAnsi="Arial"/>
                <w:b/>
                <w:bCs/>
                <w:caps w:val="false"/>
                <w:color w:val="FFFFFF"/>
                <w:sz w:val="16"/>
                <w:szCs w:val="16"/>
              </w:rPr>
              <w:t xml:space="preserve">Einheit</w:t>
            </w:r>
          </w:p>
        </w:tc>
        <w:tc>
          <w:tcPr>
            <w:tcW w:type="dxa" w:w="1806"/>
            <w:tcBorders>
              <w:top w:val="none" w:color="FFFFFF" w:sz="0"/>
              <w:left w:val="none" w:color="FFFFFF" w:sz="0"/>
              <w:bottom w:val="none" w:color="FFFFFF" w:sz="0"/>
              <w:right w:val="none" w:color="FFFFFF" w:sz="0"/>
            </w:tcBorders>
            <w:shd w:fill="1B3F64" w:color="auto" w:val="clear"/>
            <w:tcMar>
              <w:top w:type="dxa" w:w="50"/>
              <w:left w:type="dxa" w:w="80"/>
              <w:bottom w:type="dxa" w:w="50"/>
              <w:right w:type="dxa" w:w="80"/>
            </w:tcMar>
          </w:tcPr>
          <w:p>
            <w:pPr>
              <w:keepLines/>
              <w:spacing w:after="0" w:before="0" w:line="220" w:lineRule="exact"/>
            </w:pPr>
            <w:r>
              <w:rPr>
                <w:rFonts w:ascii="Arial" w:cs="Arial" w:eastAsia="Arial" w:hAnsi="Arial"/>
                <w:b/>
                <w:bCs/>
                <w:caps w:val="false"/>
                <w:color w:val="FFFFFF"/>
                <w:sz w:val="16"/>
                <w:szCs w:val="16"/>
              </w:rPr>
              <w:t xml:space="preserve">Geschoss</w:t>
            </w:r>
          </w:p>
        </w:tc>
        <w:tc>
          <w:tcPr>
            <w:tcW w:type="dxa" w:w="1390"/>
            <w:tcBorders>
              <w:top w:val="none" w:color="FFFFFF" w:sz="0"/>
              <w:left w:val="none" w:color="FFFFFF" w:sz="0"/>
              <w:bottom w:val="none" w:color="FFFFFF" w:sz="0"/>
              <w:right w:val="none" w:color="FFFFFF" w:sz="0"/>
            </w:tcBorders>
            <w:shd w:fill="1B3F64" w:color="auto" w:val="clear"/>
            <w:tcMar>
              <w:top w:type="dxa" w:w="50"/>
              <w:left w:type="dxa" w:w="80"/>
              <w:bottom w:type="dxa" w:w="50"/>
              <w:right w:type="dxa" w:w="80"/>
            </w:tcMar>
          </w:tcPr>
          <w:p>
            <w:pPr>
              <w:keepLines/>
              <w:spacing w:after="0" w:before="0" w:line="220" w:lineRule="exact"/>
            </w:pPr>
            <w:r>
              <w:rPr>
                <w:rFonts w:ascii="Arial" w:cs="Arial" w:eastAsia="Arial" w:hAnsi="Arial"/>
                <w:b/>
                <w:bCs/>
                <w:caps w:val="false"/>
                <w:color w:val="FFFFFF"/>
                <w:sz w:val="16"/>
                <w:szCs w:val="16"/>
              </w:rPr>
              <w:t xml:space="preserve">Fläche</w:t>
            </w:r>
          </w:p>
        </w:tc>
        <w:tc>
          <w:tcPr>
            <w:tcW w:type="dxa" w:w="3891"/>
            <w:tcBorders>
              <w:top w:val="none" w:color="FFFFFF" w:sz="0"/>
              <w:left w:val="none" w:color="FFFFFF" w:sz="0"/>
              <w:bottom w:val="none" w:color="FFFFFF" w:sz="0"/>
              <w:right w:val="none" w:color="FFFFFF" w:sz="0"/>
            </w:tcBorders>
            <w:shd w:fill="1B3F64" w:color="auto" w:val="clear"/>
            <w:tcMar>
              <w:top w:type="dxa" w:w="50"/>
              <w:left w:type="dxa" w:w="80"/>
              <w:bottom w:type="dxa" w:w="50"/>
              <w:right w:type="dxa" w:w="80"/>
            </w:tcMar>
          </w:tcPr>
          <w:p>
            <w:pPr>
              <w:keepLines/>
              <w:spacing w:after="0" w:before="0" w:line="220" w:lineRule="exact"/>
            </w:pPr>
            <w:r>
              <w:rPr>
                <w:rFonts w:ascii="Arial" w:cs="Arial" w:eastAsia="Arial" w:hAnsi="Arial"/>
                <w:b/>
                <w:bCs/>
                <w:caps w:val="false"/>
                <w:color w:val="FFFFFF"/>
                <w:sz w:val="16"/>
                <w:szCs w:val="16"/>
              </w:rPr>
              <w:t xml:space="preserve">Merkmale</w:t>
            </w:r>
          </w:p>
        </w:tc>
      </w:tr>
      <w:tr>
        <w:trPr>
          <w:cantSplit/>
        </w:trPr>
        <w:tc>
          <w:tcPr>
            <w:tcW w:type="dxa" w:w="2779"/>
            <w:tcBorders>
              <w:top w:val="none" w:color="FFFFFF" w:sz="0"/>
              <w:left w:val="none" w:color="FFFFFF" w:sz="0"/>
              <w:bottom w:val="single" w:color="D8D6CB" w:sz="4"/>
              <w:right w:val="none" w:color="FFFFFF" w:sz="0"/>
            </w:tcBorders>
            <w:tcMar>
              <w:top w:type="dxa" w:w="50"/>
              <w:left w:type="dxa" w:w="80"/>
              <w:bottom w:type="dxa" w:w="5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4.5-Zimmer-Wohnung</w:t>
            </w:r>
          </w:p>
        </w:tc>
        <w:tc>
          <w:tcPr>
            <w:tcW w:type="dxa" w:w="1806"/>
            <w:tcBorders>
              <w:top w:val="none" w:color="FFFFFF" w:sz="0"/>
              <w:left w:val="none" w:color="FFFFFF" w:sz="0"/>
              <w:bottom w:val="single" w:color="D8D6CB" w:sz="4"/>
              <w:right w:val="none" w:color="FFFFFF" w:sz="0"/>
            </w:tcBorders>
            <w:tcMar>
              <w:top w:type="dxa" w:w="50"/>
              <w:left w:type="dxa" w:w="80"/>
              <w:bottom w:type="dxa" w:w="5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Erdgeschoss</w:t>
            </w:r>
          </w:p>
        </w:tc>
        <w:tc>
          <w:tcPr>
            <w:tcW w:type="dxa" w:w="1390"/>
            <w:tcBorders>
              <w:top w:val="none" w:color="FFFFFF" w:sz="0"/>
              <w:left w:val="none" w:color="FFFFFF" w:sz="0"/>
              <w:bottom w:val="single" w:color="D8D6CB" w:sz="4"/>
              <w:right w:val="none" w:color="FFFFFF" w:sz="0"/>
            </w:tcBorders>
            <w:tcMar>
              <w:top w:type="dxa" w:w="50"/>
              <w:left w:type="dxa" w:w="80"/>
              <w:bottom w:type="dxa" w:w="5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ca. 100 m²</w:t>
            </w:r>
          </w:p>
        </w:tc>
        <w:tc>
          <w:tcPr>
            <w:tcW w:type="dxa" w:w="3891"/>
            <w:tcBorders>
              <w:top w:val="none" w:color="FFFFFF" w:sz="0"/>
              <w:left w:val="none" w:color="FFFFFF" w:sz="0"/>
              <w:bottom w:val="single" w:color="D8D6CB" w:sz="4"/>
              <w:right w:val="none" w:color="FFFFFF" w:sz="0"/>
            </w:tcBorders>
            <w:tcMar>
              <w:top w:type="dxa" w:w="50"/>
              <w:left w:type="dxa" w:w="80"/>
              <w:bottom w:type="dxa" w:w="5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2020 komplett renoviert, Echtholzparkett, Waschturm, privater Gartensitzplatz, vermietet</w:t>
            </w:r>
          </w:p>
        </w:tc>
      </w:tr>
      <w:tr>
        <w:trPr>
          <w:cantSplit/>
        </w:trPr>
        <w:tc>
          <w:tcPr>
            <w:tcW w:type="dxa" w:w="2779"/>
            <w:tcBorders>
              <w:top w:val="none" w:color="FFFFFF" w:sz="0"/>
              <w:left w:val="none" w:color="FFFFFF" w:sz="0"/>
              <w:bottom w:val="single" w:color="D8D6CB" w:sz="4"/>
              <w:right w:val="none" w:color="FFFFFF" w:sz="0"/>
            </w:tcBorders>
            <w:shd w:fill="F9F9F1" w:color="auto" w:val="clear"/>
            <w:tcMar>
              <w:top w:type="dxa" w:w="50"/>
              <w:left w:type="dxa" w:w="80"/>
              <w:bottom w:type="dxa" w:w="5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4.5-Zimmer-Wohnung</w:t>
            </w:r>
          </w:p>
        </w:tc>
        <w:tc>
          <w:tcPr>
            <w:tcW w:type="dxa" w:w="1806"/>
            <w:tcBorders>
              <w:top w:val="none" w:color="FFFFFF" w:sz="0"/>
              <w:left w:val="none" w:color="FFFFFF" w:sz="0"/>
              <w:bottom w:val="single" w:color="D8D6CB" w:sz="4"/>
              <w:right w:val="none" w:color="FFFFFF" w:sz="0"/>
            </w:tcBorders>
            <w:shd w:fill="F9F9F1" w:color="auto" w:val="clear"/>
            <w:tcMar>
              <w:top w:type="dxa" w:w="50"/>
              <w:left w:type="dxa" w:w="80"/>
              <w:bottom w:type="dxa" w:w="5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1. Obergeschoss</w:t>
            </w:r>
          </w:p>
        </w:tc>
        <w:tc>
          <w:tcPr>
            <w:tcW w:type="dxa" w:w="1390"/>
            <w:tcBorders>
              <w:top w:val="none" w:color="FFFFFF" w:sz="0"/>
              <w:left w:val="none" w:color="FFFFFF" w:sz="0"/>
              <w:bottom w:val="single" w:color="D8D6CB" w:sz="4"/>
              <w:right w:val="none" w:color="FFFFFF" w:sz="0"/>
            </w:tcBorders>
            <w:shd w:fill="F9F9F1" w:color="auto" w:val="clear"/>
            <w:tcMar>
              <w:top w:type="dxa" w:w="50"/>
              <w:left w:type="dxa" w:w="80"/>
              <w:bottom w:type="dxa" w:w="5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ca. 100 m²</w:t>
            </w:r>
          </w:p>
        </w:tc>
        <w:tc>
          <w:tcPr>
            <w:tcW w:type="dxa" w:w="3891"/>
            <w:tcBorders>
              <w:top w:val="none" w:color="FFFFFF" w:sz="0"/>
              <w:left w:val="none" w:color="FFFFFF" w:sz="0"/>
              <w:bottom w:val="single" w:color="D8D6CB" w:sz="4"/>
              <w:right w:val="none" w:color="FFFFFF" w:sz="0"/>
            </w:tcBorders>
            <w:shd w:fill="F9F9F1" w:color="auto" w:val="clear"/>
            <w:tcMar>
              <w:top w:type="dxa" w:w="50"/>
              <w:left w:type="dxa" w:w="80"/>
              <w:bottom w:type="dxa" w:w="5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solider, gepflegter Zustand</w:t>
            </w:r>
          </w:p>
        </w:tc>
      </w:tr>
    </w:tbl>
    <w:p>
      <w:pPr>
        <w:keepNext/>
        <w:keepLines/>
        <w:pBdr>
          <w:bottom w:val="single" w:color="1B3F64" w:sz="6" w:space="1"/>
        </w:pBdr>
        <w:spacing w:after="100" w:before="240" w:line="320" w:lineRule="exact"/>
      </w:pPr>
      <w:r>
        <w:rPr>
          <w:rFonts w:ascii="IBM Plex Sans" w:cs="IBM Plex Sans" w:eastAsia="IBM Plex Sans" w:hAnsi="IBM Plex Sans"/>
          <w:b w:val="false"/>
          <w:bCs w:val="false"/>
          <w:caps w:val="false"/>
          <w:color w:val="1B3F64"/>
          <w:sz w:val="26"/>
          <w:szCs w:val="26"/>
        </w:rPr>
        <w:t xml:space="preserve">Erträge &amp; Kennzahlen</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8"/>
        <w:gridCol w:w="6808"/>
      </w:tblGrid>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Mietertrag IST netto p.a.</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CHF 42’600</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Nebenkosten</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CHF 3’000 p.a. (pauschal)</w:t>
            </w:r>
          </w:p>
        </w:tc>
      </w:tr>
      <w:tr>
        <w:trPr>
          <w:cantSplit/>
        </w:trPr>
        <w:tc>
          <w:tcPr>
            <w:tcW w:type="dxa" w:w="305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585857"/>
                <w:sz w:val="17"/>
                <w:szCs w:val="17"/>
              </w:rPr>
              <w:t xml:space="preserve">Verkaufsrichtpreis</w:t>
            </w:r>
          </w:p>
        </w:tc>
        <w:tc>
          <w:tcPr>
            <w:tcW w:type="dxa" w:w="6808"/>
            <w:tcBorders>
              <w:top w:val="none" w:color="FFFFFF" w:sz="0"/>
              <w:left w:val="none" w:color="FFFFFF" w:sz="0"/>
              <w:bottom w:val="single" w:color="D8D6CB" w:sz="4"/>
              <w:right w:val="none" w:color="FFFFFF" w:sz="0"/>
            </w:tcBorders>
            <w:tcMar>
              <w:top w:type="dxa" w:w="60"/>
              <w:left w:type="dxa" w:w="80"/>
              <w:bottom w:type="dxa" w:w="6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CHF 995’000</w:t>
            </w:r>
          </w:p>
        </w:tc>
      </w:tr>
    </w:tbl>
    <w:p>
      <w:pPr>
        <w:keepNext/>
        <w:keepLines/>
        <w:pBdr>
          <w:bottom w:val="single" w:color="1B3F64" w:sz="6" w:space="1"/>
        </w:pBdr>
        <w:spacing w:after="100" w:before="240" w:line="320" w:lineRule="exact"/>
      </w:pPr>
      <w:r>
        <w:rPr>
          <w:rFonts w:ascii="IBM Plex Sans" w:cs="IBM Plex Sans" w:eastAsia="IBM Plex Sans" w:hAnsi="IBM Plex Sans"/>
          <w:b w:val="false"/>
          <w:bCs w:val="false"/>
          <w:caps w:val="false"/>
          <w:color w:val="1B3F64"/>
          <w:sz w:val="26"/>
          <w:szCs w:val="26"/>
        </w:rPr>
        <w:t xml:space="preserve">Investitionen</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81"/>
        <w:gridCol w:w="8485"/>
      </w:tblGrid>
      <w:tr>
        <w:trPr>
          <w:cantSplit/>
          <w:tblHeader/>
        </w:trPr>
        <w:tc>
          <w:tcPr>
            <w:tcW w:type="dxa" w:w="1381"/>
            <w:tcBorders>
              <w:top w:val="none" w:color="FFFFFF" w:sz="0"/>
              <w:left w:val="none" w:color="FFFFFF" w:sz="0"/>
              <w:bottom w:val="none" w:color="FFFFFF" w:sz="0"/>
              <w:right w:val="none" w:color="FFFFFF" w:sz="0"/>
            </w:tcBorders>
            <w:shd w:fill="1B3F64" w:color="auto" w:val="clear"/>
            <w:tcMar>
              <w:top w:type="dxa" w:w="50"/>
              <w:left w:type="dxa" w:w="80"/>
              <w:bottom w:type="dxa" w:w="50"/>
              <w:right w:type="dxa" w:w="80"/>
            </w:tcMar>
          </w:tcPr>
          <w:p>
            <w:pPr>
              <w:keepLines/>
              <w:spacing w:after="0" w:before="0" w:line="220" w:lineRule="exact"/>
            </w:pPr>
            <w:r>
              <w:rPr>
                <w:rFonts w:ascii="Arial" w:cs="Arial" w:eastAsia="Arial" w:hAnsi="Arial"/>
                <w:b/>
                <w:bCs/>
                <w:caps w:val="false"/>
                <w:color w:val="FFFFFF"/>
                <w:sz w:val="16"/>
                <w:szCs w:val="16"/>
              </w:rPr>
              <w:t xml:space="preserve">Jahr</w:t>
            </w:r>
          </w:p>
        </w:tc>
        <w:tc>
          <w:tcPr>
            <w:tcW w:type="dxa" w:w="8485"/>
            <w:tcBorders>
              <w:top w:val="none" w:color="FFFFFF" w:sz="0"/>
              <w:left w:val="none" w:color="FFFFFF" w:sz="0"/>
              <w:bottom w:val="none" w:color="FFFFFF" w:sz="0"/>
              <w:right w:val="none" w:color="FFFFFF" w:sz="0"/>
            </w:tcBorders>
            <w:shd w:fill="1B3F64" w:color="auto" w:val="clear"/>
            <w:tcMar>
              <w:top w:type="dxa" w:w="50"/>
              <w:left w:type="dxa" w:w="80"/>
              <w:bottom w:type="dxa" w:w="50"/>
              <w:right w:type="dxa" w:w="80"/>
            </w:tcMar>
          </w:tcPr>
          <w:p>
            <w:pPr>
              <w:keepLines/>
              <w:spacing w:after="0" w:before="0" w:line="220" w:lineRule="exact"/>
            </w:pPr>
            <w:r>
              <w:rPr>
                <w:rFonts w:ascii="Arial" w:cs="Arial" w:eastAsia="Arial" w:hAnsi="Arial"/>
                <w:b/>
                <w:bCs/>
                <w:caps w:val="false"/>
                <w:color w:val="FFFFFF"/>
                <w:sz w:val="16"/>
                <w:szCs w:val="16"/>
              </w:rPr>
              <w:t xml:space="preserve">Massnahme</w:t>
            </w:r>
          </w:p>
        </w:tc>
      </w:tr>
      <w:tr>
        <w:trPr>
          <w:cantSplit/>
        </w:trPr>
        <w:tc>
          <w:tcPr>
            <w:tcW w:type="dxa" w:w="1381"/>
            <w:tcBorders>
              <w:top w:val="none" w:color="FFFFFF" w:sz="0"/>
              <w:left w:val="none" w:color="FFFFFF" w:sz="0"/>
              <w:bottom w:val="single" w:color="D8D6CB" w:sz="4"/>
              <w:right w:val="none" w:color="FFFFFF" w:sz="0"/>
            </w:tcBorders>
            <w:tcMar>
              <w:top w:type="dxa" w:w="50"/>
              <w:left w:type="dxa" w:w="80"/>
              <w:bottom w:type="dxa" w:w="5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2020</w:t>
            </w:r>
          </w:p>
        </w:tc>
        <w:tc>
          <w:tcPr>
            <w:tcW w:type="dxa" w:w="8485"/>
            <w:tcBorders>
              <w:top w:val="none" w:color="FFFFFF" w:sz="0"/>
              <w:left w:val="none" w:color="FFFFFF" w:sz="0"/>
              <w:bottom w:val="single" w:color="D8D6CB" w:sz="4"/>
              <w:right w:val="none" w:color="FFFFFF" w:sz="0"/>
            </w:tcBorders>
            <w:tcMar>
              <w:top w:type="dxa" w:w="50"/>
              <w:left w:type="dxa" w:w="80"/>
              <w:bottom w:type="dxa" w:w="50"/>
              <w:right w:type="dxa" w:w="80"/>
            </w:tcMar>
          </w:tcPr>
          <w:p>
            <w:pPr>
              <w:keepLines/>
              <w:spacing w:after="0" w:before="0" w:line="230" w:lineRule="exact"/>
            </w:pPr>
            <w:r>
              <w:rPr>
                <w:rFonts w:ascii="Arial" w:cs="Arial" w:eastAsia="Arial" w:hAnsi="Arial"/>
                <w:b w:val="false"/>
                <w:bCs w:val="false"/>
                <w:caps w:val="false"/>
                <w:color w:val="231F20"/>
                <w:sz w:val="17"/>
                <w:szCs w:val="17"/>
              </w:rPr>
              <w:t xml:space="preserve">Komplettrenovation 4.5-Zimmer-Wohnung Erdgeschoss</w:t>
            </w:r>
          </w:p>
        </w:tc>
      </w:tr>
    </w:tbl>
    <w:p>
      <w:pPr>
        <w:spacing w:after="0" w:before="0" w:line="120" w:lineRule="exact"/>
      </w:pPr>
      <w:r>
        <w:rPr>
          <w:sz w:val="2"/>
          <w:szCs w:val="2"/>
        </w:rPr>
        <w:t xml:space="preserve"/>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53"/>
        <w:gridCol w:w="4813"/>
      </w:tblGrid>
      <w:tr>
        <w:tc>
          <w:tcPr>
            <w:tcW w:type="dxa" w:w="5053"/>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0" w:before="0"/>
            </w:pPr>
            <w:r>
              <w:drawing>
                <wp:inline distT="0" distB="0" distL="0" distR="0">
                  <wp:extent cx="3057525" cy="1905000"/>
                  <wp:effectExtent t="0" r="0" b="0" l="0"/>
                  <wp:docPr id="2" name="Objektfoto" descr="Objektfoto" title="Obje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l="0" t="5911" r="0" b="5911"/>
                          <a:stretch>
                            <a:fillRect/>
                          </a:stretch>
                        </pic:blipFill>
                        <pic:spPr bwMode="auto">
                          <a:xfrm>
                            <a:off x="0" y="0"/>
                            <a:ext cx="3057525" cy="1905000"/>
                          </a:xfrm>
                          <a:prstGeom prst="rect">
                            <a:avLst/>
                          </a:prstGeom>
                        </pic:spPr>
                      </pic:pic>
                    </a:graphicData>
                  </a:graphic>
                </wp:inline>
              </w:drawing>
            </w:r>
          </w:p>
          <w:p>
            <w:pPr>
              <w:keepLines/>
              <w:spacing w:after="0" w:before="40" w:line="200" w:lineRule="exact"/>
            </w:pPr>
            <w:r>
              <w:rPr>
                <w:rFonts w:ascii="Arial" w:cs="Arial" w:eastAsia="Arial" w:hAnsi="Arial"/>
                <w:b w:val="false"/>
                <w:bCs w:val="false"/>
                <w:caps w:val="false"/>
                <w:color w:val="585857"/>
                <w:sz w:val="15"/>
                <w:szCs w:val="15"/>
              </w:rPr>
              <w:t xml:space="preserve">Objekt</w:t>
            </w:r>
          </w:p>
        </w:tc>
        <w:tc>
          <w:tcPr>
            <w:tcW w:type="dxa" w:w="4813"/>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drawing>
                <wp:inline distT="0" distB="0" distL="0" distR="0">
                  <wp:extent cx="3057525" cy="1905000"/>
                  <wp:effectExtent t="0" r="0" b="0" l="0"/>
                  <wp:docPr id="3" name="Lagefoto" descr="Lagefoto" title="Lage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l="0" t="22457" r="0" b="22457"/>
                          <a:stretch>
                            <a:fillRect/>
                          </a:stretch>
                        </pic:blipFill>
                        <pic:spPr bwMode="auto">
                          <a:xfrm>
                            <a:off x="0" y="0"/>
                            <a:ext cx="3057525" cy="1905000"/>
                          </a:xfrm>
                          <a:prstGeom prst="rect">
                            <a:avLst/>
                          </a:prstGeom>
                        </pic:spPr>
                      </pic:pic>
                    </a:graphicData>
                  </a:graphic>
                </wp:inline>
              </w:drawing>
            </w:r>
          </w:p>
          <w:p>
            <w:pPr>
              <w:keepLines/>
              <w:spacing w:after="0" w:before="40" w:line="200" w:lineRule="exact"/>
            </w:pPr>
            <w:r>
              <w:rPr>
                <w:rFonts w:ascii="Arial" w:cs="Arial" w:eastAsia="Arial" w:hAnsi="Arial"/>
                <w:b w:val="false"/>
                <w:bCs w:val="false"/>
                <w:caps w:val="false"/>
                <w:color w:val="585857"/>
                <w:sz w:val="15"/>
                <w:szCs w:val="15"/>
              </w:rPr>
              <w:t xml:space="preserve">Lage</w:t>
            </w:r>
          </w:p>
        </w:tc>
      </w:tr>
    </w:tbl>
    <w:p>
      <w:pPr>
        <w:spacing w:after="0" w:before="0" w:line="200" w:lineRule="exact"/>
      </w:pPr>
      <w:r>
        <w:rPr>
          <w:sz w:val="2"/>
          <w:szCs w:val="2"/>
        </w:rPr>
        <w:t xml:space="preserve"/>
      </w:r>
    </w:p>
    <w:p>
      <w:pPr>
        <w:keepLines/>
        <w:spacing w:after="0" w:before="200" w:line="180" w:lineRule="exact"/>
      </w:pPr>
      <w:r>
        <w:rPr>
          <w:rFonts w:ascii="Arial" w:cs="Arial" w:eastAsia="Arial" w:hAnsi="Arial"/>
          <w:b w:val="false"/>
          <w:bCs w:val="false"/>
          <w:caps w:val="false"/>
          <w:color w:val="585857"/>
          <w:sz w:val="14"/>
          <w:szCs w:val="14"/>
        </w:rPr>
        <w:t xml:space="preserve">Allgemeine Angaben: Sämtliche Angaben in diesem Factsheet beruhen auf Informationen der Eigentümerschaft und Dritter und erfolgen ohne Gewähr. Sie stellen weder ein Angebot noch eine Zusicherung dar; massgebend sind ausschliesslich die Bestimmungen eines allfälligen Kaufvertrags. Zwischenverkauf, Preisänderungen und Irrtum bleiben vorbehalten. Das Dokument ist vertraulich und darf ohne Zustimmung der Schaeppi Grundstücke AG weder vervielfältigt noch an Dritte weitergegeben werden.</w:t>
      </w:r>
    </w:p>
    <w:sectPr>
      <w:headerReference w:type="default" r:id="rId6"/>
      <w:footerReference w:type="default" r:id="rId7"/>
      <w:pgSz w:w="11906" w:h="16838" w:orient="portrait"/>
      <w:pgMar w:top="1240" w:right="1020" w:bottom="1020" w:left="1020" w:header="56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BM Plex Sans">
    <w:charset w:val="00"/>
    <w:family w:val="auto"/>
    <w:pitch w:val="variable"/>
    <w:sig w:usb0="E0002AFF" w:usb1="C000247B" w:usb2="00000009" w:usb3="00000000" w:csb0="000001FF" w:csb1="00000000"/>
    <w:embedRegular r:id="rId1" w:fontKey="{89D7E041-B504-6D16-C8EF-0538FF6EB1D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SchaeppiFusszeile"/>
      <w:pBdr>
        <w:top w:val="single" w:color="D8D6CB" w:sz="4" w:space="6"/>
      </w:pBdr>
      <w:tabs>
        <w:tab w:val="right" w:pos="9866"/>
      </w:tabs>
      <w:spacing w:after="0" w:before="0" w:line="180" w:lineRule="exact"/>
    </w:pPr>
    <w:r>
      <w:rPr>
        <w:rFonts w:ascii="Arial" w:cs="Arial" w:eastAsia="Arial" w:hAnsi="Arial"/>
        <w:color w:val="585857"/>
        <w:sz w:val="14"/>
        <w:szCs w:val="14"/>
      </w:rPr>
      <w:t xml:space="preserve">Schaeppi Grundstücke AG  ·  Münchensteinerstrasse 117  ·  4053 Basel  ·  www.schaeppi.ch</w:t>
    </w:r>
    <w:r>
      <w:rPr>
        <w:rFonts w:ascii="Arial" w:cs="Arial" w:eastAsia="Arial" w:hAnsi="Arial"/>
        <w:color w:val="585857"/>
        <w:sz w:val="14"/>
        <w:szCs w:val="14"/>
      </w:rPr>
      <w:t xml:space="preserve">	Seite </w:t>
    </w:r>
    <w:r>
      <w:rPr>
        <w:rFonts w:ascii="Arial" w:cs="Arial" w:eastAsia="Arial" w:hAnsi="Arial"/>
        <w:color w:val="585857"/>
        <w:sz w:val="14"/>
        <w:szCs w:val="14"/>
      </w:rPr>
      <w:fldChar w:fldCharType="begin"/>
      <w:instrText xml:space="preserve">PAGE</w:instrText>
      <w:fldChar w:fldCharType="separate"/>
      <w:fldChar w:fldCharType="end"/>
    </w:r>
    <w:r>
      <w:rPr>
        <w:rFonts w:ascii="Arial" w:cs="Arial" w:eastAsia="Arial" w:hAnsi="Arial"/>
        <w:color w:val="585857"/>
        <w:sz w:val="14"/>
        <w:szCs w:val="14"/>
      </w:rPr>
      <w:t xml:space="preserve"> / </w:t>
    </w:r>
    <w:r>
      <w:rPr>
        <w:rFonts w:ascii="Arial" w:cs="Arial" w:eastAsia="Arial" w:hAnsi="Arial"/>
        <w:color w:val="58585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CB" w:sz="4" w:space="6"/>
      </w:pBdr>
      <w:tabs>
        <w:tab w:val="right" w:pos="9866"/>
      </w:tabs>
      <w:spacing w:after="0" w:before="0"/>
    </w:pPr>
    <w:r>
      <w:drawing>
        <wp:inline distT="0" distB="0" distL="0" distR="0">
          <wp:extent cx="1905000" cy="104775"/>
          <wp:effectExtent t="0" r="0" b="0" l="0"/>
          <wp:docPr id="4" name="Logo" descr="Schaeppi Grundstücke AG" title="Schaeppi Grundstücke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104775"/>
                  </a:xfrm>
                  <a:prstGeom prst="rect">
                    <a:avLst/>
                  </a:prstGeom>
                </pic:spPr>
              </pic:pic>
            </a:graphicData>
          </a:graphic>
        </wp:inline>
      </w:drawing>
    </w:r>
    <w:r>
      <w:t xml:space="preserve">	</w:t>
    </w:r>
    <w:r>
      <w:rPr>
        <w:rFonts w:ascii="Arial" w:cs="Arial" w:eastAsia="Arial" w:hAnsi="Arial"/>
        <w:b/>
        <w:bCs/>
        <w:caps/>
        <w:color w:val="1B3F64"/>
        <w:spacing w:val="30"/>
        <w:sz w:val="14"/>
        <w:szCs w:val="14"/>
      </w:rPr>
      <w:t xml:space="preserve">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1F20"/>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haeppiFusszeile">
    <w:name w:val="Schaeppi Fusszeile"/>
    <w:basedOn w:val="Normal"/>
    <w:qFormat w:val="false"/>
    <w:pPr>
      <w:spacing w:after="0" w:before="0"/>
    </w:pPr>
    <w:rPr>
      <w:rFonts w:ascii="Arial" w:cs="Arial" w:eastAsia="Arial" w:hAnsi="Arial"/>
      <w:color w:val="585857"/>
      <w:sz w:val="14"/>
      <w:szCs w:val="1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aff57e5d93e9a29c785bbe14e962069151482b4.jpg"/><Relationship Id="rId10" Type="http://schemas.openxmlformats.org/officeDocument/2006/relationships/image" Target="media/e1c8e9989041c4dd144e7887476dd0ef0319dae7.jpg"/><Relationship Id="rId11" Type="http://schemas.openxmlformats.org/officeDocument/2006/relationships/image" Target="media/b4d6638205738b54de8a32d799477c5f8bebd8a3.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80b4eda5d610047f61de0cccec5457af397bbf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 Zweifamilienhaus in Büsserach</dc:title>
  <dc:creator>Schaeppi Grundstücke AG</dc:creator>
  <dc:description>Neumattstrasse 15, 4227 Büsserach</dc:description>
  <cp:lastModifiedBy>Un-named</cp:lastModifiedBy>
  <cp:revision>1</cp:revision>
  <dcterms:created xsi:type="dcterms:W3CDTF">2026-09-30T14:15:35.415Z</dcterms:created>
  <dcterms:modified xsi:type="dcterms:W3CDTF">2026-09-30T14:15:35.415Z</dcterms:modified>
</cp:coreProperties>
</file>

<file path=docProps/custom.xml><?xml version="1.0" encoding="utf-8"?>
<Properties xmlns="http://schemas.openxmlformats.org/officeDocument/2006/custom-properties" xmlns:vt="http://schemas.openxmlformats.org/officeDocument/2006/docPropsVTypes"/>
</file>