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5C6E"/>
          <w:sz w:val="48"/>
          <w:szCs w:val="48"/>
        </w:rPr>
        <w:t xml:space="preserve">Audit und Falltests</w:t>
      </w:r>
    </w:p>
    <w:p>
      <w:pPr>
        <w:spacing w:after="60"/>
      </w:pPr>
      <w:r>
        <w:rPr>
          <w:color w:val="5A6B76"/>
          <w:sz w:val="30"/>
          <w:szCs w:val="30"/>
        </w:rPr>
        <w:t xml:space="preserve">Makler-Handbuch Hausverkauf Schweiz</w:t>
      </w:r>
    </w:p>
    <w:p>
      <w:pPr>
        <w:spacing w:after="240"/>
      </w:pPr>
      <w:r>
        <w:rPr>
          <w:color w:val="5A6B76"/>
          <w:sz w:val="24"/>
          <w:szCs w:val="24"/>
        </w:rPr>
        <w:t xml:space="preserve">Prüfung von Version 1 · Überarbeitung zu Version 2.0 · Zehn Falltests · Schlussaudit</w:t>
      </w:r>
    </w:p>
    <w:p>
      <w:pPr>
        <w:pBdr>
          <w:bottom w:val="single" w:color="C6D0D5" w:sz="6" w:space="8"/>
        </w:pBdr>
        <w:spacing w:after="320"/>
      </w:pPr>
      <w:r>
        <w:rPr>
          <w:color w:val="85939C"/>
          <w:sz w:val="19"/>
          <w:szCs w:val="19"/>
        </w:rPr>
        <w:t xml:space="preserve">Fassung vom 18. September 2026 · Begleitdokument zu Version 2.0</w:t>
      </w:r>
    </w:p>
    <w:tbl>
      <w:tblPr>
        <w:tblW w:type="dxa" w:w="9600"/>
        <w:tblBorders>
          <w:top w:val="single" w:color="0F5C6E" w:sz="4"/>
          <w:left w:val="single" w:color="0F5C6E" w:sz="18"/>
          <w:bottom w:val="single" w:color="0F5C6E" w:sz="4"/>
          <w:right w:val="single" w:color="0F5C6E" w:sz="4"/>
          <w:insideH w:val="none"/>
          <w:insideV w:val="none"/>
        </w:tblBorders>
      </w:tblPr>
      <w:tblGrid>
        <w:gridCol w:w="9600"/>
      </w:tblGrid>
      <w:tr>
        <w:tc>
          <w:tcPr>
            <w:tcW w:type="dxa" w:w="9600"/>
            <w:shd w:fill="EDF1F2" w:color="auto" w:val="clear"/>
            <w:tcMar>
              <w:top w:type="dxa" w:w="140"/>
              <w:left w:type="dxa" w:w="180"/>
              <w:bottom w:type="dxa" w:w="140"/>
              <w:right w:type="dxa" w:w="160"/>
            </w:tcMar>
          </w:tcPr>
          <w:p>
            <w:pPr>
              <w:spacing w:after="70"/>
            </w:pPr>
            <w:r>
              <w:rPr>
                <w:b/>
                <w:bCs/>
                <w:color w:val="0B4655"/>
                <w:sz w:val="19"/>
                <w:szCs w:val="19"/>
              </w:rPr>
              <w:t xml:space="preserve">Was dieses Dokument leistet</w:t>
            </w:r>
          </w:p>
          <w:p>
            <w:pPr>
              <w:spacing w:after="50"/>
            </w:pPr>
            <w:r>
              <w:rPr>
                <w:sz w:val="19"/>
                <w:szCs w:val="19"/>
              </w:rPr>
              <w:t xml:space="preserve">Es weist nach, was an Version 1 geprüft, was übernommen, was vertieft und was korrigiert wurde. Es ist die Begründung für Version 2.0 und macht die Überarbeitung überprüfbar.</w:t>
            </w:r>
          </w:p>
          <w:p>
            <w:pPr>
              <w:spacing w:after="50"/>
            </w:pPr>
            <w:r>
              <w:rPr>
                <w:sz w:val="19"/>
                <w:szCs w:val="19"/>
              </w:rPr>
              <w:t xml:space="preserve">Teil 1 bewertet 32 Abschnitte von Version 1 nach dem Schlüssel A bis F. Teil 2 führt die fünf kritischen Befunde mit je acht Feldern. Teil 3 listet die fünfzehn Lücken, Teil 4 die sechs Redundanzen.</w:t>
            </w:r>
          </w:p>
          <w:p>
            <w:pPr>
              <w:spacing w:after="50"/>
            </w:pPr>
            <w:r>
              <w:rPr>
                <w:sz w:val="19"/>
                <w:szCs w:val="19"/>
              </w:rPr>
              <w:t xml:space="preserve">Teil 5 führt zehn Verkaufsfälle durch das neue System. Drei Lücken, die dabei aufgedeckt wurden, sind in Version 2.0 geschlossen und in Teil 6 einzeln ausgewiesen.</w:t>
            </w:r>
          </w:p>
          <w:p>
            <w:pPr>
              <w:spacing w:after="50"/>
            </w:pPr>
            <w:r>
              <w:rPr>
                <w:sz w:val="19"/>
                <w:szCs w:val="19"/>
              </w:rPr>
              <w:t xml:space="preserve">Teil 7 ist das Schlussaudit über achtzehn Dimensionen, Teil 8 nennt die verbleibenden Risiken.</w:t>
            </w:r>
          </w:p>
        </w:tc>
      </w:tr>
    </w:tbl>
    <w:p>
      <w:pPr>
        <w:pStyle w:val="Heading1"/>
        <w:pageBreakBefore/>
        <w:spacing w:after="180" w:before="0"/>
      </w:pPr>
      <w:r>
        <w:t xml:space="preserve">1 · Bewertung von Version 1</w:t>
      </w:r>
    </w:p>
    <w:p>
      <w:pPr>
        <w:pStyle w:val="Heading2"/>
        <w:spacing w:after="120" w:before="280"/>
      </w:pPr>
      <w:r>
        <w:t xml:space="preserve">1.1 Methode</w:t>
      </w:r>
    </w:p>
    <w:p>
      <w:pPr>
        <w:tabs>
          <w:tab w:val="left" w:pos="260"/>
        </w:tabs>
        <w:spacing w:after="60"/>
        <w:ind w:left="260" w:hanging="260"/>
      </w:pPr>
      <w:r>
        <w:rPr>
          <w:color w:val="0F5C6E"/>
          <w:sz w:val="20"/>
          <w:szCs w:val="20"/>
        </w:rPr>
        <w:t xml:space="preserve">–	</w:t>
      </w:r>
      <w:r>
        <w:rPr>
          <w:color w:val="1A1A1A"/>
          <w:sz w:val="20"/>
          <w:szCs w:val="20"/>
        </w:rPr>
        <w:t xml:space="preserve">Geprüft wurde die Fassung vom 18. September 2026, 264 Seiten, Teile A bis W, mit den neun Begleitdateien.</w:t>
      </w:r>
    </w:p>
    <w:p>
      <w:pPr>
        <w:tabs>
          <w:tab w:val="left" w:pos="260"/>
        </w:tabs>
        <w:spacing w:after="60"/>
        <w:ind w:left="260" w:hanging="260"/>
      </w:pPr>
      <w:r>
        <w:rPr>
          <w:color w:val="0F5C6E"/>
          <w:sz w:val="20"/>
          <w:szCs w:val="20"/>
        </w:rPr>
        <w:t xml:space="preserve">–	</w:t>
      </w:r>
      <w:r>
        <w:rPr>
          <w:color w:val="1A1A1A"/>
          <w:sz w:val="20"/>
          <w:szCs w:val="20"/>
        </w:rPr>
        <w:t xml:space="preserve">Grundlage der Prüfung: die Anforderungen an ein operatives Verkaufsmanagementsystem – eindeutige Prozesslogik je Phase, verbindliche Prüfpunkte, klare Entscheidungsträger, belegbare Dokumentation, Entscheidungslogik statt Handlungsaufforderung.</w:t>
      </w:r>
    </w:p>
    <w:p>
      <w:pPr>
        <w:tabs>
          <w:tab w:val="left" w:pos="260"/>
        </w:tabs>
        <w:spacing w:after="60"/>
        <w:ind w:left="260" w:hanging="260"/>
      </w:pPr>
      <w:r>
        <w:rPr>
          <w:color w:val="0F5C6E"/>
          <w:sz w:val="20"/>
          <w:szCs w:val="20"/>
        </w:rPr>
        <w:t xml:space="preserve">–	</w:t>
      </w:r>
      <w:r>
        <w:rPr>
          <w:color w:val="1A1A1A"/>
          <w:sz w:val="20"/>
          <w:szCs w:val="20"/>
        </w:rPr>
        <w:t xml:space="preserve">Die Bewertung bezieht sich auf die Eignung als Steuerungsinstrument, nicht auf die sprachliche Qualität. Version 1 ist sprachlich und strukturell sauber; ihre Schwäche liegt in der fehlenden Verbindlichkeit und in einer rechtlich zu pauschalen Compliance-Annahme.</w:t>
      </w:r>
    </w:p>
    <w:p>
      <w:pPr>
        <w:tabs>
          <w:tab w:val="left" w:pos="260"/>
        </w:tabs>
        <w:spacing w:after="60"/>
        <w:ind w:left="260" w:hanging="260"/>
      </w:pPr>
      <w:r>
        <w:rPr>
          <w:color w:val="0F5C6E"/>
          <w:sz w:val="20"/>
          <w:szCs w:val="20"/>
        </w:rPr>
        <w:t xml:space="preserve">–	</w:t>
      </w:r>
      <w:r>
        <w:rPr>
          <w:color w:val="1A1A1A"/>
          <w:sz w:val="20"/>
          <w:szCs w:val="20"/>
        </w:rPr>
        <w:t xml:space="preserve">Vier Befunde betreffen die Rechtslage und sind unten als D-Befunde mit acht Feldern ausgewiesen. Der gewichtigste kehrt eine Kernannahme von Version 1 um.</w:t>
      </w:r>
    </w:p>
    <w:p>
      <w:pPr>
        <w:pStyle w:val="Heading2"/>
        <w:spacing w:after="120" w:before="280"/>
      </w:pPr>
      <w:r>
        <w:t xml:space="preserve">1.2 Bewertungsschlüssel</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700"/>
        <w:gridCol w:w="3400"/>
        <w:gridCol w:w="5500"/>
      </w:tblGrid>
      <w:tr>
        <w:trPr>
          <w:tblHeader/>
        </w:trPr>
        <w:tc>
          <w:tcPr>
            <w:tcW w:type="dxa" w:w="700"/>
            <w:shd w:fill="0F5C6E" w:color="auto" w:val="clear"/>
            <w:tcMar>
              <w:top w:type="dxa" w:w="70"/>
              <w:left w:type="dxa" w:w="100"/>
              <w:bottom w:type="dxa" w:w="70"/>
              <w:right w:type="dxa" w:w="100"/>
            </w:tcMar>
          </w:tcPr>
          <w:p>
            <w:pPr>
              <w:spacing w:after="0"/>
            </w:pPr>
            <w:r>
              <w:rPr>
                <w:b/>
                <w:bCs/>
                <w:color w:val="FFFFFF"/>
                <w:sz w:val="18"/>
                <w:szCs w:val="18"/>
              </w:rPr>
              <w:t xml:space="preserve">Note</w:t>
            </w:r>
          </w:p>
        </w:tc>
        <w:tc>
          <w:tcPr>
            <w:tcW w:type="dxa" w:w="3400"/>
            <w:shd w:fill="0F5C6E" w:color="auto" w:val="clear"/>
            <w:tcMar>
              <w:top w:type="dxa" w:w="70"/>
              <w:left w:type="dxa" w:w="100"/>
              <w:bottom w:type="dxa" w:w="70"/>
              <w:right w:type="dxa" w:w="100"/>
            </w:tcMar>
          </w:tcPr>
          <w:p>
            <w:pPr>
              <w:spacing w:after="0"/>
            </w:pPr>
            <w:r>
              <w:rPr>
                <w:b/>
                <w:bCs/>
                <w:color w:val="FFFFFF"/>
                <w:sz w:val="18"/>
                <w:szCs w:val="18"/>
              </w:rPr>
              <w:t xml:space="preserve">Bedeutung</w:t>
            </w:r>
          </w:p>
        </w:tc>
        <w:tc>
          <w:tcPr>
            <w:tcW w:type="dxa" w:w="5500"/>
            <w:shd w:fill="0F5C6E" w:color="auto" w:val="clear"/>
            <w:tcMar>
              <w:top w:type="dxa" w:w="70"/>
              <w:left w:type="dxa" w:w="100"/>
              <w:bottom w:type="dxa" w:w="70"/>
              <w:right w:type="dxa" w:w="100"/>
            </w:tcMar>
          </w:tcPr>
          <w:p>
            <w:pPr>
              <w:spacing w:after="0"/>
            </w:pPr>
            <w:r>
              <w:rPr>
                <w:b/>
                <w:bCs/>
                <w:color w:val="FFFFFF"/>
                <w:sz w:val="18"/>
                <w:szCs w:val="18"/>
              </w:rPr>
              <w:t xml:space="preserve">Folge</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A</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fachlich korrekt und professionell</w:t>
            </w:r>
          </w:p>
        </w:tc>
        <w:tc>
          <w:tcPr>
            <w:tcW w:type="dxa" w:w="5500"/>
            <w:shd w:fill="FFFFFF" w:color="auto" w:val="clear"/>
            <w:tcMar>
              <w:top w:type="dxa" w:w="70"/>
              <w:left w:type="dxa" w:w="100"/>
              <w:bottom w:type="dxa" w:w="70"/>
              <w:right w:type="dxa" w:w="100"/>
            </w:tcMar>
          </w:tcPr>
          <w:p>
            <w:pPr>
              <w:spacing w:after="0"/>
            </w:pPr>
            <w:r>
              <w:rPr>
                <w:b w:val="false"/>
                <w:bCs w:val="false"/>
                <w:color w:val="1A1A1A"/>
                <w:sz w:val="18"/>
                <w:szCs w:val="18"/>
              </w:rPr>
              <w:t xml:space="preserve">Bleibt erhalten, gegebenenfalls sprachlich gestrafft.</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B</w:t>
            </w:r>
          </w:p>
        </w:tc>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korrekt, aber zu oberflächlich</w:t>
            </w:r>
          </w:p>
        </w:tc>
        <w:tc>
          <w:tcPr>
            <w:tcW w:type="dxa" w:w="5500"/>
            <w:shd w:fill="F7F9F9" w:color="auto" w:val="clear"/>
            <w:tcMar>
              <w:top w:type="dxa" w:w="70"/>
              <w:left w:type="dxa" w:w="100"/>
              <w:bottom w:type="dxa" w:w="70"/>
              <w:right w:type="dxa" w:w="100"/>
            </w:tcMar>
          </w:tcPr>
          <w:p>
            <w:pPr>
              <w:spacing w:after="0"/>
            </w:pPr>
            <w:r>
              <w:rPr>
                <w:b w:val="false"/>
                <w:bCs w:val="false"/>
                <w:color w:val="1A1A1A"/>
                <w:sz w:val="18"/>
                <w:szCs w:val="18"/>
              </w:rPr>
              <w:t xml:space="preserve">Wird fachlich vertieft.</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C</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unklar oder zu allgemein</w:t>
            </w:r>
          </w:p>
        </w:tc>
        <w:tc>
          <w:tcPr>
            <w:tcW w:type="dxa" w:w="5500"/>
            <w:shd w:fill="FFFFFF" w:color="auto" w:val="clear"/>
            <w:tcMar>
              <w:top w:type="dxa" w:w="70"/>
              <w:left w:type="dxa" w:w="100"/>
              <w:bottom w:type="dxa" w:w="70"/>
              <w:right w:type="dxa" w:w="100"/>
            </w:tcMar>
          </w:tcPr>
          <w:p>
            <w:pPr>
              <w:spacing w:after="0"/>
            </w:pPr>
            <w:r>
              <w:rPr>
                <w:b w:val="false"/>
                <w:bCs w:val="false"/>
                <w:color w:val="1A1A1A"/>
                <w:sz w:val="18"/>
                <w:szCs w:val="18"/>
              </w:rPr>
              <w:t xml:space="preserve">Erhält konkrete operative Regeln und Entscheidungslogik.</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D</w:t>
            </w:r>
          </w:p>
        </w:tc>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rechtlich oder fachlich kritisch</w:t>
            </w:r>
          </w:p>
        </w:tc>
        <w:tc>
          <w:tcPr>
            <w:tcW w:type="dxa" w:w="5500"/>
            <w:shd w:fill="F7F9F9" w:color="auto" w:val="clear"/>
            <w:tcMar>
              <w:top w:type="dxa" w:w="70"/>
              <w:left w:type="dxa" w:w="100"/>
              <w:bottom w:type="dxa" w:w="70"/>
              <w:right w:type="dxa" w:w="100"/>
            </w:tcMar>
          </w:tcPr>
          <w:p>
            <w:pPr>
              <w:spacing w:after="0"/>
            </w:pPr>
            <w:r>
              <w:rPr>
                <w:b w:val="false"/>
                <w:bCs w:val="false"/>
                <w:color w:val="1A1A1A"/>
                <w:sz w:val="18"/>
                <w:szCs w:val="18"/>
              </w:rPr>
              <w:t xml:space="preserve">Wird korrigiert; Risiko und Änderung sind unten einzeln ausgewiesen.</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E</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fehlt</w:t>
            </w:r>
          </w:p>
        </w:tc>
        <w:tc>
          <w:tcPr>
            <w:tcW w:type="dxa" w:w="5500"/>
            <w:shd w:fill="FFFFFF" w:color="auto" w:val="clear"/>
            <w:tcMar>
              <w:top w:type="dxa" w:w="70"/>
              <w:left w:type="dxa" w:w="100"/>
              <w:bottom w:type="dxa" w:w="70"/>
              <w:right w:type="dxa" w:w="100"/>
            </w:tcMar>
          </w:tcPr>
          <w:p>
            <w:pPr>
              <w:spacing w:after="0"/>
            </w:pPr>
            <w:r>
              <w:rPr>
                <w:b w:val="false"/>
                <w:bCs w:val="false"/>
                <w:color w:val="1A1A1A"/>
                <w:sz w:val="18"/>
                <w:szCs w:val="18"/>
              </w:rPr>
              <w:t xml:space="preserve">Wird neu erstellt.</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F</w:t>
            </w:r>
          </w:p>
        </w:tc>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redundant</w:t>
            </w:r>
          </w:p>
        </w:tc>
        <w:tc>
          <w:tcPr>
            <w:tcW w:type="dxa" w:w="5500"/>
            <w:shd w:fill="F7F9F9" w:color="auto" w:val="clear"/>
            <w:tcMar>
              <w:top w:type="dxa" w:w="70"/>
              <w:left w:type="dxa" w:w="100"/>
              <w:bottom w:type="dxa" w:w="70"/>
              <w:right w:type="dxa" w:w="100"/>
            </w:tcMar>
          </w:tcPr>
          <w:p>
            <w:pPr>
              <w:spacing w:after="0"/>
            </w:pPr>
            <w:r>
              <w:rPr>
                <w:b w:val="false"/>
                <w:bCs w:val="false"/>
                <w:color w:val="1A1A1A"/>
                <w:sz w:val="18"/>
                <w:szCs w:val="18"/>
              </w:rPr>
              <w:t xml:space="preserve">Wird zusammengeführt oder gestrichen.</w:t>
            </w:r>
          </w:p>
        </w:tc>
      </w:tr>
    </w:tbl>
    <w:p>
      <w:pPr>
        <w:pStyle w:val="Heading2"/>
        <w:spacing w:after="120" w:before="280"/>
      </w:pPr>
      <w:r>
        <w:t xml:space="preserve">1.3 Ergebnis im Überblick</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700"/>
        <w:gridCol w:w="1500"/>
        <w:gridCol w:w="7400"/>
      </w:tblGrid>
      <w:tr>
        <w:trPr>
          <w:tblHeader/>
        </w:trPr>
        <w:tc>
          <w:tcPr>
            <w:tcW w:type="dxa" w:w="700"/>
            <w:shd w:fill="0F5C6E" w:color="auto" w:val="clear"/>
            <w:tcMar>
              <w:top w:type="dxa" w:w="70"/>
              <w:left w:type="dxa" w:w="100"/>
              <w:bottom w:type="dxa" w:w="70"/>
              <w:right w:type="dxa" w:w="100"/>
            </w:tcMar>
          </w:tcPr>
          <w:p>
            <w:pPr>
              <w:spacing w:after="0"/>
            </w:pPr>
            <w:r>
              <w:rPr>
                <w:b/>
                <w:bCs/>
                <w:color w:val="FFFFFF"/>
                <w:sz w:val="18"/>
                <w:szCs w:val="18"/>
              </w:rPr>
              <w:t xml:space="preserve">Note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Anzahl Abschnitte</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Beurteilung</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A</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19</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Bleiben erhalten. Der Kern von Version 1 ist fachlich tragfähig – insbesondere Dokumentencheckliste, Objektaufnahme, Mandatsstruktur, Dossier, Reservation und Notariatsschnittstelle.</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B</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9</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Korrekt, aber zu flach für die Steuerung. Vertieft.</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C</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4</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Zu allgemein für operative Anwendung. Mit Entscheidungslogik und Verbindlichkeit versehen.</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D</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5</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Rechtlich oder fachlich kritisch. Einzeln korrigiert, siehe Teil 2.</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E</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15</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Fehlende Bestandteile eines operativen Systems. Neu erstellt, siehe Teil 3.</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F</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6</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Redundanzen. Zusammengeführt, siehe Teil 4.</w:t>
            </w:r>
          </w:p>
        </w:tc>
      </w:tr>
    </w:tbl>
    <w:tbl>
      <w:tblPr>
        <w:tblW w:type="dxa" w:w="9600"/>
        <w:tblBorders>
          <w:top w:val="single" w:color="1F6B4A" w:sz="4"/>
          <w:left w:val="single" w:color="1F6B4A" w:sz="18"/>
          <w:bottom w:val="single" w:color="1F6B4A" w:sz="4"/>
          <w:right w:val="single" w:color="1F6B4A" w:sz="4"/>
          <w:insideH w:val="none"/>
          <w:insideV w:val="none"/>
        </w:tblBorders>
      </w:tblPr>
      <w:tblGrid>
        <w:gridCol w:w="9600"/>
      </w:tblGrid>
      <w:tr>
        <w:tc>
          <w:tcPr>
            <w:tcW w:type="dxa" w:w="9600"/>
            <w:shd w:fill="EAF3EE" w:color="auto" w:val="clear"/>
            <w:tcMar>
              <w:top w:type="dxa" w:w="140"/>
              <w:left w:type="dxa" w:w="180"/>
              <w:bottom w:type="dxa" w:w="140"/>
              <w:right w:type="dxa" w:w="160"/>
            </w:tcMar>
          </w:tcPr>
          <w:p>
            <w:pPr>
              <w:spacing w:after="70"/>
            </w:pPr>
            <w:r>
              <w:rPr>
                <w:b/>
                <w:bCs/>
                <w:color w:val="1F6B4A"/>
                <w:sz w:val="19"/>
                <w:szCs w:val="19"/>
              </w:rPr>
              <w:t xml:space="preserve">Gesamtbeurteilung von Version 1</w:t>
            </w:r>
          </w:p>
          <w:p>
            <w:pPr>
              <w:spacing w:after="50"/>
            </w:pPr>
            <w:r>
              <w:rPr>
                <w:sz w:val="19"/>
                <w:szCs w:val="19"/>
              </w:rPr>
              <w:t xml:space="preserve">Version 1 ist ein gutes Fachhandbuch und kein Steuerungssystem. Die Fachteile sind vollständig und in mehreren Punkten über dem Branchendurchschnitt – die Rollenabgrenzung mit Nicht-Zuständigkeiten, die rechtliche Behandlung der Reservation und die offene Kennzeichnung der Quellengüte sind in dieser Form unüblich.</w:t>
            </w:r>
          </w:p>
          <w:p>
            <w:pPr>
              <w:spacing w:after="50"/>
            </w:pPr>
            <w:r>
              <w:rPr>
                <w:sz w:val="19"/>
                <w:szCs w:val="19"/>
              </w:rPr>
              <w:t xml:space="preserve">Die Schwäche liegt nicht im Inhalt, sondern in der Verbindlichkeit: Abschlusskriterien ohne Prüfer, Kontrollen ohne Prüfgegenstand, Kennzahlen mit starren Fristen, Anweisungen, die «prüfen» sagen, ohne die Entscheidung zu führen.</w:t>
            </w:r>
          </w:p>
          <w:p>
            <w:pPr>
              <w:spacing w:after="50"/>
            </w:pPr>
            <w:r>
              <w:rPr>
                <w:sz w:val="19"/>
                <w:szCs w:val="19"/>
              </w:rPr>
              <w:t xml:space="preserve">Der gewichtigste Befund ist rechtlicher Natur und kehrt eine Kernannahme um: Version 1 baute eine ausnahmslose geldwäschereirechtliche Identifikationspflicht ein, obwohl der Normalfall dieses Handbuchs voraussichtlich unter eine Ausnahme fällt (D1).</w:t>
            </w:r>
          </w:p>
          <w:p>
            <w:pPr>
              <w:spacing w:after="50"/>
            </w:pPr>
            <w:r>
              <w:rPr>
                <w:sz w:val="19"/>
                <w:szCs w:val="19"/>
              </w:rPr>
              <w:t xml:space="preserve">Nichts Wesentliches wurde gestrichen. Drei Teile sind gekürzt, weil sie in den Begleitdateien vollständig vorliegen – das ist keine Reduktion, sondern das Ende einer Doppelpflege.</w:t>
            </w:r>
          </w:p>
        </w:tc>
      </w:tr>
    </w:tbl>
    <w:p>
      <w:pPr>
        <w:pStyle w:val="Heading2"/>
        <w:spacing w:after="120" w:before="280"/>
      </w:pPr>
      <w:r>
        <w:t xml:space="preserve">1.4 Bewertung im Einzelnen</w:t>
      </w:r>
    </w:p>
    <w:p>
      <w:pPr>
        <w:pStyle w:val="Heading3"/>
        <w:spacing w:after="100" w:before="220"/>
      </w:pPr>
      <w:r>
        <w:t xml:space="preserve">Teil A – Überblick</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900"/>
        <w:gridCol w:w="600"/>
        <w:gridCol w:w="3600"/>
        <w:gridCol w:w="3500"/>
      </w:tblGrid>
      <w:tr>
        <w:trPr>
          <w:tblHeader/>
        </w:trPr>
        <w:tc>
          <w:tcPr>
            <w:tcW w:type="dxa" w:w="1900"/>
            <w:shd w:fill="0F5C6E" w:color="auto" w:val="clear"/>
            <w:tcMar>
              <w:top w:type="dxa" w:w="70"/>
              <w:left w:type="dxa" w:w="100"/>
              <w:bottom w:type="dxa" w:w="70"/>
              <w:right w:type="dxa" w:w="100"/>
            </w:tcMar>
          </w:tcPr>
          <w:p>
            <w:pPr>
              <w:spacing w:after="0"/>
            </w:pPr>
            <w:r>
              <w:rPr>
                <w:b/>
                <w:bCs/>
                <w:color w:val="FFFFFF"/>
                <w:sz w:val="18"/>
                <w:szCs w:val="18"/>
              </w:rPr>
              <w:t xml:space="preserve">Abschnitt</w:t>
            </w:r>
          </w:p>
        </w:tc>
        <w:tc>
          <w:tcPr>
            <w:tcW w:type="dxa" w:w="600"/>
            <w:shd w:fill="0F5C6E" w:color="auto" w:val="clear"/>
            <w:tcMar>
              <w:top w:type="dxa" w:w="70"/>
              <w:left w:type="dxa" w:w="100"/>
              <w:bottom w:type="dxa" w:w="70"/>
              <w:right w:type="dxa" w:w="100"/>
            </w:tcMar>
          </w:tcPr>
          <w:p>
            <w:pPr>
              <w:spacing w:after="0"/>
            </w:pPr>
            <w:r>
              <w:rPr>
                <w:b/>
                <w:bCs/>
                <w:color w:val="FFFFFF"/>
                <w:sz w:val="18"/>
                <w:szCs w:val="18"/>
              </w:rPr>
              <w:t xml:space="preserve">Note</w:t>
            </w:r>
          </w:p>
        </w:tc>
        <w:tc>
          <w:tcPr>
            <w:tcW w:type="dxa" w:w="3600"/>
            <w:shd w:fill="0F5C6E" w:color="auto" w:val="clear"/>
            <w:tcMar>
              <w:top w:type="dxa" w:w="70"/>
              <w:left w:type="dxa" w:w="100"/>
              <w:bottom w:type="dxa" w:w="70"/>
              <w:right w:type="dxa" w:w="100"/>
            </w:tcMar>
          </w:tcPr>
          <w:p>
            <w:pPr>
              <w:spacing w:after="0"/>
            </w:pPr>
            <w:r>
              <w:rPr>
                <w:b/>
                <w:bCs/>
                <w:color w:val="FFFFFF"/>
                <w:sz w:val="18"/>
                <w:szCs w:val="18"/>
              </w:rPr>
              <w:t xml:space="preserve">Beurteilung</w:t>
            </w:r>
          </w:p>
        </w:tc>
        <w:tc>
          <w:tcPr>
            <w:tcW w:type="dxa" w:w="3500"/>
            <w:shd w:fill="0F5C6E" w:color="auto" w:val="clear"/>
            <w:tcMar>
              <w:top w:type="dxa" w:w="70"/>
              <w:left w:type="dxa" w:w="100"/>
              <w:bottom w:type="dxa" w:w="70"/>
              <w:right w:type="dxa" w:w="100"/>
            </w:tcMar>
          </w:tcPr>
          <w:p>
            <w:pPr>
              <w:spacing w:after="0"/>
            </w:pPr>
            <w:r>
              <w:rPr>
                <w:b/>
                <w:bCs/>
                <w:color w:val="FFFFFF"/>
                <w:sz w:val="18"/>
                <w:szCs w:val="18"/>
              </w:rPr>
              <w:t xml:space="preserve">Behandlung in Version 2</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A1 Zweck und Abgrenzung</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A</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Abgrenzung sauber, insbesondere die ausdrückliche Nichtzuständigkeit für Rechts-, Steuer- und Finanzierungsberatung.</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Übernommen.</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A2 Rollen mit Nicht-Zuständigkeiten</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A</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Die Spalte «ausdrücklich nicht zuständig für» ist der stärkste Teil von Version 1 und in dieser Form unüblich.</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Übernommen, um Compliance und Verkaufsleitung erweitert.</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A3 Kennzeichnungssystem</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B</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Kennzeichen [RP] und [KA] sind richtig, aber die Normebene der Aussage fehlt: Bundesrecht, kantonales Recht, Praxis oder Selbstregulierung sind nicht unterscheidbar.</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Register erhält je Position eine Normebene; [GW] neu belegt.</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A4 Phasenübersicht</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B</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Übersicht mit Dauer und Meilenstein ist brauchbar, zeigt aber keine Prüfpunkte.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Um Gate-Spalte erweitert.</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A5 Wo der Prozess scheitert</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A</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Fünf Ursachen mit Wirkung und Gegenmassnahme – praxisnah und richtig priorisiert.</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Übernommen, um zwei Ursachen ergänzt.</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A6 Kantonale Klärungsliste</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A</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Sechzehn Positionen mit zuständiger Stelle. Verhindert die häufigste Fehlerquelle, nämlich Zahlen aus einem anderen Kanton.</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Übernommen und erweitert.</w:t>
            </w:r>
          </w:p>
        </w:tc>
      </w:tr>
    </w:tbl>
    <w:p>
      <w:pPr>
        <w:pStyle w:val="Heading3"/>
        <w:spacing w:after="100" w:before="220"/>
      </w:pPr>
      <w:r>
        <w:t xml:space="preserve">Teil B – Phasen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900"/>
        <w:gridCol w:w="600"/>
        <w:gridCol w:w="3600"/>
        <w:gridCol w:w="3500"/>
      </w:tblGrid>
      <w:tr>
        <w:trPr>
          <w:tblHeader/>
        </w:trPr>
        <w:tc>
          <w:tcPr>
            <w:tcW w:type="dxa" w:w="1900"/>
            <w:shd w:fill="0F5C6E" w:color="auto" w:val="clear"/>
            <w:tcMar>
              <w:top w:type="dxa" w:w="70"/>
              <w:left w:type="dxa" w:w="100"/>
              <w:bottom w:type="dxa" w:w="70"/>
              <w:right w:type="dxa" w:w="100"/>
            </w:tcMar>
          </w:tcPr>
          <w:p>
            <w:pPr>
              <w:spacing w:after="0"/>
            </w:pPr>
            <w:r>
              <w:rPr>
                <w:b/>
                <w:bCs/>
                <w:color w:val="FFFFFF"/>
                <w:sz w:val="18"/>
                <w:szCs w:val="18"/>
              </w:rPr>
              <w:t xml:space="preserve">Abschnitt</w:t>
            </w:r>
          </w:p>
        </w:tc>
        <w:tc>
          <w:tcPr>
            <w:tcW w:type="dxa" w:w="600"/>
            <w:shd w:fill="0F5C6E" w:color="auto" w:val="clear"/>
            <w:tcMar>
              <w:top w:type="dxa" w:w="70"/>
              <w:left w:type="dxa" w:w="100"/>
              <w:bottom w:type="dxa" w:w="70"/>
              <w:right w:type="dxa" w:w="100"/>
            </w:tcMar>
          </w:tcPr>
          <w:p>
            <w:pPr>
              <w:spacing w:after="0"/>
            </w:pPr>
            <w:r>
              <w:rPr>
                <w:b/>
                <w:bCs/>
                <w:color w:val="FFFFFF"/>
                <w:sz w:val="18"/>
                <w:szCs w:val="18"/>
              </w:rPr>
              <w:t xml:space="preserve">Note</w:t>
            </w:r>
          </w:p>
        </w:tc>
        <w:tc>
          <w:tcPr>
            <w:tcW w:type="dxa" w:w="3600"/>
            <w:shd w:fill="0F5C6E" w:color="auto" w:val="clear"/>
            <w:tcMar>
              <w:top w:type="dxa" w:w="70"/>
              <w:left w:type="dxa" w:w="100"/>
              <w:bottom w:type="dxa" w:w="70"/>
              <w:right w:type="dxa" w:w="100"/>
            </w:tcMar>
          </w:tcPr>
          <w:p>
            <w:pPr>
              <w:spacing w:after="0"/>
            </w:pPr>
            <w:r>
              <w:rPr>
                <w:b/>
                <w:bCs/>
                <w:color w:val="FFFFFF"/>
                <w:sz w:val="18"/>
                <w:szCs w:val="18"/>
              </w:rPr>
              <w:t xml:space="preserve">Beurteilung</w:t>
            </w:r>
          </w:p>
        </w:tc>
        <w:tc>
          <w:tcPr>
            <w:tcW w:type="dxa" w:w="3500"/>
            <w:shd w:fill="0F5C6E" w:color="auto" w:val="clear"/>
            <w:tcMar>
              <w:top w:type="dxa" w:w="70"/>
              <w:left w:type="dxa" w:w="100"/>
              <w:bottom w:type="dxa" w:w="70"/>
              <w:right w:type="dxa" w:w="100"/>
            </w:tcMar>
          </w:tcPr>
          <w:p>
            <w:pPr>
              <w:spacing w:after="0"/>
            </w:pPr>
            <w:r>
              <w:rPr>
                <w:b/>
                <w:bCs/>
                <w:color w:val="FFFFFF"/>
                <w:sz w:val="18"/>
                <w:szCs w:val="18"/>
              </w:rPr>
              <w:t xml:space="preserve">Behandlung in Version 2</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Phasenraster mit acht Rubriken</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C</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Ziel, Aufgaben, Unterlagen, Prüfungen, Kommunikation, Meilenstein, Abschlusskriterien. Es fehlen genau die Felder, die eine Steuerung ermöglichen: Ausgangslage, Beteiligte, Entscheidungen, Entscheidungsträger, Risiken, Dokumentationspflicht, CRM-Vorgabe, Stop-Kriterien, Eskalation.</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Raster auf achtzehn Felder erweitert; V1-Inhalte unverändert übernommen.</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Abschlusskriterien «Weiter wenn»</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C</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Kriterien sind formuliert, aber ohne Prüfer, ohne Nachweis und ohne Folge bei Nichterfüllung. Eine Selbstprüfung ohne Nachweis ist keine Kontrolle.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In das Gate-System überführt; teilweise redundante Kriterien dort zusammengeführt.</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Phasenabfolge und Abhängigkeiten</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A</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Reihenfolge ist fachlich richtig; die Trennung von Rechtsprüfung (6) vor Bewertung (7–8) und Mandat (10) entspricht der Praxis und schützt vor Aufwandverlust.</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Unverändert. Gate 1 nach Phase 6 verstärkt die Logik.</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Phase 17 Reservation</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A</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Rechtlich der stärkste Abschnitt: Formungültigkeit des Vorvertrags korrekt hergeleitet, Konsequenz konsequent umgesetzt.</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Übernommen.</w:t>
            </w:r>
          </w:p>
        </w:tc>
      </w:tr>
    </w:tbl>
    <w:p>
      <w:pPr>
        <w:pStyle w:val="Heading3"/>
        <w:spacing w:after="100" w:before="220"/>
      </w:pPr>
      <w:r>
        <w:t xml:space="preserve">Teil C bis F – Fachteile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900"/>
        <w:gridCol w:w="600"/>
        <w:gridCol w:w="3600"/>
        <w:gridCol w:w="3500"/>
      </w:tblGrid>
      <w:tr>
        <w:trPr>
          <w:tblHeader/>
        </w:trPr>
        <w:tc>
          <w:tcPr>
            <w:tcW w:type="dxa" w:w="1900"/>
            <w:shd w:fill="0F5C6E" w:color="auto" w:val="clear"/>
            <w:tcMar>
              <w:top w:type="dxa" w:w="70"/>
              <w:left w:type="dxa" w:w="100"/>
              <w:bottom w:type="dxa" w:w="70"/>
              <w:right w:type="dxa" w:w="100"/>
            </w:tcMar>
          </w:tcPr>
          <w:p>
            <w:pPr>
              <w:spacing w:after="0"/>
            </w:pPr>
            <w:r>
              <w:rPr>
                <w:b/>
                <w:bCs/>
                <w:color w:val="FFFFFF"/>
                <w:sz w:val="18"/>
                <w:szCs w:val="18"/>
              </w:rPr>
              <w:t xml:space="preserve">Abschnitt</w:t>
            </w:r>
          </w:p>
        </w:tc>
        <w:tc>
          <w:tcPr>
            <w:tcW w:type="dxa" w:w="600"/>
            <w:shd w:fill="0F5C6E" w:color="auto" w:val="clear"/>
            <w:tcMar>
              <w:top w:type="dxa" w:w="70"/>
              <w:left w:type="dxa" w:w="100"/>
              <w:bottom w:type="dxa" w:w="70"/>
              <w:right w:type="dxa" w:w="100"/>
            </w:tcMar>
          </w:tcPr>
          <w:p>
            <w:pPr>
              <w:spacing w:after="0"/>
            </w:pPr>
            <w:r>
              <w:rPr>
                <w:b/>
                <w:bCs/>
                <w:color w:val="FFFFFF"/>
                <w:sz w:val="18"/>
                <w:szCs w:val="18"/>
              </w:rPr>
              <w:t xml:space="preserve">Note</w:t>
            </w:r>
          </w:p>
        </w:tc>
        <w:tc>
          <w:tcPr>
            <w:tcW w:type="dxa" w:w="3600"/>
            <w:shd w:fill="0F5C6E" w:color="auto" w:val="clear"/>
            <w:tcMar>
              <w:top w:type="dxa" w:w="70"/>
              <w:left w:type="dxa" w:w="100"/>
              <w:bottom w:type="dxa" w:w="70"/>
              <w:right w:type="dxa" w:w="100"/>
            </w:tcMar>
          </w:tcPr>
          <w:p>
            <w:pPr>
              <w:spacing w:after="0"/>
            </w:pPr>
            <w:r>
              <w:rPr>
                <w:b/>
                <w:bCs/>
                <w:color w:val="FFFFFF"/>
                <w:sz w:val="18"/>
                <w:szCs w:val="18"/>
              </w:rPr>
              <w:t xml:space="preserve">Beurteilung</w:t>
            </w:r>
          </w:p>
        </w:tc>
        <w:tc>
          <w:tcPr>
            <w:tcW w:type="dxa" w:w="3500"/>
            <w:shd w:fill="0F5C6E" w:color="auto" w:val="clear"/>
            <w:tcMar>
              <w:top w:type="dxa" w:w="70"/>
              <w:left w:type="dxa" w:w="100"/>
              <w:bottom w:type="dxa" w:w="70"/>
              <w:right w:type="dxa" w:w="100"/>
            </w:tcMar>
          </w:tcPr>
          <w:p>
            <w:pPr>
              <w:spacing w:after="0"/>
            </w:pPr>
            <w:r>
              <w:rPr>
                <w:b/>
                <w:bCs/>
                <w:color w:val="FFFFFF"/>
                <w:sz w:val="18"/>
                <w:szCs w:val="18"/>
              </w:rPr>
              <w:t xml:space="preserve">Behandlung in Version 2</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C Dokumenten-Checkliste</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A</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92 Positionen mit Stufe, Zuständigkeit, Bezugsquelle und Rechtsverweis. Vollständig und gut sortiert.</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Übernommen; Datenraum-Index und Vertraulichkeitsstufe ergänzt.</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Teil D Erstgesprächsleitfaden</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A</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45 Fragen mit Begründung und Folge – die Spalte «was die Antwort bedeutet» macht daraus ein Arbeitsinstrument.</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Übernommen; Sonderfallerkennung ergänzt.</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D Strategieableitung</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B</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Acht Ausgangslagen mit Empfehlung und Begründung, fachlich gut. Es fehlt die Verbindung zu messbaren Auslösekriterien.</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Mit der indikatorbasierten Preissteuerung verbunden.</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Teil E Objektaufnahme</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A</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16 Blöcke, 182 Felder, mit Erfassungsart und Hinweis. Vollständig.</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Struktur übernommen; im Handbuch nur noch Blockstruktur und Regeln, Felder in der Arbeitsmappe (siehe F-Befund).</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F Bewertungsmethoden</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B</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Drei Methoden mit Einsatz, Vorgehen und Grenzen – korrekt. Es fehlen die Unterscheidung der Preisbegriffe und Szenarien.</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Sechs Preisbegriffe neu; Plausibilitätsprüfungen übernommen und erweitert.</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Teil F Bewertungsvorlage</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A</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20 Abschnitte einschliesslich Annahmen und Vorbehalten. Der Hinweis, dass es keine Schatzung im Rechtssinne ist, ist richtig und wichtig.</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Übernommen.</w:t>
            </w:r>
          </w:p>
        </w:tc>
      </w:tr>
    </w:tbl>
    <w:p>
      <w:pPr>
        <w:pStyle w:val="Heading3"/>
        <w:spacing w:after="100" w:before="220"/>
      </w:pPr>
      <w:r>
        <w:t xml:space="preserve">Teil G bis N – Vertrag, Vermarktung, Käufer</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900"/>
        <w:gridCol w:w="600"/>
        <w:gridCol w:w="3600"/>
        <w:gridCol w:w="3500"/>
      </w:tblGrid>
      <w:tr>
        <w:trPr>
          <w:tblHeader/>
        </w:trPr>
        <w:tc>
          <w:tcPr>
            <w:tcW w:type="dxa" w:w="1900"/>
            <w:shd w:fill="0F5C6E" w:color="auto" w:val="clear"/>
            <w:tcMar>
              <w:top w:type="dxa" w:w="70"/>
              <w:left w:type="dxa" w:w="100"/>
              <w:bottom w:type="dxa" w:w="70"/>
              <w:right w:type="dxa" w:w="100"/>
            </w:tcMar>
          </w:tcPr>
          <w:p>
            <w:pPr>
              <w:spacing w:after="0"/>
            </w:pPr>
            <w:r>
              <w:rPr>
                <w:b/>
                <w:bCs/>
                <w:color w:val="FFFFFF"/>
                <w:sz w:val="18"/>
                <w:szCs w:val="18"/>
              </w:rPr>
              <w:t xml:space="preserve">Abschnitt</w:t>
            </w:r>
          </w:p>
        </w:tc>
        <w:tc>
          <w:tcPr>
            <w:tcW w:type="dxa" w:w="600"/>
            <w:shd w:fill="0F5C6E" w:color="auto" w:val="clear"/>
            <w:tcMar>
              <w:top w:type="dxa" w:w="70"/>
              <w:left w:type="dxa" w:w="100"/>
              <w:bottom w:type="dxa" w:w="70"/>
              <w:right w:type="dxa" w:w="100"/>
            </w:tcMar>
          </w:tcPr>
          <w:p>
            <w:pPr>
              <w:spacing w:after="0"/>
            </w:pPr>
            <w:r>
              <w:rPr>
                <w:b/>
                <w:bCs/>
                <w:color w:val="FFFFFF"/>
                <w:sz w:val="18"/>
                <w:szCs w:val="18"/>
              </w:rPr>
              <w:t xml:space="preserve">Note</w:t>
            </w:r>
          </w:p>
        </w:tc>
        <w:tc>
          <w:tcPr>
            <w:tcW w:type="dxa" w:w="3600"/>
            <w:shd w:fill="0F5C6E" w:color="auto" w:val="clear"/>
            <w:tcMar>
              <w:top w:type="dxa" w:w="70"/>
              <w:left w:type="dxa" w:w="100"/>
              <w:bottom w:type="dxa" w:w="70"/>
              <w:right w:type="dxa" w:w="100"/>
            </w:tcMar>
          </w:tcPr>
          <w:p>
            <w:pPr>
              <w:spacing w:after="0"/>
            </w:pPr>
            <w:r>
              <w:rPr>
                <w:b/>
                <w:bCs/>
                <w:color w:val="FFFFFF"/>
                <w:sz w:val="18"/>
                <w:szCs w:val="18"/>
              </w:rPr>
              <w:t xml:space="preserve">Beurteilung</w:t>
            </w:r>
          </w:p>
        </w:tc>
        <w:tc>
          <w:tcPr>
            <w:tcW w:type="dxa" w:w="3500"/>
            <w:shd w:fill="0F5C6E" w:color="auto" w:val="clear"/>
            <w:tcMar>
              <w:top w:type="dxa" w:w="70"/>
              <w:left w:type="dxa" w:w="100"/>
              <w:bottom w:type="dxa" w:w="70"/>
              <w:right w:type="dxa" w:w="100"/>
            </w:tcMar>
          </w:tcPr>
          <w:p>
            <w:pPr>
              <w:spacing w:after="0"/>
            </w:pPr>
            <w:r>
              <w:rPr>
                <w:b/>
                <w:bCs/>
                <w:color w:val="FFFFFF"/>
                <w:sz w:val="18"/>
                <w:szCs w:val="18"/>
              </w:rPr>
              <w:t xml:space="preserve">Behandlung in Version 2</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G Maklermandat</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A</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24 Ziffern mit Prüfkennzeichnung; die drei genannten Streitklauseln Nachwirkung, Exklusivität, Aufwandersatz treffen die Praxis.</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Übernommen; Ziffer zu Interessenkonflikten geschärft.</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Teil H Verkaufsdossier</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A</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23 Abschnitte in der Lesereihenfolge des Interessenten; die Begründung zu Abschnitt 18 ist fachlich stark.</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Übernommen; verbindliche Release-Checkliste ergänzt.</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I Inserat</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B</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Sprachregeln sind konkret und gut. Kanäle sind aufgezählt, aber nicht in Vermarktungsstufen geordnet.</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Stufenmodell von Pre-Marketing bis Rückzug ergänzt.</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Teil J Fotografie</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A</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Pflichtaufnahmen, Ausschlussliste, Bildreihenfolge, Vorbereitungsliste – operativ direkt verwendbar.</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Übernommen.</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K Interessentenmanagement</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C</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Dreistufige Einteilung A/B/C mit 33 CRM-Feldern. Die Stufen sind zu grob und ihre Kriterien zu weich: Stufe A lässt eine «plausible Selbstauskunft» genügen.</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Neunstufiger Funnel mit belegten Übergangskriterien; Käuferprofil mit Pflichtstufe je Feld.</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Teil L Besichtigung</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A</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Checkliste in fünf Blöcken; der Offenlegungsvermerk im Protokoll ist der entscheidende Punkt und richtig begründet.</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Übernommen.</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M Kaufangebot</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A</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Rechtliche Wirkung je Block ausgewiesen; Unverbindlichkeit korrekt hergeleitet.</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Übernommen.</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Teil N Verhandlung</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B</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Verhandlungsmasse neben dem Preis ist ein starker Abschnitt. Es fehlen Vorbereitungsrahmen und Protokollstruktur.</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Vorbereitung mit elf Punkten und Protokoll mit zehn Feldern ergänzt.</w:t>
            </w:r>
          </w:p>
        </w:tc>
      </w:tr>
    </w:tbl>
    <w:p>
      <w:pPr>
        <w:pStyle w:val="Heading3"/>
        <w:spacing w:after="100" w:before="220"/>
      </w:pPr>
      <w:r>
        <w:t xml:space="preserve">Teil O bis W – Abschluss und Grundlagen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900"/>
        <w:gridCol w:w="600"/>
        <w:gridCol w:w="3600"/>
        <w:gridCol w:w="3500"/>
      </w:tblGrid>
      <w:tr>
        <w:trPr>
          <w:tblHeader/>
        </w:trPr>
        <w:tc>
          <w:tcPr>
            <w:tcW w:type="dxa" w:w="1900"/>
            <w:shd w:fill="0F5C6E" w:color="auto" w:val="clear"/>
            <w:tcMar>
              <w:top w:type="dxa" w:w="70"/>
              <w:left w:type="dxa" w:w="100"/>
              <w:bottom w:type="dxa" w:w="70"/>
              <w:right w:type="dxa" w:w="100"/>
            </w:tcMar>
          </w:tcPr>
          <w:p>
            <w:pPr>
              <w:spacing w:after="0"/>
            </w:pPr>
            <w:r>
              <w:rPr>
                <w:b/>
                <w:bCs/>
                <w:color w:val="FFFFFF"/>
                <w:sz w:val="18"/>
                <w:szCs w:val="18"/>
              </w:rPr>
              <w:t xml:space="preserve">Abschnitt</w:t>
            </w:r>
          </w:p>
        </w:tc>
        <w:tc>
          <w:tcPr>
            <w:tcW w:type="dxa" w:w="600"/>
            <w:shd w:fill="0F5C6E" w:color="auto" w:val="clear"/>
            <w:tcMar>
              <w:top w:type="dxa" w:w="70"/>
              <w:left w:type="dxa" w:w="100"/>
              <w:bottom w:type="dxa" w:w="70"/>
              <w:right w:type="dxa" w:w="100"/>
            </w:tcMar>
          </w:tcPr>
          <w:p>
            <w:pPr>
              <w:spacing w:after="0"/>
            </w:pPr>
            <w:r>
              <w:rPr>
                <w:b/>
                <w:bCs/>
                <w:color w:val="FFFFFF"/>
                <w:sz w:val="18"/>
                <w:szCs w:val="18"/>
              </w:rPr>
              <w:t xml:space="preserve">Note</w:t>
            </w:r>
          </w:p>
        </w:tc>
        <w:tc>
          <w:tcPr>
            <w:tcW w:type="dxa" w:w="3600"/>
            <w:shd w:fill="0F5C6E" w:color="auto" w:val="clear"/>
            <w:tcMar>
              <w:top w:type="dxa" w:w="70"/>
              <w:left w:type="dxa" w:w="100"/>
              <w:bottom w:type="dxa" w:w="70"/>
              <w:right w:type="dxa" w:w="100"/>
            </w:tcMar>
          </w:tcPr>
          <w:p>
            <w:pPr>
              <w:spacing w:after="0"/>
            </w:pPr>
            <w:r>
              <w:rPr>
                <w:b/>
                <w:bCs/>
                <w:color w:val="FFFFFF"/>
                <w:sz w:val="18"/>
                <w:szCs w:val="18"/>
              </w:rPr>
              <w:t xml:space="preserve">Beurteilung</w:t>
            </w:r>
          </w:p>
        </w:tc>
        <w:tc>
          <w:tcPr>
            <w:tcW w:type="dxa" w:w="3500"/>
            <w:shd w:fill="0F5C6E" w:color="auto" w:val="clear"/>
            <w:tcMar>
              <w:top w:type="dxa" w:w="70"/>
              <w:left w:type="dxa" w:w="100"/>
              <w:bottom w:type="dxa" w:w="70"/>
              <w:right w:type="dxa" w:w="100"/>
            </w:tcMar>
          </w:tcPr>
          <w:p>
            <w:pPr>
              <w:spacing w:after="0"/>
            </w:pPr>
            <w:r>
              <w:rPr>
                <w:b/>
                <w:bCs/>
                <w:color w:val="FFFFFF"/>
                <w:sz w:val="18"/>
                <w:szCs w:val="18"/>
              </w:rPr>
              <w:t xml:space="preserve">Behandlung in Version 2</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O Reservation</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A</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Fachlich und rechtlich der beste Teil von Version 1.</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Unverändert übernommen.</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Teil P Notariat</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A</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Übergabecheckliste mit 16 Positionen; die Unterscheidung der drei Zeitpunkte ist didaktisch richtig gelöst.</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Übernommen.</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Q Übergabeprotokoll</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A</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Elf Blöcke, 64 Felder; die vier häufigsten Fehler sind zutreffend benannt.</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Übernommen; im Handbuch gekürzt, Formular in Dokument 03 (siehe F-Befund).</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Teil R Abschlusscheckliste</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B</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65 Positionen mit Phase, Zuständigkeit und Nachweis. Ohne Verbindung zu Prüfpunkten bleibt sie eine Liste.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Mit Gates und Kontrollpunkten verbunden.</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S Ordnerstruktur</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B</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17 Ordner und eine gute Namenskonvention. Es fehlen Vertraulichkeit, Freigabestatus, Version und Verteilernachweis.</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Zu einer Dokumentenarchitektur mit Metadaten erweitert.</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Teil U Controlling</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C</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23 Kennzahlen mit Definition. Die Spalte «Orientierung» enthält teils starre Regeln, etwa «ab 90 Tagen Strategieüberprüfung» – siehe D2.</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Kennzahlen übernommen; Handlungsauslöser durch Entscheidungslogik ersetzt.</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W Rechtsregister</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B</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41 Positionen mit Grundlage, Kerninhalt und Praxis – Konzept richtig. Es fehlen Normebene und einzelne wertrelevante Themen.</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Auf 46 Positionen erweitert, Normebene je Position, R37/R38 korrigiert.</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Teil W2 Quellenangabe</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A</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Die Offenlegung, dass Fedlex nicht erreichbar war und die Aussagen auf Fachpublikationen beruhen, ist korrekt und in einem Handbuch selten.</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Übernommen und in Teil G verstärkt.</w:t>
            </w:r>
          </w:p>
        </w:tc>
      </w:tr>
    </w:tbl>
    <w:p>
      <w:pPr>
        <w:pStyle w:val="Heading1"/>
        <w:pageBreakBefore/>
        <w:spacing w:after="180" w:before="0"/>
      </w:pPr>
      <w:r>
        <w:t xml:space="preserve">2 · Kritische Befunde</w:t>
      </w:r>
    </w:p>
    <w:p>
      <w:pPr>
        <w:spacing w:after="120" w:before="0"/>
      </w:pPr>
      <w:r>
        <w:rPr>
          <w:color w:val="1A1A1A"/>
          <w:sz w:val="20"/>
          <w:szCs w:val="20"/>
        </w:rPr>
        <w:t xml:space="preserve">Fünf Befunde mit rechtlicher oder fachlicher Tragweite. Je Befund die acht im Auftrag verlangten Felder.</w:t>
      </w:r>
    </w:p>
    <w:p>
      <w:pPr>
        <w:pStyle w:val="Heading2"/>
        <w:spacing w:after="120" w:before="280"/>
      </w:pPr>
      <w:r>
        <w:t xml:space="preserve">D1 · Geldwäschereirechtliche Unterstellung pauschal angenommen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1 Bestehender Inhalt</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Version 1 baut in den Phasen 10, 15, 17 und 20 eine ausnahmslose Identifikations- und Dokumentationspflicht ein: Identifikation aller Auftraggeber und Käufer, Feststellung der wirtschaftlich berechtigten Person, gesondertes Dossier – bei jedem Mandat. Register R37 stellt die Unterstellung als gegeben dar und verweist nur allgemein auf eine Bestätigung durch die Rechtsabteilung.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2 Problem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Die Unterstellung nach Art. 2 Abs. 3bis und 3ter revGwG knüpft an die konkrete Mitwirkung an einer Finanztransaktion an, nicht an die Berufsbezeichnung. Die Fachpublikationen nennen ausdrücklich Ausnahmen, darunter den Kauf selbst bewohnter Wohnliegenschaften in der Schweiz, Ersatzliegenschaften nach Art. 12 Abs. 3 Bst. e StHG und Geschäfte unter CHF 5 Mio., die ausschliesslich über einen unterstellten Finanzintermediär abgewickelt werden. Der Normalfall dieses Handbuchs – Verkauf eines selbstgenutzten Einfamilienhauses an eine Familie, die dort einzieht – fällt damit voraussichtlich unter die Ausnahme.</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3 Risiko</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Zwei gegenläufige Risiken. Erstens Überkonformität: Es werden Ausweiskopien, Angaben zur Mittelherkunft und Daten zu wirtschaftlich Berechtigten erhoben, für die keine gesetzliche Grundlage besteht. Eine Datenerhebung ohne Rechtsgrundlage ist selbst ein Datenschutzproblem (R39) – das Handbuch löst mit der einen Pflicht einen Verstoss gegen die andere aus. Zweitens Unterkonformität an der falschen Stelle: Weil Version 1 die Prüfung an den Mandatsbeginn legt, wird der Fall nicht erfasst, in dem die Unterstellung tatsächlich greift – der Erwerb zu Anlage- oder Vermietungszwecken. Diese Information entsteht erst bei der Käuferqualifikation, also fünf Phasen später.</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4 Erforderliche Änderung</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Die pauschale Pflicht wird durch eine Triage ersetzt, die je Mandat entscheidet. Der Prüfzeitpunkt verschiebt sich vom Mandatsbeginn zur Käuferqualifikation, weil die maassgebliche Ausnahme an der Nutzungsabsicht der Käuferschaft anknüpft.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5 Konkrete neue Lösung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G, Abschnitt C2: sechsschrittiger Entscheidungsbaum mit den Ergebnispfaden A (unterstellt oder unklar, vollständige Pflichten, Compliance-Freigabe), B (Ausnahme greift voraussichtlich, reduzierter Umfang mit Beobachtungspflicht) und C (Verdachtsfall). Vier Ausnahmen sind einzeln mit Inhalt, Folge und Vorbehalt ausgewiesen. Ergebnis wird mit Begründung, Datum und prüfender Person abgelegt. Die Triage ist Kriterium in Gate 2 und Gate 6.</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6 Betroffene Phase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Phasen 10, 13, 15, 17 und 20; Gates 2, 6 und 8</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7 Benötigtes Dokument</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F-GwG Triage-Protokoll; Compliance-Dossier als eigene Dokumentenkategorie</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8 Verantwortlichkeit</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führt die Triage. Compliance entscheidet über Pfad A und gibt frei. Die grundsätzliche Unterstellungsfrage klärt die Rechtsabteilung mit der Selbstregulierungsorganisation einmal und hinterlegt sie als Weisung – bis dahin gilt vorsorglich Pfad B mit Dokumentationspflicht.</w:t>
            </w:r>
          </w:p>
        </w:tc>
      </w:tr>
    </w:tbl>
    <w:p>
      <w:pPr>
        <w:pStyle w:val="Heading2"/>
        <w:spacing w:after="120" w:before="280"/>
      </w:pPr>
      <w:r>
        <w:t xml:space="preserve">D2 · Preissteuerung als starre Frist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1 Bestehender Inhalt</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U von Version 1 nennt beim Kennwert «Tage am Markt» als Orientierung «segmentabhängig; ab 90 Tagen Strategieüberprüfung» und bei den Absagegründen «Häufung bei Preis ab 5 Nennungen erfordert Preisgespräch».</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2 Problem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Eine an den Zeitablauf gebundene Überprüfung sagt nicht, was zu tun ist, und legt die Preisreduktion als naheliegende Massnahme nahe. Der Zeitablauf ist kein Indikator für die Ursache. Ein Objekt mit vielen Anfragen und wenigen Besichtigungen hat ein Darstellungsproblem; ein Objekt ohne Anfragen hat ein Positionierungs- oder Auffindbarkeitsproblem. Beide sehen nach 90 Tagen gleich aus.</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3 Risiko</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Verfrühte oder falsch bemessene Preisreduktion. Eine Reduktion, die keine Preisstufe der Suchfilter überschreitet, wird von der Zielgruppe nicht gesehen und ist verloren. Eine Reduktionskette in kurzen Abständen signalisiert Not und zerstört die Verhandlungsposition endgültig. Zudem entsteht ein Haftungsrisiko gegenüber dem Eigentümer, wenn eine Preisempfehlung ohne dokumentierte Ursachenanalyse abgegeben wurde.</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4 Erforderliche Änderung</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Zeitbezogene Regel durch indikatorbasierte Entscheidungslogik ersetzen. Preisreduktion nur nach dokumentiertem Ausschluss der drei übrigen Ursachenfelder.</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5 Konkrete neue Lösung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C: 14 Indikatoren mit Erhebung und Aussagekraft; acht Entscheidungslogiken P1 bis P8 im Muster WENN / Interpretation / DANN / SONST / NIE; achtstufiger Ablauf einer Preisänderung mit Vier-Augen-Prüfung vor dem Eigentümergespräch. Auslösekriterien werden in Phase 9 vorab mit dem Eigentümer vereinbart, damit die spätere Diskussion an Kriterien und nicht an Stimmungen anknüpft.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6 Betroffene Phase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Phasen 9, 12 und 14; Kontrollpunkt K3</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7 Benötigtes Dokument</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V7 Marktfeedback und Ursachenanalyse; Blatt Preisindikatoren in Mappe 06</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8 Verantwortlichkeit</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erhebt und analysiert. Verkaufsleitung prüft die Vorlage im Vier-Augen-Prinzip. Der Eigentümer entscheidet schriftlich über jede Preisänderung.</w:t>
            </w:r>
          </w:p>
        </w:tc>
      </w:tr>
    </w:tbl>
    <w:p>
      <w:pPr>
        <w:pStyle w:val="Heading2"/>
        <w:spacing w:after="120" w:before="280"/>
      </w:pPr>
      <w:r>
        <w:t xml:space="preserve">D3 · Käuferqualifikation zu grob und Finanzierungsnachweis zu weich</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1 Bestehender Inhalt</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K2 von Version 1 definiert drei Stufen. Stufe A – «Besichtigung, vollständiges Dossier, aktive Begleitung» – setzt voraus: «Finanzierung schriftlich bestätigt oder plausible Selbstauskunft mit belegten Eigenmitteln».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2 Problem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Die Alternative «oder plausible Selbstauskunft» öffnet die höchste Stufe für unbelegte Finanzierungen. Zwischen «interessiert» und «Vertragskandidat» liegen faktisch mehrere Zustände mit unterschiedlichem Handlungsbedarf, die drei Stufen nicht abbilden. Ausserdem fehlt ein Zustand für Rückstufungen, etwa bei geplatzter Finanzierung.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3 Risiko</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Reservation und Rückstellung der Vermarktung auf einer nicht belegten Finanzierung. Platzt sie, war die Vermarktung wochenlang zurückgestellt, Zweitinteressenten sind abgewandert und die Standzeit ist gewachsen – der teuerste vermeidbare Fehler im ganzen Prozess.</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4 Erforderliche Änderung</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Neunstufiger Funnel mit je einem belegten Übergangskriterium. Die objektbezogene Bankbestätigung wird zum harten Kriterium für die Verhandlungsfähigkeit und zum Gate-Kriterium.</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5 Konkrete neue Lösung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E: Funnel von Lead bis Käufer mit Kriterium, Aktion, Pflichtdaten und Abbruchgrund je Stufe; fünf Funnelregeln, darunter die Pflicht zur dokumentierten Rückstufung und das Halten von Zweitinteressenten auf Stufe 7 bis zur Beurkundung. Gate 6 verlangt ausdrücklich die objektbezogene Bestätigung; eine allgemeine Kreditfähigkeitsauskunft genügt nicht.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6 Betroffene Phase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Phasen 13, 15 und 16; Gate 6; Kontrollpunkt K5</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7 Benötigtes Dokument</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F2 Käuferqualifikation mit Pflichtstufe je Feld; Blatt Interessenten in Mappe 06</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8 Verantwortlichkeit</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stuft ein und begründet. Verkaufsleitung prüft die Angebotsfähigkeit bei Gate 6.</w:t>
            </w:r>
          </w:p>
        </w:tc>
      </w:tr>
    </w:tbl>
    <w:p>
      <w:pPr>
        <w:pStyle w:val="Heading2"/>
        <w:spacing w:after="120" w:before="280"/>
      </w:pPr>
      <w:r>
        <w:t xml:space="preserve">D4 · Wertrelevante Rechtsthemen ohne Grundlage im Register</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1 Bestehender Inhalt</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Denkmalschutz und nicht bewilligte Bauten erscheinen in Version 1 ausschliesslich als Positionen B18 und C3 der Dokumenten-Checkliste sowie als Prüffrage in Phase 4. Im Rechtsregister sind sie nicht geführt.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2 Problem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Beide Themen sind wertbestimmend und haftungsrelevant. Ohne Registerposition fehlt die Rechtsgrundlage, die Normebene und die Praxisanweisung. Die Prüffrage in Phase 4 sagt, dass eine Planabweichung «zwingend weiterzuverfolgen» ist, aber nicht, gegen welche Grundlage, mit welcher Folge für Wohnflächenangabe und Bewertung, und wann der Prozess anzuhalten ist.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3 Risiko</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Eine nicht bewilligte Fläche wird als Wohnfläche ausgewiesen und beworben. Das ist eine unzutreffende Zusicherung (R9, R12) und kann bei Kenntnis als arglistiges Verschweigen gelten (R10). Beim Käufer entsteht ein Wiederherstellungsrisiko, bei der Bank ein Finanzierungsproblem. Beim Denkmalschutz besteht das Risiko, Umbaupotenzial zu bewerben, das nicht bewilligungsfähig ist.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4 Erforderliche Änderung</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Beide Themen als eigene Registerpositionen mit Normebene, Kerninhalt und Praxisanweisung aufnehmen und mit Gate 1 verbinden.</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5 Konkrete neue Lösung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Register R44 (nicht bewilligte Bauten und Bestandesschutz) und R45 (Denkmalschutz und Ortsbildschutz), beide mit Normebene «kantonales und kommunales Recht» und Kennzeichen [KA] [RP]. Gate 1 macht den geklärten Bewilligungsstatus zum Freigabekriterium und die ungeklärte Lage zum Stop-Kriterium. Sonderfälle S14 bis S16 führen das operative Vorgehen.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6 Betroffene Phase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Phasen 4, 5 und 6; Gate 1</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7 Benötigtes Dokument</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Prüfbericht Recht; Blatt Register in Mappe 02</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8 Verantwortlichkeit</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beschafft die schriftliche Auskunft der Baubehörde. Verkaufsleitung entscheidet bei Gate 1; Rechtsberatung bei erkennbarem Risiko.</w:t>
            </w:r>
          </w:p>
        </w:tc>
      </w:tr>
    </w:tbl>
    <w:p>
      <w:pPr>
        <w:pStyle w:val="Heading2"/>
        <w:spacing w:after="120" w:before="280"/>
      </w:pPr>
      <w:r>
        <w:t xml:space="preserve">D5 · Vier-Augen-Prinzip referenziert, aber nicht definiert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1 Bestehender Inhalt</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Version 1 verlangt an mehreren Stellen eine Vier-Augen-Prüfung: bei der Bewertung vor Versand, bei Dossier und Inserat gegen die Unterlagen, in der Abschlusscheckliste und in der Bewertungsmappe als Feld «Geprüft durch».</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2 Problem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Es ist nicht festgelegt, wer kontrolliert, was genau kontrolliert wird, wogegen kontrolliert wird und wie die Kontrolle nachgewiesen wird. Eine Kontrolle ohne Prüfgegenstand und ohne Nachweis ist eine Absichtserklärung. Zudem fehlt die Regelung für Einzelbesetzung, die in kleineren Einheiten der Normalfall ist.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3 Risiko</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Die Kontrolle findet faktisch nicht statt oder wird von der erstellenden Person selbst vermerkt. Damit entfällt die einzige systematische Absicherung gegen falsche Angaben in veröffentlichten Unterlagen – jener Fehlerklasse, die nach der Veröffentlichung nur noch mit Korrekturaufwand und Vertrauensverlust behebbar ist.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4 Erforderliche Änderung</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Zehn verbindliche Kontrollpunkte mit Erstellendem, Kontrollierendem, Prüfgegenstand, Nachweis und Folge bei fehlender Kontrolle.</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5 Konkrete neue Lösung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I: Kontrollpunkte K1 bis K10 an Bewertung, Veröffentlichung, Preisänderung, Versand sensibler Unterlagen, Angebotsannahme, Verhandlung, Vertragsunterlagen, Notariatsfreigabe, Übergabe und Mandatsabschluss. Grundsatz: der Kontrollierende ist nie der Erstellende; bei Einzelbesetzung übernimmt die Verkaufsleitung oder eine benannte Stellvertretung. Kontrolliert wird gegen die Quelle, nicht gegen die Plausibilität. Drei zulässige Ergebnisse: freigegeben, freigegeben mit Auflage, zurückgewiesen.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6 Betroffene Phase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Phasen 8, 11, 12, 13, 15, 16, 17, 18 und 20</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7 Benötigtes Dokument</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Kontrollvermerk je Punkt; Blatt Kontrollen in Mappe 02</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8 Verantwortlichkeit</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Verkaufsleitung ist Prüfer bei sieben von zehn Punkten und verantwortet die Einhaltung.</w:t>
            </w:r>
          </w:p>
        </w:tc>
      </w:tr>
    </w:tbl>
    <w:tbl>
      <w:tblPr>
        <w:tblW w:type="dxa" w:w="9600"/>
        <w:tblBorders>
          <w:top w:val="single" w:color="8A6A1F" w:sz="4"/>
          <w:left w:val="single" w:color="8A6A1F" w:sz="18"/>
          <w:bottom w:val="single" w:color="8A6A1F" w:sz="4"/>
          <w:right w:val="single" w:color="8A6A1F" w:sz="4"/>
          <w:insideH w:val="none"/>
          <w:insideV w:val="none"/>
        </w:tblBorders>
      </w:tblPr>
      <w:tblGrid>
        <w:gridCol w:w="9600"/>
      </w:tblGrid>
      <w:tr>
        <w:tc>
          <w:tcPr>
            <w:tcW w:type="dxa" w:w="9600"/>
            <w:shd w:fill="FBF3E2" w:color="auto" w:val="clear"/>
            <w:tcMar>
              <w:top w:type="dxa" w:w="140"/>
              <w:left w:type="dxa" w:w="180"/>
              <w:bottom w:type="dxa" w:w="140"/>
              <w:right w:type="dxa" w:w="160"/>
            </w:tcMar>
          </w:tcPr>
          <w:p>
            <w:pPr>
              <w:spacing w:after="70"/>
            </w:pPr>
            <w:r>
              <w:rPr>
                <w:b/>
                <w:bCs/>
                <w:color w:val="8C2F2F"/>
                <w:sz w:val="19"/>
                <w:szCs w:val="19"/>
              </w:rPr>
              <w:t xml:space="preserve">Rechtliche Prüfung durch Notariat / Rechtsberatung erforderlich</w:t>
            </w:r>
          </w:p>
          <w:p>
            <w:pPr>
              <w:spacing w:after="50"/>
            </w:pPr>
            <w:r>
              <w:rPr>
                <w:sz w:val="19"/>
                <w:szCs w:val="19"/>
              </w:rPr>
              <w:t xml:space="preserve">Befund D1 betrifft die Rechtslage und beruht auf Fachpublikationen, weil Fedlex und die Bundesstellen aus der Arbeitsumgebung nicht erreichbar waren. Die Sekundärquellen widersprechen sich: Compliance-Dienstleister stellen die Unterstellung der Immobilienvermittlung pauschal dar, anwaltliche Analysen betonen die tätigkeitsbezogene Anknüpfung und die Ausnahmen.</w:t>
            </w:r>
          </w:p>
          <w:p>
            <w:pPr>
              <w:spacing w:after="50"/>
            </w:pPr>
            <w:r>
              <w:rPr>
                <w:sz w:val="19"/>
                <w:szCs w:val="19"/>
              </w:rPr>
              <w:t xml:space="preserve">Version 2.0 löst diesen Widerspruch nicht auf – das kann ein Handbuch aus Sekundärquellen nicht. Sie ersetzt die pauschale Annahme durch eine dokumentierte Triage und weist die Klärung ausdrücklich der Rechtsabteilung und der Selbstregulierungsorganisation zu. Bis zur Klärung gilt vorsorglich der reduzierte Pfad B mit Dokumentationspflicht.</w:t>
            </w:r>
          </w:p>
        </w:tc>
      </w:tr>
    </w:tbl>
    <w:p>
      <w:pPr>
        <w:pStyle w:val="Heading1"/>
        <w:pageBreakBefore/>
        <w:spacing w:after="180" w:before="0"/>
      </w:pPr>
      <w:r>
        <w:t xml:space="preserve">3 · Fehlende Bestandteile</w:t>
      </w:r>
    </w:p>
    <w:p>
      <w:pPr>
        <w:spacing w:after="120" w:before="0"/>
      </w:pPr>
      <w:r>
        <w:rPr>
          <w:color w:val="1A1A1A"/>
          <w:sz w:val="20"/>
          <w:szCs w:val="20"/>
        </w:rPr>
        <w:t xml:space="preserve">Fünfzehn Bestandteile eines operativen Verkaufsmanagementsystems fehlten in Version 1 vollständig.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500"/>
        <w:gridCol w:w="2100"/>
        <w:gridCol w:w="3400"/>
        <w:gridCol w:w="3600"/>
      </w:tblGrid>
      <w:tr>
        <w:trPr>
          <w:tblHeader/>
        </w:trPr>
        <w:tc>
          <w:tcPr>
            <w:tcW w:type="dxa" w:w="50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Fehlender Bestandteil</w:t>
            </w:r>
          </w:p>
        </w:tc>
        <w:tc>
          <w:tcPr>
            <w:tcW w:type="dxa" w:w="3400"/>
            <w:shd w:fill="0F5C6E" w:color="auto" w:val="clear"/>
            <w:tcMar>
              <w:top w:type="dxa" w:w="70"/>
              <w:left w:type="dxa" w:w="100"/>
              <w:bottom w:type="dxa" w:w="70"/>
              <w:right w:type="dxa" w:w="100"/>
            </w:tcMar>
          </w:tcPr>
          <w:p>
            <w:pPr>
              <w:spacing w:after="0"/>
            </w:pPr>
            <w:r>
              <w:rPr>
                <w:b/>
                <w:bCs/>
                <w:color w:val="FFFFFF"/>
                <w:sz w:val="18"/>
                <w:szCs w:val="18"/>
              </w:rPr>
              <w:t xml:space="preserve">Auswirkung des Fehlens</w:t>
            </w:r>
          </w:p>
        </w:tc>
        <w:tc>
          <w:tcPr>
            <w:tcW w:type="dxa" w:w="3600"/>
            <w:shd w:fill="0F5C6E" w:color="auto" w:val="clear"/>
            <w:tcMar>
              <w:top w:type="dxa" w:w="70"/>
              <w:left w:type="dxa" w:w="100"/>
              <w:bottom w:type="dxa" w:w="70"/>
              <w:right w:type="dxa" w:w="100"/>
            </w:tcMar>
          </w:tcPr>
          <w:p>
            <w:pPr>
              <w:spacing w:after="0"/>
            </w:pPr>
            <w:r>
              <w:rPr>
                <w:b/>
                <w:bCs/>
                <w:color w:val="FFFFFF"/>
                <w:sz w:val="18"/>
                <w:szCs w:val="18"/>
              </w:rPr>
              <w:t xml:space="preserve">Umsetzung in Version 2</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E1</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Gate-System</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Prozess läuft linear ohne verbindliche Prüfpunkte; Abschlusskriterien sind Selbstprüfung ohne Prüfer und Nachweis.</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B: zehn Gates mit 84 Kriterien, 37 Stop-Kriterien, Prüfer, Nachweis, Eskalation und drei Freigabeergebnissen.</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E2</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Sonderfallkatalog</w:t>
            </w:r>
          </w:p>
        </w:tc>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Sonderfälle sind über Phasen und Checkliste verstreut; keine Erkennung, keine Eskalationsregel.</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Teil J: 30 Sonderfälle mit Erkennung, Risiko, Abklärung, zuständiger Stelle, Dokumenten, Stop-Kriterium und Eskalation.</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E3</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Fehler- und Notfallmanagement</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 Kapitel zum Vorgehen bei Fehlern. Der häufigste operative Bedarf überhaupt.</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J: 17 Störfälle mit Sofortmassnahme, Verantwortlichem, Information, Dokumentation, Rechtsprüfung, Eigentümerentscheid, Wiederaufnahme und Prävention.</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E4</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Objektstatus-Pipeline im CRM</w:t>
            </w:r>
          </w:p>
        </w:tc>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Version 1 führt nur Interessentenstatus. Der Objektfortschritt ist nicht abbildbar.</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Teil I: 17 Objektstatus mit Phase, Bedeutung und Pflichtfeldern; zehn Verlustgründe.</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E5</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Dokumentenarchitektur</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Ordnerstruktur und Namenskonvention vorhanden, aber keine Vertraulichkeit, kein Freigabestatus, keine Versionierung, kein Verteilernachweis.</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I: 15 Kategorien mit Vertraulichkeitsstufe, Freigabe und Aufbewahrung; zehn Metadatenfelder; Datenraum mit Verteilernachweis.</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E6</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Vermarktungsstufen</w:t>
            </w:r>
          </w:p>
        </w:tc>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Kanäle sind geordnet, aber es gibt keine Stufen. Pre-Marketing, Off-Market, Soft Launch, Remarketing und Rückzug fehlen.</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Teil F: acht Stufen mit Zweck, Zielgruppe, Zeitpunkt, Kosten, Verantwortlichem, Messung und Regel; neun Kanäle mit denselben Feldern.</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E7</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Eigentümerreports</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Kommunikationsvorlagen vorhanden, aber kein Reportsystem. Der wöchentliche Report und die Ursachenanalyse fehlen.</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D: 14 Dokumente V1 bis V14 mit Anlass, Zweck, Inhalt und Entscheid; sechs Fragen, die jeder Report beantwortet.</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E8</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Verhandlungsvorbereitung und -protokoll</w:t>
            </w:r>
          </w:p>
        </w:tc>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Verhandlungsmasse ist beschrieben, aber Vorbereitungsrahmen und Dokumentation fehlen.</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Teil E: elf Vorbereitungspunkte, zehn Protokollfelder, sechs Verhandlungsregeln.</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E9</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Entscheidungslogik</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Version 1 sagt an kritischen Stellen «prüfen», ohne die Entscheidung zu führen.</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Acht Preislogiken P1–P8, sechsschrittige GwG-Triage, 30 Sonderfälle und 17 Störfälle – alle im Muster Voraussetzung, Handlung, Alternative, Verbot.</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E10</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Begriffsverzeichnis</w:t>
            </w:r>
          </w:p>
        </w:tc>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Zentrale Begriffe werden verwendet, ohne definiert zu sein: Wertspanne, Freizeichnung, Nachwirkung, harte Eigenmittel.</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Teil A: 30 Begriffe mit festgelegter Bedeutung im Sinne dieses Handbuchs.</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E11</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TJPG und Transparenzregister</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In Version 1 nicht erwähnt, obwohl per 1. Oktober 2026 in Kraft und bei juristischen Personen als Partei relevant.</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Register R42 und Teil G, Abschnitt C3, mit ausdrücklicher Abgrenzung dessen, was der Makler nicht tut.</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E12</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PEP- und Sanktionsabklärungen</w:t>
            </w:r>
          </w:p>
        </w:tc>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Nicht behandelt.</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Teil G, Abschnitt C4, mit Arbeitsregel je Triage-Pfad und ausdrücklicher Kennzeichnung der Abhängigkeit von Unterstellung und SRO.</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E13</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Aufbewahrungsfristen</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S nennt «Aufbewahrungsfristen setzen», ohne sie zu benennen.</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G: neun Kategorien mit Dauer, Grund und Vertraulichkeitsstufe; Registerposition R46 zur handelsrechtlichen Untergrenze.</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E14</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Interessenkonflikte</w:t>
            </w:r>
          </w:p>
        </w:tc>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Doppelmäkelei ist behandelt, weitere Konflikte nicht: eigene Kaufabsicht, nahestehende Personen, Beteiligungen, Doppelmandat.</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Sonderfall S30 mit Offenlegungs- und Zustimmungspflicht; Registerposition R43 zur Treuepflicht.</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E15</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Falltests</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Das System wurde nicht gegen reale Fallverläufe geprüft.</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K: zehn Falltests mit Prozessverlauf, Entscheidungen, Gates, Eskalationen und Ergebnis; die dabei gefundenen Lücken sind eingearbeitet.</w:t>
            </w:r>
          </w:p>
        </w:tc>
      </w:tr>
    </w:tbl>
    <w:p>
      <w:pPr>
        <w:pStyle w:val="Heading1"/>
        <w:pageBreakBefore/>
        <w:spacing w:after="180" w:before="0"/>
      </w:pPr>
      <w:r>
        <w:t xml:space="preserve">4 · Redundanzen</w:t>
      </w:r>
    </w:p>
    <w:p>
      <w:pPr>
        <w:spacing w:after="120" w:before="0"/>
      </w:pPr>
      <w:r>
        <w:rPr>
          <w:color w:val="1A1A1A"/>
          <w:sz w:val="20"/>
          <w:szCs w:val="20"/>
        </w:rPr>
        <w:t xml:space="preserve">Sechs Doppelungen. Die Zusammenführung folgt dem Grundsatz, dass jeder Inhalt genau einmal gepflegt wird – zwei Listen laufen mit der Zeit auseinander.</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500"/>
        <w:gridCol w:w="1900"/>
        <w:gridCol w:w="3200"/>
        <w:gridCol w:w="4000"/>
      </w:tblGrid>
      <w:tr>
        <w:trPr>
          <w:tblHeader/>
        </w:trPr>
        <w:tc>
          <w:tcPr>
            <w:tcW w:type="dxa" w:w="50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1900"/>
            <w:shd w:fill="0F5C6E" w:color="auto" w:val="clear"/>
            <w:tcMar>
              <w:top w:type="dxa" w:w="70"/>
              <w:left w:type="dxa" w:w="100"/>
              <w:bottom w:type="dxa" w:w="70"/>
              <w:right w:type="dxa" w:w="100"/>
            </w:tcMar>
          </w:tcPr>
          <w:p>
            <w:pPr>
              <w:spacing w:after="0"/>
            </w:pPr>
            <w:r>
              <w:rPr>
                <w:b/>
                <w:bCs/>
                <w:color w:val="FFFFFF"/>
                <w:sz w:val="18"/>
                <w:szCs w:val="18"/>
              </w:rPr>
              <w:t xml:space="preserve">Redundanz</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Wo</w:t>
            </w:r>
          </w:p>
        </w:tc>
        <w:tc>
          <w:tcPr>
            <w:tcW w:type="dxa" w:w="4000"/>
            <w:shd w:fill="0F5C6E" w:color="auto" w:val="clear"/>
            <w:tcMar>
              <w:top w:type="dxa" w:w="70"/>
              <w:left w:type="dxa" w:w="100"/>
              <w:bottom w:type="dxa" w:w="70"/>
              <w:right w:type="dxa" w:w="100"/>
            </w:tcMar>
          </w:tcPr>
          <w:p>
            <w:pPr>
              <w:spacing w:after="0"/>
            </w:pPr>
            <w:r>
              <w:rPr>
                <w:b/>
                <w:bCs/>
                <w:color w:val="FFFFFF"/>
                <w:sz w:val="18"/>
                <w:szCs w:val="18"/>
              </w:rPr>
              <w:t xml:space="preserve">Zusammenführung</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F1</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Objektaufnahme doppelt</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Alle 182 Felder stehen im Handbuch (Teil E, Seiten 40–46) und in Arbeitsmappe 07.</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Im Handbuch nur Blockstruktur, Erfassungsregeln und die kritischen Felder; die Feldliste bleibt der Arbeitsmappe. Ersparnis rund sechs Seiten ohne Informationsverlust – gearbeitet wird ohnehin in der Mappe.</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F2</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Formulare doppelt</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Interessentenformular, Übergabeprotokoll und Notariatscheckliste stehen vollständig im Handbuch und in Dokument 03.</w:t>
            </w:r>
          </w:p>
        </w:tc>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Im Handbuch Zweck, Struktur in Blöcken und die Prüfpunkte; die ausfüllbare Fassung bleibt in Dokument 03. Ersparnis rund acht Seiten.</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F3</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Vorlagenübersicht doppelt</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T listet die 20 Kommunikationsvorlagen, die in Dokument 05 nochmals mit derselben Tabelle beginnen.</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Eine Übersicht im Handbuch mit Verweis; Dokument 05 beginnt direkt mit den Vorlagen.</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F4</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Prozessübersicht doppelt</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Teil A4 zeigt alle 20 Phasen als Tabelle, Teil V dieselbe Abfolge als Flow über zwei Seiten.</w:t>
            </w:r>
          </w:p>
        </w:tc>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Flow auf eine Seite verdichtet und um die Gates ergänzt – dadurch wird er zum eigenständigen Steuerungsbild statt zur Wiederholung.</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F5</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Abschlusskriterien und Gate-Kriterien überschneiden sich</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Die «Weiter wenn»-Kriterien der Phasen 6, 10, 11, 15 und 17 wiederholen sich in den Gate-Kriterien.</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Kriterien einmal im Gate, in der Phase nur der Verweis auf das Gate. Verhindert, dass zwei Listen auseinanderlaufen.</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F6</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Rechtshinweise mehrfach ausformuliert</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Der Hinweis zur Formungültigkeit der Reservation steht in Phase 15, Phase 17, Teil M, Teil O und Teil T.</w:t>
            </w:r>
          </w:p>
        </w:tc>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Einmal vollständig in Teil G mit Registerbezug, an den übrigen Stellen der Verweis R2. Der Hinweis bleibt an allen Stellen sichtbar, aber nur an einer pflegbar.</w:t>
            </w:r>
          </w:p>
        </w:tc>
      </w:tr>
    </w:tbl>
    <w:tbl>
      <w:tblPr>
        <w:tblW w:type="dxa" w:w="9600"/>
        <w:tblBorders>
          <w:top w:val="single" w:color="0F5C6E" w:sz="4"/>
          <w:left w:val="single" w:color="0F5C6E" w:sz="18"/>
          <w:bottom w:val="single" w:color="0F5C6E" w:sz="4"/>
          <w:right w:val="single" w:color="0F5C6E" w:sz="4"/>
          <w:insideH w:val="none"/>
          <w:insideV w:val="none"/>
        </w:tblBorders>
      </w:tblPr>
      <w:tblGrid>
        <w:gridCol w:w="9600"/>
      </w:tblGrid>
      <w:tr>
        <w:tc>
          <w:tcPr>
            <w:tcW w:type="dxa" w:w="9600"/>
            <w:shd w:fill="EDF1F2" w:color="auto" w:val="clear"/>
            <w:tcMar>
              <w:top w:type="dxa" w:w="140"/>
              <w:left w:type="dxa" w:w="180"/>
              <w:bottom w:type="dxa" w:w="140"/>
              <w:right w:type="dxa" w:w="160"/>
            </w:tcMar>
          </w:tcPr>
          <w:p>
            <w:pPr>
              <w:spacing w:after="70"/>
            </w:pPr>
            <w:r>
              <w:rPr>
                <w:b/>
                <w:bCs/>
                <w:color w:val="0B4655"/>
                <w:sz w:val="19"/>
                <w:szCs w:val="19"/>
              </w:rPr>
              <w:t xml:space="preserve">Wirkung auf den Umfang</w:t>
            </w:r>
          </w:p>
          <w:p>
            <w:pPr>
              <w:spacing w:after="50"/>
            </w:pPr>
            <w:r>
              <w:rPr>
                <w:sz w:val="19"/>
                <w:szCs w:val="19"/>
              </w:rPr>
              <w:t xml:space="preserve">Version 1 hatte 264 Seiten. Die Zusammenführungen sparen rund zwanzig Seiten, die Ergänzungen kosten deutlich mehr.</w:t>
            </w:r>
          </w:p>
          <w:p>
            <w:pPr>
              <w:spacing w:after="50"/>
            </w:pPr>
            <w:r>
              <w:rPr>
                <w:sz w:val="19"/>
                <w:szCs w:val="19"/>
              </w:rPr>
              <w:t xml:space="preserve">Der Umfang von Version 2.0 wächst also – aber nicht durch mehr Text zum gleichen Inhalt, sondern durch Gates, Sonderfälle, Störfälle, Kontrollpunkte und Entscheidungslogik. Das sind die Teile, die aus einem Handbuch ein System machen.</w:t>
            </w:r>
          </w:p>
          <w:p>
            <w:pPr>
              <w:spacing w:after="50"/>
            </w:pPr>
            <w:r>
              <w:rPr>
                <w:sz w:val="19"/>
                <w:szCs w:val="19"/>
              </w:rPr>
              <w:t xml:space="preserve">Gestrichen wurde kein Fachinhalt. Die drei gekürzten Teile – Objektaufnahme, Formulare, Vorlagenübersicht – liegen in den Begleitdateien vollständig vor, wo mit ihnen gearbeitet wird.</w:t>
            </w:r>
          </w:p>
        </w:tc>
      </w:tr>
    </w:tbl>
    <w:p>
      <w:pPr>
        <w:pStyle w:val="Heading1"/>
        <w:pageBreakBefore/>
        <w:spacing w:after="180" w:before="0"/>
      </w:pPr>
      <w:r>
        <w:t xml:space="preserve">5 · Falltests</w:t>
      </w:r>
    </w:p>
    <w:p>
      <w:pPr>
        <w:spacing w:after="120" w:before="0"/>
      </w:pPr>
      <w:r>
        <w:rPr>
          <w:color w:val="1A1A1A"/>
          <w:sz w:val="20"/>
          <w:szCs w:val="20"/>
        </w:rPr>
        <w:t xml:space="preserve">Zehn Verkaufsfälle wurden durch Version 2.0 geführt. Prüffrage: Kann ein Makler den Fall mit diesem Handbuch vollständig bearbeiten – und wo bricht das System ab?</w:t>
      </w:r>
    </w:p>
    <w:p>
      <w:pPr>
        <w:pStyle w:val="Heading2"/>
        <w:spacing w:after="120" w:before="280"/>
      </w:pPr>
      <w:r>
        <w:t xml:space="preserve">FT1 · Normales Einfamilienhaus, selbstgenutzt, Alleineigentum</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600"/>
        <w:gridCol w:w="7000"/>
      </w:tblGrid>
      <w:tr>
        <w:trPr>
          <w:tblHeader/>
        </w:trPr>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0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Ausgangslage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Ehepaar verkauft sein selbstgenutztes Haus, Baujahr 2004, Zustand gut, kein Zeitdruck, Ersatzobjekt gemietet. Käuferschaft wird dort selbst einziehen.</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Prozessverlauf</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Phasen 1 bis 20 im Regelverlauf. Gate 1 unkritisch: ein Wegrecht, offenzulegen. Bewertung mit drei Vergleichsobjekten und Realwertkontrolle. Angebotspreis in der Mitte der Spanne. Marktstart Stufe 5 nach Pre-Marketing. Vier Besichtigungen, zwei Zweitbesichtigungen, ein Angebot 2 Prozent unter Angebotspreis mit Bankbestätigung.</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Entscheidungen und Entscheidungsträger</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Bewertungsauftrag (P3), Angebotspreis und Mindestpreis (P9), Vermarktungsfreigabe (P11), Annahme des Angebots (P16).</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Gates</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Alle zehn, ohne Verweigerung. Triage in Schritt 4: Käuferschaft zieht selbst ein, Ausnahme X1 kommt in Betracht, Pfad B.</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F1, 07, 02, Prüfbericht Recht, 08, Mandat, 04, F2, F3, F4, F5, F7, F9, F11, V1 bis V14.</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Eskalationen</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Keine.</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Ausgelöste Stop-Kriterien</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Keine.</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Prozessende</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Beurkundung, Eintragung, Übergabe, Abschlussbericht, Archivierung.</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Befund</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Das Handbuch trägt den Regelfall vollständig. Der Pfad-B-Vermerk verhindert die unnötige Erhebung von Compliance-Daten, die Version 1 verlangt hätte.</w:t>
            </w:r>
          </w:p>
        </w:tc>
      </w:tr>
    </w:tbl>
    <w:p>
      <w:pPr>
        <w:pStyle w:val="Heading2"/>
        <w:spacing w:after="120" w:before="280"/>
      </w:pPr>
      <w:r>
        <w:t xml:space="preserve">FT2 · Überteuerte Preisvorstellung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600"/>
        <w:gridCol w:w="7000"/>
      </w:tblGrid>
      <w:tr>
        <w:trPr>
          <w:tblHeader/>
        </w:trPr>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0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Ausgangslage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verlangt 18 Prozent über der oberen Grenze der Wertspanne, gestützt auf eine Online-Schätzung und einen Nachbarschaftsverkauf von 2022. Kein Zeitdruck.</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Prozessverlauf</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Phasen 1 bis 9 regulär. In Phase 9 weicht der Preisentscheid von der Spanne ab. Sonderfall S28 greift. Verkaufsleitung entscheidet über eine Testphase von acht Wochen mit schriftlich vereinbarten Auslösekriterien. Marktstart Stufe 5. Nach sechs Wochen: 11 Anfragen, 2 Besichtigungen, kein Angebot. Auslösekriterium erreicht.</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Entscheidungen und Entscheidungsträger</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Mandat mit Testphase oder Ablehnung (Verkaufsleitung, P9). Massnahme nach Ursachenanalyse (Eigentümer, P12). Preisanpassung nach V7.</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Gates</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 5 mit Eskalation an die Verkaufsleitung wegen Preisforderung über der Spanne. Übrige Gates regulär.</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Bewertungsbericht, Nettoerlösrechnung, Strategieprotokoll mit Testphase und Mechanismus, V7 mit Ursachenanalyse, Protokoll Preisentscheid.</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Eskalationen</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Verkaufsleitung bei Gate 5. Entscheid: Testphase mit Mechanismus, nicht Mandatsverzicht.</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Ausgelöste Stop-Kriterien</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5 wäre verweigert worden, wenn der Eigentümer jeden Anpassungsmechanismus abgelehnt hätte.</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Prozessende</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Nach Ursachenanalyse P1 – wenige Anfragen, unauffällige Besichtigungsquote – zuerst Leitbild und Titel korrigiert, danach Preisanpassung auf die obere Spannengrenze. Verkauf in Woche 14.</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Befund</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Trägt. Entscheidend ist, dass die Auslösekriterien in Phase 9 vereinbart wurden: die Preisdiskussion in Woche 6 knüpfte an Kriterien an und nicht an Stimmung.</w:t>
            </w:r>
          </w:p>
        </w:tc>
      </w:tr>
    </w:tbl>
    <w:p>
      <w:pPr>
        <w:pStyle w:val="Heading2"/>
        <w:spacing w:after="120" w:before="280"/>
      </w:pPr>
      <w:r>
        <w:t xml:space="preserve">FT3 · Erbengemeinschaft mit vier Erben, einer im Ausland</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600"/>
        <w:gridCol w:w="7000"/>
      </w:tblGrid>
      <w:tr>
        <w:trPr>
          <w:tblHeader/>
        </w:trPr>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0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Ausgangslage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Elternhaus, Erblasserin verstorben, vier Erben, einer mit Wohnsitz im Ausland, untereinander uneinig über Preisuntergrenze.</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Prozessverlauf</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Sonderfall S1 in Phase 3 erkannt. Mandat erst nach Erbbescheinigung, Ausweisen aller Erben und schriftlicher Entscheidungsregel. Gate 2 zunächst verweigert, weil eine Unterschrift fehlte; nach beglaubigter Vollmacht des auswärtigen Erben freigegeben. Vermarktung regulär. Bei Angebotseingang Uneinigkeit über die Annahme.</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Entscheidungen und Entscheidungsträger</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Entscheidungsregel vor Mandatsbeginn (alle Erben, P3). Mandatsannahme (Verkaufsleitung, P10). Annahme des Angebots nach der Entscheidungsregel (P16).</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Gates</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 2 zunächst verweigert – Stop-Kriterium «eine Unterschrift fehlt». Nach Vollmacht freigegeben.</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Erbbescheinigung, Ausweise aller Erben, beglaubigte Vollmacht, schriftliche Entscheidungsregel, V8 an alle Erben gleichzeitig.</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Eskalationen</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Rechtsberatung vor Mandatsausfertigung; Notariat zur Form der Vollmacht des auswärtigen Erben (R16).</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Ausgelöste Stop-Kriterien</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Ohne Entscheidungsregel wäre das Mandat nicht angenommen worden (S1).</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Prozessende</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 nach 11 Wochen. Störfall T11 trat ein und wurde über die Entscheidungsregel gelöst.</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Befund</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Trägt. S1 und die Gate-2-Stop-Kriterien greifen genau an der Stelle, an der solche Mandate üblicherweise scheitern.</w:t>
            </w:r>
          </w:p>
        </w:tc>
      </w:tr>
    </w:tbl>
    <w:p>
      <w:pPr>
        <w:pStyle w:val="Heading2"/>
        <w:spacing w:after="120" w:before="280"/>
      </w:pPr>
      <w:r>
        <w:t xml:space="preserve">FT4 · Haus mit erheblichem Sanierungsbedarf</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600"/>
        <w:gridCol w:w="7000"/>
      </w:tblGrid>
      <w:tr>
        <w:trPr>
          <w:tblHeader/>
        </w:trPr>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0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Ausgangslage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Baujahr 1968, Ölheizung von 1998, Fenster original, Elektroinstallation nicht kontrolliert, Dach 1995 saniert. Eigentümer möchte «wie es ist» verkaufen.</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Prozessverlauf</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Phase 4 erfasst den Sanierungsbedarf bauteilweise. Gate 3: Sanierungsbedarf beträgt 38 Prozent des Zeitbauwerts, also unter der Eskalationsschwelle von 40 Prozent; Bewertung ohne Fremdexpertise möglich. Offenlegung mit Kostenschätzung je Bauteil im Dossier, Abschnitt 18. Zielgruppe Umbauwillige. Angebotspreis mit ausgewiesenem Abzug.</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Entscheidungen und Entscheidungsträger</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Zustandsanalyse beauftragen oder nicht (Eigentümer, P5). Offenlegungstiefe (P11). Preisstrategie mit Abzug (P9).</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Gates</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 3 mit Prüfung der 40-Prozent-Schwelle. Gate 4 verlangt den vollständigen Offenlegungsteil.</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07 mit Blatt Sanierungsbedarf, 08 mit bauteilweisem Abzug, 04 Abschnitt 18, Mängelliste.</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Eskalationen</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Keine. Bei über 40 Prozent wäre eine Schätzungsexpertise zu beantragen gewesen.</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Ausgelöste Stop-Kriterien</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Keine.</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Prozessende</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 an ein Paar mit Umbauabsicht, 4 Prozent unter Angebotspreis, ohne Nachverhandlung über den Zustand.</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Befund</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Trägt. Die bauteilweise Bezifferung begrenzte den Abschlag auf das Sachliche – die Käuferschaft verhandelte über den Preis, nicht über das Vertrauen.</w:t>
            </w:r>
          </w:p>
        </w:tc>
      </w:tr>
    </w:tbl>
    <w:p>
      <w:pPr>
        <w:pStyle w:val="Heading2"/>
        <w:spacing w:after="120" w:before="280"/>
      </w:pPr>
      <w:r>
        <w:t xml:space="preserve">FT5 · Vermietetes Einfamilienhaus, Verkauf an Investor</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600"/>
        <w:gridCol w:w="7000"/>
      </w:tblGrid>
      <w:tr>
        <w:trPr>
          <w:tblHeader/>
        </w:trPr>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0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Ausgangslage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Haus mit bestehendem Mietverhältnis, Mieter seit acht Jahren, Verkauf an eine Anlegerin, die weiter vermietet.</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Prozessverlauf</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Sonderfall S10 in Phase 4 erkannt. Mietvertrag, Depot und Nebenkostenabrechnungen beschafft. Besichtigungen mit dem Mieter abgestimmt, schriftlich angekündigt, gebündelt. Bewertung zusätzlich mit Ertragswert. Triage Schritt 4: die Käuferschaft erwirbt zur Vermietung, Ausnahme X1 greift nicht; Schritt 5: Wert unter CHF 5 Mio. und Abwicklung über das Notariat, Ausnahme X3 kommt in Betracht, Pfad B mit Beobachtungspflicht.</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Entscheidungen und Entscheidungsträger</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Ertragswertrechnung (P8). Besichtigungsregime mit dem Mieter (P14). Triage-Pfad (Compliance, P15).</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Gates</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 3 verlangt Mietverträge und Mietzinsaufstellung. Gate 6 mit abgeschlossener Triage. Gate 9 verlangt die Regelung des Mietübergangs.</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Mietverträge, Depotnachweise, Ankündigungsschreiben an den Mieter, 08 Blatt Ertragswert, F-GwG Triage-Protokoll.</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Eskalationen</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Rechtsberatung zur Übergangsregelung im Kaufvertrag (R8).</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Ausgelöste Stop-Kriterien</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Besichtigungen ohne Ankündigung wären ein Stop-Kriterium nach S10.</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Prozessende</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 an die Anlegerin; Mietverhältnis geht über; Übergabe mit Mieterinformation.</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Befund</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LÜCKE GEFUNDEN UND GESCHLOSSEN: Version 1 und die erste Fassung von Version 2 hatten keine Grundlage für Besichtigungen in vermieteten Objekten. Registerposition R47 (Art. 257h OR) ist ergänzt: der Mieter hat eine Duldungspflicht, der Vermieter aber kein freies Zutrittsrecht; Besichtigungen sind rechtzeitig anzukündigen und auf das Notwendige zu beschränken. Sonderfall S10 und Phase 14 verweisen darauf.</w:t>
            </w:r>
          </w:p>
        </w:tc>
      </w:tr>
    </w:tbl>
    <w:p>
      <w:pPr>
        <w:pStyle w:val="Heading2"/>
        <w:spacing w:after="120" w:before="280"/>
      </w:pPr>
      <w:r>
        <w:t xml:space="preserve">FT6 · Einfamilienhaus im Baurecht, Restlaufzeit 31 Jahre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600"/>
        <w:gridCol w:w="7000"/>
      </w:tblGrid>
      <w:tr>
        <w:trPr>
          <w:tblHeader/>
        </w:trPr>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0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Ausgangslage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Haus auf fremdem Grund, selbständiges und dauerndes Baurecht, Baurechtszins indexiert, Heimfallregelung im Vertrag, Zustimmung des Baurechtsgebers bei Handänderung erforderlich.</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Prozessverlauf</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Sonderfall S9 in Phase 4 erkannt. Baurechtsvertrag beschafft, Restlaufzeit, Zinsmechanismus und Heimfallentschädigung ausgewertet. Zustimmung des Baurechtsgebers frühzeitig eingeholt. Finanzierbarkeit mit zwei Banken vorabgeklärt, weil die Restlaufzeit die Amortisationsdauer begrenzt. Bewertung ohne Landwert.</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Entscheidungen und Entscheidungsträger</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Zustimmung des Baurechtsgebers einholen (P6). Bewertungsmethodik ohne Landwert (P8). Zielgruppe und Preisstrategie unter Berücksichtigung der Finanzierbarkeit (P9).</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Gates</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 1 mit Stop-Kriterium bei ungeklärter Zustimmung. Gate 3 zur Datengrundlage.</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Baurechtsvertrag, Zinsabrechnung, Zustimmung des Baurechtsgebers, Bankauskünfte zur Finanzierbarkeit.</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Eskalationen</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Rechtsberatung zum Baurechtsvertrag; Banken zur Finanzierbarkeit bei kurzer Restlaufzeit.</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Ausgelöste Stop-Kriterien</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1 wäre verweigert worden, solange die Zustimmung des Baurechtsgebers offen war.</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Prozessende</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 nach 16 Wochen an eine Käuferschaft mit hohem Eigenmittelanteil, weil die Restlaufzeit die Hypothekardauer begrenzte.</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Befund</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LÜCKE GEFUNDEN UND GESCHLOSSEN: Das Realwertschema in Mappe 08 setzt Landfläche mal Landpreis an und ist beim Baurecht nicht anwendbar – es gibt keinen Landwert, sondern eine Zinsbelastung und eine begrenzte Restlaufzeit. In Teil C ist eine Anweisung ergänzt: beim Baurecht entfällt der Landwert, der kapitalisierte Baurechtszins wird als Belastung geführt, die Restlaufzeit wird als Abzug auf den Zeitbauwert abgebildet, und die Finanzierbarkeit ist vor der Preisfestlegung mit Banken zu klären.</w:t>
            </w:r>
          </w:p>
        </w:tc>
      </w:tr>
    </w:tbl>
    <w:p>
      <w:pPr>
        <w:pStyle w:val="Heading2"/>
        <w:spacing w:after="120" w:before="280"/>
      </w:pPr>
      <w:r>
        <w:t xml:space="preserve">FT7 · Ausländische Käuferschaft ohne Niederlassungsbewilligung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600"/>
        <w:gridCol w:w="7000"/>
      </w:tblGrid>
      <w:tr>
        <w:trPr>
          <w:tblHeader/>
        </w:trPr>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0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Ausgangslage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Interessent aus einem Drittstaat, Wohnsitz in der Schweiz mit Aufenthaltsbewilligung B, will das Objekt als Hauptwohnsitz erwerben.</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Prozessverlauf</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Phase 13: Käuferprofil erfasst Staatsangehörigkeit, Wohnsitz und Ausweiskategorie vor der Terminvergabe. Sonderfall S18 greift. Auskunft der kantonalen Bewilligungsbehörde eingeholt, bevor verhandelt wurde. Ergebnis im konkreten Fall: keine Bewilligungspflicht für den Erwerb einer Hauptwohnung am Wohnsitz – die Behörde bestätigt dies schriftlich. Triage Schritt 4: Selbstnutzung, Pfad B.</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Entscheidungen und Entscheidungsträger</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Erwerbsrechtliche Zulässigkeit klären, bevor die Besichtigung stattfindet (P13). Verhandlungsaufnahme erst nach Behördenauskunft (P16).</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Gates</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 6 mit Stop-Kriterium bei ungeklärter Bewilligungspflicht.</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Ausweiskopie, Wohnsitznachweis, schriftliche Auskunft der Bewilligungsbehörde, F-GwG Triage-Protokoll.</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Eskalationen</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Kantonale Bewilligungsbehörde; Rechtsberatung bei unklarem Ausländerstatus (R34).</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Ausgelöste Stop-Kriterien</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Keine Reservation ohne geklärte Bewilligungsfrage (S19).</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Prozessende</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Beurkundung nach regulärem Verlauf.</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Befund</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Trägt. Wesentlich ist, dass die Abklärung vor der Terminvergabe liegt und nicht erst beim Angebot – sonst wären Erwartungen geweckt worden, die möglicherweise nicht erfüllbar gewesen wären.</w:t>
            </w:r>
          </w:p>
        </w:tc>
      </w:tr>
    </w:tbl>
    <w:p>
      <w:pPr>
        <w:pStyle w:val="Heading2"/>
        <w:spacing w:after="120" w:before="280"/>
      </w:pPr>
      <w:r>
        <w:t xml:space="preserve">FT8 · Vier gleichzeitige Angebote, zwei über dem Angebotspreis</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600"/>
        <w:gridCol w:w="7000"/>
      </w:tblGrid>
      <w:tr>
        <w:trPr>
          <w:tblHeader/>
        </w:trPr>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0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Ausgangslage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Attraktives Objekt, Angebotspreis am unteren Rand der Spanne angesetzt. Innert acht Tagen vier Angebote, zwei darüber.</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Prozessverlauf</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Sonderfall S23 und Preislogik P5. Vor der ersten Rückmeldung legt die Verkaufsleitung das Verfahren fest, der Eigentümer beschliesst es: einmalige Nachfrist von fünf Arbeitstagen, gleiche Information an alle, keine Offenlegung von Beträgen. Gate 6 je Angebot geprüft: zwei Angebote ohne objektbezogene Bankbestätigung werden nicht verhandlungsfähig. Entscheidungsvorlage mit Nettoerlös und Abschlusssicherheit je Angebot.</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Entscheidungen und Entscheidungsträger</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Verfahren bei mehreren Angeboten (Eigentümer auf Antrag der Verkaufsleitung, P16). Zuschlag (Eigentümer, P16).</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Gates</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 6 für jedes Angebot einzeln; Gate 7 für den Verhandlungsauftrag.</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F5 Angebotsvergleich, Verfahrensmitteilung an alle vier, F6 Verhandlungsprotokoll, schriftlicher Zuschlagsentscheid.</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Eskalationen</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Verkaufsleitung zwingend vor der ersten Rückmeldung (S23).</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Ausgelöste Stop-Kriterien</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Keine Rückmeldung an einen Bietenden, bevor das Verfahren festgelegt war.</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Prozessende</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Zuschlag nicht an das höchste, sondern an das zweithöchste Angebot: Bankbestätigung vollständig, keine Bedingungen, Wunschtermin des Eigentümers. Differenz 1,2 Prozent.</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Befund</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Trägt. Die Matrix zeigte, dass das höchste Angebot einen Finanzierungsvorbehalt und eine Verkaufsbedingung trug. Ohne die Spalten zur Abschlusssicherheit wäre nach Preis entschieden worden.</w:t>
            </w:r>
          </w:p>
        </w:tc>
      </w:tr>
    </w:tbl>
    <w:p>
      <w:pPr>
        <w:pStyle w:val="Heading2"/>
        <w:spacing w:after="120" w:before="280"/>
      </w:pPr>
      <w:r>
        <w:t xml:space="preserve">FT9 · Käufer mit unsicherer Finanzierung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600"/>
        <w:gridCol w:w="7000"/>
      </w:tblGrid>
      <w:tr>
        <w:trPr>
          <w:tblHeader/>
        </w:trPr>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0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Ausgangslage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Einziger Interessent nach zehn Wochen. Angebot im Zielbereich, aber nur Selbstauskunft; Eigenmittel überwiegend aus der zweiten Säule.</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Prozessverlauf</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Sonderfall S21 und Preislogik P6. Objektbezogene Bankbestätigung mit Frist von zehn Arbeitstagen verlangt. Vermarktung nicht zurückgestellt, Zweitinteressenten nicht abgesagt. Prüfung des harten Eigenmittelanteils: unter 10 Prozent, weil Gelder der zweiten Säule nicht als harte Eigenmittel gelten (R40). Bank lehnt in der vorgesehenen Höhe ab.</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Entscheidungen und Entscheidungsträger</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Frist setzen statt reservieren (P15). Vermarktung weiterführen (P15). Kein Gate-6-Durchgang (Verkaufsleitung).</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Gates</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 6 nicht passiert – Stop-Kriterium «keine objektbezogene Finanzierungsbestätigung».</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F4 Angebotsformular, Fristsetzung schriftlich, Eigenmittelaufstellung, V8 mit Hinweis auf das Abbruchrisiko.</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Eskalationen</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Verkaufsleitung, weil der Eigentümer trotz fehlender Bestätigung reservieren wollte (S21).</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Ausgelöste Stop-Kriterien</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Reservation wurde nicht ausgestellt und die Vermarktung nicht zurückgestellt.</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Prozessende</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 sechs Wochen später an eine andere Käuferschaft mit vollständiger Bestätigung, zu einem um 1,5 Prozent tieferen Preis.</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Befund</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Trägt und verhindert den teuersten Fehler. Nach Version 1 hätte die «plausible Selbstauskunft» für Stufe A genügt und eine Reservation wäre möglich gewesen – mit sechs verlorenen Wochen bei zurückgestellter Vermarktung.</w:t>
            </w:r>
          </w:p>
        </w:tc>
      </w:tr>
    </w:tbl>
    <w:p>
      <w:pPr>
        <w:pStyle w:val="Heading2"/>
        <w:spacing w:after="120" w:before="280"/>
      </w:pPr>
      <w:r>
        <w:t xml:space="preserve">FT10 · Verkauf scheitert zwei Tage vor dem Notariatstermin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600"/>
        <w:gridCol w:w="7000"/>
      </w:tblGrid>
      <w:tr>
        <w:trPr>
          <w:tblHeader/>
        </w:trPr>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0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Ausgangslage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Reservation ausgestellt, Notariat beauftragt, Beurkundung terminiert. Zwei Tage vorher teilt die Käuferbank mit, dass die Finanzierung wegen einer Veränderung beim Käufer nicht bereitgestellt wird.</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Prozessverlauf</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Störfall T8 und T12. Schriftliche Bestätigung der Bank eingeholt. Eigentümer am gleichen Tag informiert, Notariat unverzüglich. Frist für eine Alternativfinanzierung gesetzt und nicht eingehalten. Vermarktung wieder aufgenommen; Zweitinteressent aus Funnelstufe 7, der in Wartestellung gehalten wurde, angesprochen. Keine Konventionalstrafe, keine Anzahlung – die Reservation war unverbindlich ausgestaltet (R2).</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Entscheidungen und Entscheidungsträger</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Frist oder Abbruch (Eigentümer, T8). Wiederaufnahme der Vermarktung (Eigentümer). Ansprache des Zweitinteressenten.</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Gates</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 8 wird erneut durchlaufen, Objektstatus von «Notariat» auf «Angebote» zurückgestuft.</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Bankbestätigung des Scheiterns, Fristsetzung, T8-Dokumentation, V9, Notariatsmitteilung.</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Eskalationen</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Verkaufsleitung; Notariat wegen der Terminabsage und der bereits angefallenen Kosten.</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Ausgelöste Stop-Kriterien</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Keine – die Reservation begründete keine Verpflichtung.</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Prozessende</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 an den Zweitinteressenten 19 Tage später, 0,8 Prozent unter dem ursprünglichen Preis.</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Befund</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LÜCKE GEFUNDEN UND GESCHLOSSEN: Offen war, wer die bereits angefallenen Notariatskosten trägt und ob ein Aufwandersatz besteht. In Teil G ist ein Abschnitt zu den Kostenfolgen bei Abbruch ergänzt: das Honorar entsteht nur bei Erfolg (R18), Aufwandersatz nur bei ausdrücklicher Vereinbarung im Mandat (Ziffer 12), die Kostenfolge beim Notariat richtet sich nach dem Auftragsverhältnis und ist beim Notariatsauftrag vorab zu klären. Die Notariatscheckliste F9 fragt dies nun ab.</w:t>
            </w:r>
          </w:p>
        </w:tc>
      </w:tr>
    </w:tbl>
    <w:p>
      <w:pPr>
        <w:pStyle w:val="Heading1"/>
        <w:pageBreakBefore/>
        <w:spacing w:after="180" w:before="0"/>
      </w:pPr>
      <w:r>
        <w:t xml:space="preserve">6 · Lücken aus den Falltests</w:t>
      </w:r>
    </w:p>
    <w:p>
      <w:pPr>
        <w:spacing w:after="120" w:before="0"/>
      </w:pPr>
      <w:r>
        <w:rPr>
          <w:color w:val="1A1A1A"/>
          <w:sz w:val="20"/>
          <w:szCs w:val="20"/>
        </w:rPr>
        <w:t xml:space="preserve">Drei Lücken wurden aufgedeckt und in Version 2.0 geschlossen. Sie sind hier ausgewiesen, weil ein Falltest ohne Befund keinen Wert hat.</w:t>
      </w:r>
    </w:p>
    <w:p>
      <w:pPr>
        <w:pStyle w:val="Heading2"/>
        <w:spacing w:after="120" w:before="280"/>
      </w:pPr>
      <w:r>
        <w:t xml:space="preserve">L1 · aus Falltest FT5</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600"/>
        <w:gridCol w:w="7000"/>
      </w:tblGrid>
      <w:tr>
        <w:trPr>
          <w:tblHeader/>
        </w:trPr>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0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Lücke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Keine Grundlage und keine Regel für Besichtigungen in vermieteten Objekten.</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Wirkung, wäre sie offengeblieben</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Ohne Ankündigungsregime droht ein Konflikt mit dem Mieter, im schlechtesten Fall die faktische Unmöglichkeit von Besichtigungen und ein Rechtsstreit.</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Wie sie geschlossen wurde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Registerposition R47 (Art. 257h OR) ergänzt; Sonderfall S10 und Phase 14 um das Ankündigungsregime erweitert; Stop-Kriterium bei Besichtigung ohne Ankündigung.</w:t>
            </w:r>
          </w:p>
        </w:tc>
      </w:tr>
    </w:tbl>
    <w:p>
      <w:pPr>
        <w:pStyle w:val="Heading2"/>
        <w:spacing w:after="120" w:before="280"/>
      </w:pPr>
      <w:r>
        <w:t xml:space="preserve">L2 · aus Falltest FT6</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600"/>
        <w:gridCol w:w="7000"/>
      </w:tblGrid>
      <w:tr>
        <w:trPr>
          <w:tblHeader/>
        </w:trPr>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0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Lücke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Realwertschema mit Landwert ist beim Baurecht nicht anwendbar.</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Wirkung, wäre sie offengeblieben</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Eine mechanische Anwendung des Schemas hätte einen Landwert angesetzt, der dem Eigentümer nicht gehört – die Bewertung wäre systematisch zu hoch gewesen.</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Wie sie geschlossen wurde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C um die Bewertungsanweisung für Baurechtsobjekte erweitert: kein Landwert, kapitalisierter Baurechtszins als Belastung, Restlaufzeit als Abzug, Finanzierbarkeit vor der Preisfestlegung mit Banken klären.</w:t>
            </w:r>
          </w:p>
        </w:tc>
      </w:tr>
    </w:tbl>
    <w:p>
      <w:pPr>
        <w:pStyle w:val="Heading2"/>
        <w:spacing w:after="120" w:before="280"/>
      </w:pPr>
      <w:r>
        <w:t xml:space="preserve">L3 · aus Falltest FT10</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600"/>
        <w:gridCol w:w="7000"/>
      </w:tblGrid>
      <w:tr>
        <w:trPr>
          <w:tblHeader/>
        </w:trPr>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0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Lücke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Kostenfolgen bei Abbruch nach Reservation und vor Beurkundung nicht geregelt.</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Wirkung, wäre sie offengeblieben</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Unklarheit über Notariatskosten und Aufwandersatz im ungünstigsten Moment – unmittelbar nach einem gescheiterten Abschluss, bei angespannter Stimmung.</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Wie sie geschlossen wurde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G um den Abschnitt Kostenfolgen bei Abbruch erweitert; Notariatscheckliste F9 fragt die Kostenregelung beim Auftrag ab; Störfall T8 verweist darauf.</w:t>
            </w:r>
          </w:p>
        </w:tc>
      </w:tr>
    </w:tbl>
    <w:p>
      <w:pPr>
        <w:pStyle w:val="Heading1"/>
        <w:pageBreakBefore/>
        <w:spacing w:after="180" w:before="0"/>
      </w:pPr>
      <w:r>
        <w:t xml:space="preserve">7 · Schlussaudit Version 2.0</w:t>
      </w:r>
    </w:p>
    <w:p>
      <w:pPr>
        <w:spacing w:after="120" w:before="0"/>
      </w:pPr>
      <w:r>
        <w:rPr>
          <w:color w:val="1A1A1A"/>
          <w:sz w:val="20"/>
          <w:szCs w:val="20"/>
        </w:rPr>
        <w:t xml:space="preserve">Achtzehn Dimensionen, bewertet mit erfüllt, teilweise erfüllt, nicht erfüllt oder kritisch.</w:t>
      </w:r>
    </w:p>
    <w:tbl>
      <w:tblPr>
        <w:tblW w:type="dxa" w:w="4500"/>
        <w:tblBorders>
          <w:top w:val="single" w:color="C6D0D5" w:sz="4"/>
          <w:left w:val="single" w:color="C6D0D5" w:sz="4"/>
          <w:bottom w:val="single" w:color="C6D0D5" w:sz="4"/>
          <w:right w:val="single" w:color="C6D0D5" w:sz="4"/>
          <w:insideH w:val="single" w:color="DFE5E8" w:sz="2"/>
          <w:insideV w:val="single" w:color="DFE5E8" w:sz="2"/>
        </w:tblBorders>
      </w:tblPr>
      <w:tblGrid>
        <w:gridCol w:w="3000"/>
        <w:gridCol w:w="1500"/>
      </w:tblGrid>
      <w:tr>
        <w:trPr>
          <w:tblHeader/>
        </w:trPr>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Ergebnis</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Anzahl</w:t>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erfüllt</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15</w:t>
            </w:r>
          </w:p>
        </w:tc>
      </w:tr>
      <w:tr>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teilweise erfüllt</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3</w:t>
            </w:r>
          </w:p>
        </w:tc>
      </w:tr>
    </w:tbl>
    <w:p>
      <w:pPr>
        <w:spacing w:after="0"/>
      </w:pPr>
      <w:r>
        <w:t xml:space="preserve"/>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1700"/>
        <w:gridCol w:w="57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Dimension</w:t>
            </w:r>
          </w:p>
        </w:tc>
        <w:tc>
          <w:tcPr>
            <w:tcW w:type="dxa" w:w="1700"/>
            <w:shd w:fill="0F5C6E" w:color="auto" w:val="clear"/>
            <w:tcMar>
              <w:top w:type="dxa" w:w="70"/>
              <w:left w:type="dxa" w:w="100"/>
              <w:bottom w:type="dxa" w:w="70"/>
              <w:right w:type="dxa" w:w="100"/>
            </w:tcMar>
          </w:tcPr>
          <w:p>
            <w:pPr>
              <w:spacing w:after="0"/>
            </w:pPr>
            <w:r>
              <w:rPr>
                <w:b/>
                <w:bCs/>
                <w:color w:val="FFFFFF"/>
                <w:sz w:val="18"/>
                <w:szCs w:val="18"/>
              </w:rPr>
              <w:t xml:space="preserve">Ergebnis</w:t>
            </w:r>
          </w:p>
        </w:tc>
        <w:tc>
          <w:tcPr>
            <w:tcW w:type="dxa" w:w="5700"/>
            <w:shd w:fill="0F5C6E" w:color="auto" w:val="clear"/>
            <w:tcMar>
              <w:top w:type="dxa" w:w="70"/>
              <w:left w:type="dxa" w:w="100"/>
              <w:bottom w:type="dxa" w:w="70"/>
              <w:right w:type="dxa" w:w="100"/>
            </w:tcMar>
          </w:tcPr>
          <w:p>
            <w:pPr>
              <w:spacing w:after="0"/>
            </w:pPr>
            <w:r>
              <w:rPr>
                <w:b/>
                <w:bCs/>
                <w:color w:val="FFFFFF"/>
                <w:sz w:val="18"/>
                <w:szCs w:val="18"/>
              </w:rPr>
              <w:t xml:space="preserve">Begründung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Fachlichkeit</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erfüllt</w:t>
            </w:r>
          </w:p>
        </w:tc>
        <w:tc>
          <w:tcPr>
            <w:tcW w:type="dxa" w:w="5700"/>
            <w:shd w:fill="FFFFFF" w:color="auto" w:val="clear"/>
            <w:tcMar>
              <w:top w:type="dxa" w:w="70"/>
              <w:left w:type="dxa" w:w="100"/>
              <w:bottom w:type="dxa" w:w="70"/>
              <w:right w:type="dxa" w:w="100"/>
            </w:tcMar>
          </w:tcPr>
          <w:p>
            <w:pPr>
              <w:spacing w:after="0"/>
            </w:pPr>
            <w:r>
              <w:rPr>
                <w:b w:val="false"/>
                <w:bCs w:val="false"/>
                <w:color w:val="1A1A1A"/>
                <w:sz w:val="18"/>
                <w:szCs w:val="18"/>
              </w:rPr>
              <w:t xml:space="preserve">Phasenraster mit 18 Feldern, Gates, Kontrollpunkte und Entscheidungslogiken bilden einen steuerbaren Prozess. Die V1-Fachteile sind erhalten.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Schweizer Praxis</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erfüllt</w:t>
            </w:r>
          </w:p>
        </w:tc>
        <w:tc>
          <w:tcPr>
            <w:tcW w:type="dxa" w:w="5700"/>
            <w:shd w:fill="F7F9F9" w:color="auto" w:val="clear"/>
            <w:tcMar>
              <w:top w:type="dxa" w:w="70"/>
              <w:left w:type="dxa" w:w="100"/>
              <w:bottom w:type="dxa" w:w="70"/>
              <w:right w:type="dxa" w:w="100"/>
            </w:tcMar>
          </w:tcPr>
          <w:p>
            <w:pPr>
              <w:spacing w:after="0"/>
            </w:pPr>
            <w:r>
              <w:rPr>
                <w:b w:val="false"/>
                <w:bCs w:val="false"/>
                <w:color w:val="1A1A1A"/>
                <w:sz w:val="18"/>
                <w:szCs w:val="18"/>
              </w:rPr>
              <w:t xml:space="preserve">Kantonale Klärungsliste, Notariats- und Grundbuchschnittstelle, Steuersicherstellung, GEAK-Pflichtkantone, Selbstregulierung der Banken – durchgehend auf den Schweizer Ablauf bezogen.</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teilweise erfüllt</w:t>
            </w:r>
          </w:p>
        </w:tc>
        <w:tc>
          <w:tcPr>
            <w:tcW w:type="dxa" w:w="5700"/>
            <w:shd w:fill="FFFFFF" w:color="auto" w:val="clear"/>
            <w:tcMar>
              <w:top w:type="dxa" w:w="70"/>
              <w:left w:type="dxa" w:w="100"/>
              <w:bottom w:type="dxa" w:w="70"/>
              <w:right w:type="dxa" w:w="100"/>
            </w:tcMar>
          </w:tcPr>
          <w:p>
            <w:pPr>
              <w:spacing w:after="0"/>
            </w:pPr>
            <w:r>
              <w:rPr>
                <w:b w:val="false"/>
                <w:bCs w:val="false"/>
                <w:color w:val="1A1A1A"/>
                <w:sz w:val="18"/>
                <w:szCs w:val="18"/>
              </w:rPr>
              <w:t xml:space="preserve">46 Registerpositionen mit Normebene und Praxisanweisung. Einschränkung: Fedlex und die Bundesstellen waren nicht erreichbar; die Aussagen zu revGwG und TJPG beruhen auf Fachpublikationen und sind als solche gekennzeichnet. Verifikation gegen die Primärquellen steht aus.</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Compliance</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teilweise erfüllt</w:t>
            </w:r>
          </w:p>
        </w:tc>
        <w:tc>
          <w:tcPr>
            <w:tcW w:type="dxa" w:w="5700"/>
            <w:shd w:fill="F7F9F9" w:color="auto" w:val="clear"/>
            <w:tcMar>
              <w:top w:type="dxa" w:w="70"/>
              <w:left w:type="dxa" w:w="100"/>
              <w:bottom w:type="dxa" w:w="70"/>
              <w:right w:type="dxa" w:w="100"/>
            </w:tcMar>
          </w:tcPr>
          <w:p>
            <w:pPr>
              <w:spacing w:after="0"/>
            </w:pPr>
            <w:r>
              <w:rPr>
                <w:b w:val="false"/>
                <w:bCs w:val="false"/>
                <w:color w:val="1A1A1A"/>
                <w:sz w:val="18"/>
                <w:szCs w:val="18"/>
              </w:rPr>
              <w:t xml:space="preserve">Triage, Pfade, TJPG, PEP und Aufbewahrung sind operativ ausgearbeitet. Die grundsätzliche Unterstellungsfrage ist aus Sekundärquellen nicht auflösbar und ausdrücklich der Rechtsabteilung und der SRO zugewiesen.</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erfüllt</w:t>
            </w:r>
          </w:p>
        </w:tc>
        <w:tc>
          <w:tcPr>
            <w:tcW w:type="dxa" w:w="5700"/>
            <w:shd w:fill="FFFFFF" w:color="auto" w:val="clear"/>
            <w:tcMar>
              <w:top w:type="dxa" w:w="70"/>
              <w:left w:type="dxa" w:w="100"/>
              <w:bottom w:type="dxa" w:w="70"/>
              <w:right w:type="dxa" w:w="100"/>
            </w:tcMar>
          </w:tcPr>
          <w:p>
            <w:pPr>
              <w:spacing w:after="0"/>
            </w:pPr>
            <w:r>
              <w:rPr>
                <w:b w:val="false"/>
                <w:bCs w:val="false"/>
                <w:color w:val="1A1A1A"/>
                <w:sz w:val="18"/>
                <w:szCs w:val="18"/>
              </w:rPr>
              <w:t xml:space="preserve">Drei Methoden, sechs Preisbegriffe, zwölf Einflussfaktoren mit Quelle, Plausibilitätsprüfungen, Gate 3 zur Datengrundlage, Rechenmappe mit Formeln.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Preissteuerung</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erfüllt</w:t>
            </w:r>
          </w:p>
        </w:tc>
        <w:tc>
          <w:tcPr>
            <w:tcW w:type="dxa" w:w="5700"/>
            <w:shd w:fill="F7F9F9" w:color="auto" w:val="clear"/>
            <w:tcMar>
              <w:top w:type="dxa" w:w="70"/>
              <w:left w:type="dxa" w:w="100"/>
              <w:bottom w:type="dxa" w:w="70"/>
              <w:right w:type="dxa" w:w="100"/>
            </w:tcMar>
          </w:tcPr>
          <w:p>
            <w:pPr>
              <w:spacing w:after="0"/>
            </w:pPr>
            <w:r>
              <w:rPr>
                <w:b w:val="false"/>
                <w:bCs w:val="false"/>
                <w:color w:val="1A1A1A"/>
                <w:sz w:val="18"/>
                <w:szCs w:val="18"/>
              </w:rPr>
              <w:t xml:space="preserve">14 Indikatoren, acht Entscheidungslogiken, achtstufiger Änderungsablauf mit Vier-Augen-Prüfung. Die starre Fristenregel von V1 ist entfernt.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 und Vermarktung</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erfüllt</w:t>
            </w:r>
          </w:p>
        </w:tc>
        <w:tc>
          <w:tcPr>
            <w:tcW w:type="dxa" w:w="5700"/>
            <w:shd w:fill="FFFFFF" w:color="auto" w:val="clear"/>
            <w:tcMar>
              <w:top w:type="dxa" w:w="70"/>
              <w:left w:type="dxa" w:w="100"/>
              <w:bottom w:type="dxa" w:w="70"/>
              <w:right w:type="dxa" w:w="100"/>
            </w:tcMar>
          </w:tcPr>
          <w:p>
            <w:pPr>
              <w:spacing w:after="0"/>
            </w:pPr>
            <w:r>
              <w:rPr>
                <w:b w:val="false"/>
                <w:bCs w:val="false"/>
                <w:color w:val="1A1A1A"/>
                <w:sz w:val="18"/>
                <w:szCs w:val="18"/>
              </w:rPr>
              <w:t xml:space="preserve">Acht Vermarktungsstufen, neun Kanäle mit Erfolgsmessung, Release-Checkliste, Gate 4 und Gate 5.</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Käufermanagement</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erfüllt</w:t>
            </w:r>
          </w:p>
        </w:tc>
        <w:tc>
          <w:tcPr>
            <w:tcW w:type="dxa" w:w="5700"/>
            <w:shd w:fill="F7F9F9" w:color="auto" w:val="clear"/>
            <w:tcMar>
              <w:top w:type="dxa" w:w="70"/>
              <w:left w:type="dxa" w:w="100"/>
              <w:bottom w:type="dxa" w:w="70"/>
              <w:right w:type="dxa" w:w="100"/>
            </w:tcMar>
          </w:tcPr>
          <w:p>
            <w:pPr>
              <w:spacing w:after="0"/>
            </w:pPr>
            <w:r>
              <w:rPr>
                <w:b w:val="false"/>
                <w:bCs w:val="false"/>
                <w:color w:val="1A1A1A"/>
                <w:sz w:val="18"/>
                <w:szCs w:val="18"/>
              </w:rPr>
              <w:t xml:space="preserve">Neunstufiger Funnel mit belegten Kriterien, Käuferprofil mit 30 Feldern und Pflichtstufe, harte Finanzierungsanforderung in Gate 6.</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Verhandlung</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erfüllt</w:t>
            </w:r>
          </w:p>
        </w:tc>
        <w:tc>
          <w:tcPr>
            <w:tcW w:type="dxa" w:w="5700"/>
            <w:shd w:fill="FFFFFF" w:color="auto" w:val="clear"/>
            <w:tcMar>
              <w:top w:type="dxa" w:w="70"/>
              <w:left w:type="dxa" w:w="100"/>
              <w:bottom w:type="dxa" w:w="70"/>
              <w:right w:type="dxa" w:w="100"/>
            </w:tcMar>
          </w:tcPr>
          <w:p>
            <w:pPr>
              <w:spacing w:after="0"/>
            </w:pPr>
            <w:r>
              <w:rPr>
                <w:b w:val="false"/>
                <w:bCs w:val="false"/>
                <w:color w:val="1A1A1A"/>
                <w:sz w:val="18"/>
                <w:szCs w:val="18"/>
              </w:rPr>
              <w:t xml:space="preserve">Vorbereitungsrahmen, Gate 7 als Freigabe der Verhandlungskompetenz, Protokollstruktur, sechs Regeln, Verfahren bei mehreren Angeboten.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Eigentümermanagement</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erfüllt</w:t>
            </w:r>
          </w:p>
        </w:tc>
        <w:tc>
          <w:tcPr>
            <w:tcW w:type="dxa" w:w="5700"/>
            <w:shd w:fill="F7F9F9" w:color="auto" w:val="clear"/>
            <w:tcMar>
              <w:top w:type="dxa" w:w="70"/>
              <w:left w:type="dxa" w:w="100"/>
              <w:bottom w:type="dxa" w:w="70"/>
              <w:right w:type="dxa" w:w="100"/>
            </w:tcMar>
          </w:tcPr>
          <w:p>
            <w:pPr>
              <w:spacing w:after="0"/>
            </w:pPr>
            <w:r>
              <w:rPr>
                <w:b w:val="false"/>
                <w:bCs w:val="false"/>
                <w:color w:val="1A1A1A"/>
                <w:sz w:val="18"/>
                <w:szCs w:val="18"/>
              </w:rPr>
              <w:t xml:space="preserve">14 Reports mit Anlass und Entscheid, sechs Leitfragen, Trennung von Darstellung und Entscheid durchgehend beim Eigentümer.</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CRM</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erfüllt</w:t>
            </w:r>
          </w:p>
        </w:tc>
        <w:tc>
          <w:tcPr>
            <w:tcW w:type="dxa" w:w="5700"/>
            <w:shd w:fill="FFFFFF" w:color="auto" w:val="clear"/>
            <w:tcMar>
              <w:top w:type="dxa" w:w="70"/>
              <w:left w:type="dxa" w:w="100"/>
              <w:bottom w:type="dxa" w:w="70"/>
              <w:right w:type="dxa" w:w="100"/>
            </w:tcMar>
          </w:tcPr>
          <w:p>
            <w:pPr>
              <w:spacing w:after="0"/>
            </w:pPr>
            <w:r>
              <w:rPr>
                <w:b w:val="false"/>
                <w:bCs w:val="false"/>
                <w:color w:val="1A1A1A"/>
                <w:sz w:val="18"/>
                <w:szCs w:val="18"/>
              </w:rPr>
              <w:t xml:space="preserve">17 Objektstatus, 11 Aktivitätsfelder, 12 Tageslistenkategorien einschliesslich der Frage, was heute nicht vergessen werden darf.</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Dokumentenmanagement</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erfüllt</w:t>
            </w:r>
          </w:p>
        </w:tc>
        <w:tc>
          <w:tcPr>
            <w:tcW w:type="dxa" w:w="5700"/>
            <w:shd w:fill="F7F9F9" w:color="auto" w:val="clear"/>
            <w:tcMar>
              <w:top w:type="dxa" w:w="70"/>
              <w:left w:type="dxa" w:w="100"/>
              <w:bottom w:type="dxa" w:w="70"/>
              <w:right w:type="dxa" w:w="100"/>
            </w:tcMar>
          </w:tcPr>
          <w:p>
            <w:pPr>
              <w:spacing w:after="0"/>
            </w:pPr>
            <w:r>
              <w:rPr>
                <w:b w:val="false"/>
                <w:bCs w:val="false"/>
                <w:color w:val="1A1A1A"/>
                <w:sz w:val="18"/>
                <w:szCs w:val="18"/>
              </w:rPr>
              <w:t xml:space="preserve">15 Kategorien mit Vertraulichkeit und Aufbewahrung, 10 Metadatenfelder, Datenraum mit Verteilernachweis, Versionierungsregel.</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Datenschutz</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erfüllt</w:t>
            </w:r>
          </w:p>
        </w:tc>
        <w:tc>
          <w:tcPr>
            <w:tcW w:type="dxa" w:w="5700"/>
            <w:shd w:fill="FFFFFF" w:color="auto" w:val="clear"/>
            <w:tcMar>
              <w:top w:type="dxa" w:w="70"/>
              <w:left w:type="dxa" w:w="100"/>
              <w:bottom w:type="dxa" w:w="70"/>
              <w:right w:type="dxa" w:w="100"/>
            </w:tcMar>
          </w:tcPr>
          <w:p>
            <w:pPr>
              <w:spacing w:after="0"/>
            </w:pPr>
            <w:r>
              <w:rPr>
                <w:b w:val="false"/>
                <w:bCs w:val="false"/>
                <w:color w:val="1A1A1A"/>
                <w:sz w:val="18"/>
                <w:szCs w:val="18"/>
              </w:rPr>
              <w:t xml:space="preserve">Rollen, Rechtsgrundlage je Datenkategorie, Weitergabe, Auskunftsrecht mit Folge für CRM-Einträge, Löschfristen als Pflichtfeld, Bildrechte, Störfall T16.</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Qualitätssicherung</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erfüllt</w:t>
            </w:r>
          </w:p>
        </w:tc>
        <w:tc>
          <w:tcPr>
            <w:tcW w:type="dxa" w:w="5700"/>
            <w:shd w:fill="F7F9F9" w:color="auto" w:val="clear"/>
            <w:tcMar>
              <w:top w:type="dxa" w:w="70"/>
              <w:left w:type="dxa" w:w="100"/>
              <w:bottom w:type="dxa" w:w="70"/>
              <w:right w:type="dxa" w:w="100"/>
            </w:tcMar>
          </w:tcPr>
          <w:p>
            <w:pPr>
              <w:spacing w:after="0"/>
            </w:pPr>
            <w:r>
              <w:rPr>
                <w:b w:val="false"/>
                <w:bCs w:val="false"/>
                <w:color w:val="1A1A1A"/>
                <w:sz w:val="18"/>
                <w:szCs w:val="18"/>
              </w:rPr>
              <w:t xml:space="preserve">Zehn Gates, zehn Kontrollpunkte, drei Freigabeergebnisse, Nachweispflicht je Kontrolle, Bau bricht bei fehlerhaften Querverweisen ab.</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Sonderfälle</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erfüllt</w:t>
            </w:r>
          </w:p>
        </w:tc>
        <w:tc>
          <w:tcPr>
            <w:tcW w:type="dxa" w:w="5700"/>
            <w:shd w:fill="FFFFFF" w:color="auto" w:val="clear"/>
            <w:tcMar>
              <w:top w:type="dxa" w:w="70"/>
              <w:left w:type="dxa" w:w="100"/>
              <w:bottom w:type="dxa" w:w="70"/>
              <w:right w:type="dxa" w:w="100"/>
            </w:tcMar>
          </w:tcPr>
          <w:p>
            <w:pPr>
              <w:spacing w:after="0"/>
            </w:pPr>
            <w:r>
              <w:rPr>
                <w:b w:val="false"/>
                <w:bCs w:val="false"/>
                <w:color w:val="1A1A1A"/>
                <w:sz w:val="18"/>
                <w:szCs w:val="18"/>
              </w:rPr>
              <w:t xml:space="preserve">30 Fälle mit Erkennungszeitpunkt, Stop-Kriterium und Eskalation; alle im Auftrag genannten Fälle abgedeckt.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Notariat und Übergabe</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erfüllt</w:t>
            </w:r>
          </w:p>
        </w:tc>
        <w:tc>
          <w:tcPr>
            <w:tcW w:type="dxa" w:w="57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Gates 8 bis 10, Notariatscheckliste vor und nach der Beurkundung, Unterscheidung der drei Zeitpunkte, Übergabeprotokoll mit Quittierung.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Fehlerbehandlung</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erfüllt</w:t>
            </w:r>
          </w:p>
        </w:tc>
        <w:tc>
          <w:tcPr>
            <w:tcW w:type="dxa" w:w="5700"/>
            <w:shd w:fill="FFFFFF" w:color="auto" w:val="clear"/>
            <w:tcMar>
              <w:top w:type="dxa" w:w="70"/>
              <w:left w:type="dxa" w:w="100"/>
              <w:bottom w:type="dxa" w:w="70"/>
              <w:right w:type="dxa" w:w="100"/>
            </w:tcMar>
          </w:tcPr>
          <w:p>
            <w:pPr>
              <w:spacing w:after="0"/>
            </w:pPr>
            <w:r>
              <w:rPr>
                <w:b w:val="false"/>
                <w:bCs w:val="false"/>
                <w:color w:val="1A1A1A"/>
                <w:sz w:val="18"/>
                <w:szCs w:val="18"/>
              </w:rPr>
              <w:t xml:space="preserve">17 Störfälle mit vollständigem Ablauf und Präventionsbezug auf das Gate oder den Kontrollpunkt, der den Fall verhindert.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Skalierbarkeit</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teilweise erfüllt</w:t>
            </w:r>
          </w:p>
        </w:tc>
        <w:tc>
          <w:tcPr>
            <w:tcW w:type="dxa" w:w="5700"/>
            <w:shd w:fill="F7F9F9" w:color="auto" w:val="clear"/>
            <w:tcMar>
              <w:top w:type="dxa" w:w="70"/>
              <w:left w:type="dxa" w:w="100"/>
              <w:bottom w:type="dxa" w:w="70"/>
              <w:right w:type="dxa" w:w="100"/>
            </w:tcMar>
          </w:tcPr>
          <w:p>
            <w:pPr>
              <w:spacing w:after="0"/>
            </w:pPr>
            <w:r>
              <w:rPr>
                <w:b w:val="false"/>
                <w:bCs w:val="false"/>
                <w:color w:val="1A1A1A"/>
                <w:sz w:val="18"/>
                <w:szCs w:val="18"/>
              </w:rPr>
              <w:t xml:space="preserve">Rollen, Gates und Kontrollpunkte sind auf mehrere Bearbeiter ausgelegt; Einzelbesetzung ist geregelt. Nicht geleistet: Mengensteuerung über mehrere Mandate hinweg – Portfolio- und Auslastungssicht fehlen und wären Gegenstand einer Version 3.</w:t>
            </w:r>
          </w:p>
        </w:tc>
      </w:tr>
    </w:tbl>
    <w:tbl>
      <w:tblPr>
        <w:tblW w:type="dxa" w:w="9600"/>
        <w:tblBorders>
          <w:top w:val="single" w:color="0F5C6E" w:sz="4"/>
          <w:left w:val="single" w:color="0F5C6E" w:sz="18"/>
          <w:bottom w:val="single" w:color="0F5C6E" w:sz="4"/>
          <w:right w:val="single" w:color="0F5C6E" w:sz="4"/>
          <w:insideH w:val="none"/>
          <w:insideV w:val="none"/>
        </w:tblBorders>
      </w:tblPr>
      <w:tblGrid>
        <w:gridCol w:w="9600"/>
      </w:tblGrid>
      <w:tr>
        <w:tc>
          <w:tcPr>
            <w:tcW w:type="dxa" w:w="9600"/>
            <w:shd w:fill="EDF1F2" w:color="auto" w:val="clear"/>
            <w:tcMar>
              <w:top w:type="dxa" w:w="140"/>
              <w:left w:type="dxa" w:w="180"/>
              <w:bottom w:type="dxa" w:w="140"/>
              <w:right w:type="dxa" w:w="160"/>
            </w:tcMar>
          </w:tcPr>
          <w:p>
            <w:pPr>
              <w:spacing w:after="70"/>
            </w:pPr>
            <w:r>
              <w:rPr>
                <w:b/>
                <w:bCs/>
                <w:color w:val="0B4655"/>
                <w:sz w:val="19"/>
                <w:szCs w:val="19"/>
              </w:rPr>
              <w:t xml:space="preserve">Zu den drei nicht vollständig erfüllten Dimensionen</w:t>
            </w:r>
          </w:p>
          <w:p>
            <w:pPr>
              <w:spacing w:after="50"/>
            </w:pPr>
            <w:r>
              <w:rPr>
                <w:sz w:val="19"/>
                <w:szCs w:val="19"/>
              </w:rPr>
              <w:t xml:space="preserve">Recht und Compliance sind als «teilweise erfüllt» bewertet, weil die Primärquellen nicht zugänglich waren – nicht weil die Ausarbeitung fehlt. Sobald der Verordnungstext geprüft ist, kann die Bewertung ohne Änderung am System auf «erfüllt» gehen.</w:t>
            </w:r>
          </w:p>
          <w:p>
            <w:pPr>
              <w:spacing w:after="50"/>
            </w:pPr>
            <w:r>
              <w:rPr>
                <w:sz w:val="19"/>
                <w:szCs w:val="19"/>
              </w:rPr>
              <w:t xml:space="preserve">Skalierbarkeit ist «teilweise erfüllt», weil das System das einzelne Mandat steuert. Eine Portfolio- und Auslastungssicht über mehrere Mandate wäre Gegenstand einer Version 3 und ist hier bewusst nicht behauptet.</w:t>
            </w:r>
          </w:p>
        </w:tc>
      </w:tr>
    </w:tbl>
    <w:p>
      <w:pPr>
        <w:pStyle w:val="Heading1"/>
        <w:pageBreakBefore/>
        <w:spacing w:after="180" w:before="0"/>
      </w:pPr>
      <w:r>
        <w:t xml:space="preserve">8 · Verbleibende Risiken</w:t>
      </w:r>
    </w:p>
    <w:tbl>
      <w:tblPr>
        <w:tblW w:type="dxa" w:w="9600"/>
        <w:tblBorders>
          <w:top w:val="single" w:color="8A6A1F" w:sz="4"/>
          <w:left w:val="single" w:color="8A6A1F" w:sz="18"/>
          <w:bottom w:val="single" w:color="8A6A1F" w:sz="4"/>
          <w:right w:val="single" w:color="8A6A1F" w:sz="4"/>
          <w:insideH w:val="none"/>
          <w:insideV w:val="none"/>
        </w:tblBorders>
      </w:tblPr>
      <w:tblGrid>
        <w:gridCol w:w="9600"/>
      </w:tblGrid>
      <w:tr>
        <w:tc>
          <w:tcPr>
            <w:tcW w:type="dxa" w:w="9600"/>
            <w:shd w:fill="FBF3E2" w:color="auto" w:val="clear"/>
            <w:tcMar>
              <w:top w:type="dxa" w:w="140"/>
              <w:left w:type="dxa" w:w="180"/>
              <w:bottom w:type="dxa" w:w="140"/>
              <w:right w:type="dxa" w:w="160"/>
            </w:tcMar>
          </w:tcPr>
          <w:p>
            <w:pPr>
              <w:spacing w:after="70"/>
            </w:pPr>
            <w:r>
              <w:rPr>
                <w:b/>
                <w:bCs/>
                <w:color w:val="8C2F2F"/>
                <w:sz w:val="19"/>
                <w:szCs w:val="19"/>
              </w:rPr>
              <w:t xml:space="preserve">Rechtliche Prüfung durch Notariat / Rechtsberatung erforderlich</w:t>
            </w:r>
          </w:p>
          <w:p>
            <w:pPr>
              <w:spacing w:after="50"/>
            </w:pPr>
            <w:r>
              <w:rPr>
                <w:sz w:val="19"/>
                <w:szCs w:val="19"/>
              </w:rPr>
              <w:t xml:space="preserve">Rechtsstand: Die Aussagen zu revGwG und TJPG beruhen auf Fachpublikationen vom Juli bis September 2026, nicht auf dem Verordnungstext. Fedlex und die Bundesstellen waren aus der Arbeitsumgebung nicht erreichbar. Vor dem produktiven Einsatz sind diese Abschnitte gegen die Primärquellen zu verifizieren.</w:t>
            </w:r>
          </w:p>
          <w:p>
            <w:pPr>
              <w:spacing w:after="50"/>
            </w:pPr>
            <w:r>
              <w:rPr>
                <w:sz w:val="19"/>
                <w:szCs w:val="19"/>
              </w:rPr>
              <w:t xml:space="preserve">Widersprüchliche Sekundärquellen: Ob eine reine Vermittlungstätigkeit ohne Mitwirkung an der Finanztransaktion die Unterstellung auslöst, wird unterschiedlich beurteilt. Die Triage behandelt diesen Fall vorsorglich, löst die Rechtsfrage aber nicht.</w:t>
            </w:r>
          </w:p>
          <w:p>
            <w:pPr>
              <w:spacing w:after="50"/>
            </w:pPr>
            <w:r>
              <w:rPr>
                <w:sz w:val="19"/>
                <w:szCs w:val="19"/>
              </w:rPr>
              <w:t xml:space="preserve">Vertragsvorlagen: Teil G bleibt eine Strukturvorgabe. Mandat, Kaufangebot und Reservationsbestätigung sind vor der ersten Verwendung juristisch zu prüfen und danach unverändert einzusetzen.</w:t>
            </w:r>
          </w:p>
          <w:p>
            <w:pPr>
              <w:spacing w:after="50"/>
            </w:pPr>
            <w:r>
              <w:rPr>
                <w:sz w:val="19"/>
                <w:szCs w:val="19"/>
              </w:rPr>
              <w:t xml:space="preserve">Kantonale Angaben: Das Handbuch enthält bewusst keine kantonalen Zahlen, Sätze oder Fristen. Ohne ausgefüllte Klärungsliste A6 ist es je Kanton unvollständig.</w:t>
            </w:r>
          </w:p>
          <w:p>
            <w:pPr>
              <w:spacing w:after="50"/>
            </w:pPr>
            <w:r>
              <w:rPr>
                <w:sz w:val="19"/>
                <w:szCs w:val="19"/>
              </w:rPr>
              <w:t xml:space="preserve">Interne Vorgaben: Provisionssätze, Löschfristen, Aufbewahrungsdauern, Budgetgrenzen und das GwG-Weisungswesen sind als «interne Vorgabe definieren» gekennzeichnet und vom Unternehmen festzulegen.</w:t>
            </w:r>
          </w:p>
        </w:tc>
      </w:tr>
    </w:tbl>
    <w:p>
      <w:pPr>
        <w:spacing w:after="0"/>
      </w:pPr>
      <w:r>
        <w:t xml:space="preserve"/>
      </w:r>
    </w:p>
    <w:p>
      <w:pPr>
        <w:pStyle w:val="Heading2"/>
        <w:spacing w:after="120" w:before="280"/>
      </w:pPr>
      <w:r>
        <w:t xml:space="preserve">8.1 Was vor dem produktiven Einsatz zu erledigen ist</w:t>
      </w:r>
    </w:p>
    <w:p>
      <w:pPr>
        <w:tabs>
          <w:tab w:val="left" w:pos="300"/>
        </w:tabs>
        <w:spacing w:after="70"/>
        <w:ind w:left="300" w:hanging="300"/>
      </w:pPr>
      <w:r>
        <w:rPr>
          <w:color w:val="0F5C6E"/>
          <w:sz w:val="22"/>
          <w:szCs w:val="22"/>
        </w:rPr>
        <w:t xml:space="preserve">☐	</w:t>
      </w:r>
      <w:r>
        <w:rPr>
          <w:color w:val="1A1A1A"/>
          <w:sz w:val="20"/>
          <w:szCs w:val="20"/>
        </w:rPr>
        <w:t xml:space="preserve">Rechtsabteilung und Selbstregulierungsorganisation klären die geldwäschereirechtliche Unterstellung des Unternehmens und hinterlegen das Ergebnis als interne Weisung</w:t>
      </w:r>
    </w:p>
    <w:p>
      <w:pPr>
        <w:tabs>
          <w:tab w:val="left" w:pos="300"/>
        </w:tabs>
        <w:spacing w:after="70"/>
        <w:ind w:left="300" w:hanging="300"/>
      </w:pPr>
      <w:r>
        <w:rPr>
          <w:color w:val="0F5C6E"/>
          <w:sz w:val="22"/>
          <w:szCs w:val="22"/>
        </w:rPr>
        <w:t xml:space="preserve">☐	</w:t>
      </w:r>
      <w:r>
        <w:rPr>
          <w:color w:val="1A1A1A"/>
          <w:sz w:val="20"/>
          <w:szCs w:val="20"/>
        </w:rPr>
        <w:t xml:space="preserve">Abschnitte G3 bis G7 gegen den Text des revidierten GwG, der revidierten GwV und des TJPG verifizieren</w:t>
      </w:r>
    </w:p>
    <w:p>
      <w:pPr>
        <w:tabs>
          <w:tab w:val="left" w:pos="300"/>
        </w:tabs>
        <w:spacing w:after="70"/>
        <w:ind w:left="300" w:hanging="300"/>
      </w:pPr>
      <w:r>
        <w:rPr>
          <w:color w:val="0F5C6E"/>
          <w:sz w:val="22"/>
          <w:szCs w:val="22"/>
        </w:rPr>
        <w:t xml:space="preserve">☐	</w:t>
      </w:r>
      <w:r>
        <w:rPr>
          <w:color w:val="1A1A1A"/>
          <w:sz w:val="20"/>
          <w:szCs w:val="20"/>
        </w:rPr>
        <w:t xml:space="preserve">Anschlussfrist bei der Selbstregulierungsorganisation bestätigen</w:t>
      </w:r>
    </w:p>
    <w:p>
      <w:pPr>
        <w:tabs>
          <w:tab w:val="left" w:pos="300"/>
        </w:tabs>
        <w:spacing w:after="70"/>
        <w:ind w:left="300" w:hanging="300"/>
      </w:pPr>
      <w:r>
        <w:rPr>
          <w:color w:val="0F5C6E"/>
          <w:sz w:val="22"/>
          <w:szCs w:val="22"/>
        </w:rPr>
        <w:t xml:space="preserve">☐	</w:t>
      </w:r>
      <w:r>
        <w:rPr>
          <w:color w:val="1A1A1A"/>
          <w:sz w:val="20"/>
          <w:szCs w:val="20"/>
        </w:rPr>
        <w:t xml:space="preserve">Maklermandat, Kaufangebot F4 und Reservationsbestätigung F7 juristisch prüfen und freigeben</w:t>
      </w:r>
    </w:p>
    <w:p>
      <w:pPr>
        <w:tabs>
          <w:tab w:val="left" w:pos="300"/>
        </w:tabs>
        <w:spacing w:after="70"/>
        <w:ind w:left="300" w:hanging="300"/>
      </w:pPr>
      <w:r>
        <w:rPr>
          <w:color w:val="0F5C6E"/>
          <w:sz w:val="22"/>
          <w:szCs w:val="22"/>
        </w:rPr>
        <w:t xml:space="preserve">☐	</w:t>
      </w:r>
      <w:r>
        <w:rPr>
          <w:color w:val="1A1A1A"/>
          <w:sz w:val="20"/>
          <w:szCs w:val="20"/>
        </w:rPr>
        <w:t xml:space="preserve">Kantonale Klärungsliste A7 für jeden Kanton ausfüllen, in dem gearbeitet wird</w:t>
      </w:r>
    </w:p>
    <w:p>
      <w:pPr>
        <w:tabs>
          <w:tab w:val="left" w:pos="300"/>
        </w:tabs>
        <w:spacing w:after="70"/>
        <w:ind w:left="300" w:hanging="300"/>
      </w:pPr>
      <w:r>
        <w:rPr>
          <w:color w:val="0F5C6E"/>
          <w:sz w:val="22"/>
          <w:szCs w:val="22"/>
        </w:rPr>
        <w:t xml:space="preserve">☐	</w:t>
      </w:r>
      <w:r>
        <w:rPr>
          <w:color w:val="1A1A1A"/>
          <w:sz w:val="20"/>
          <w:szCs w:val="20"/>
        </w:rPr>
        <w:t xml:space="preserve">Interne Vorgaben festlegen: Provisionssätze, Löschfristen, Aufbewahrungsdauern, Budgetgrenzen, Reaktionszeitziele</w:t>
      </w:r>
    </w:p>
    <w:p>
      <w:pPr>
        <w:tabs>
          <w:tab w:val="left" w:pos="300"/>
        </w:tabs>
        <w:spacing w:after="70"/>
        <w:ind w:left="300" w:hanging="300"/>
      </w:pPr>
      <w:r>
        <w:rPr>
          <w:color w:val="0F5C6E"/>
          <w:sz w:val="22"/>
          <w:szCs w:val="22"/>
        </w:rPr>
        <w:t xml:space="preserve">☐	</w:t>
      </w:r>
      <w:r>
        <w:rPr>
          <w:color w:val="1A1A1A"/>
          <w:sz w:val="20"/>
          <w:szCs w:val="20"/>
        </w:rPr>
        <w:t xml:space="preserve">Kontrollpunkte K1 bis K10 personell zuweisen, einschliesslich Stellvertretung bei Einzelbesetzung</w:t>
      </w:r>
    </w:p>
    <w:p>
      <w:pPr>
        <w:tabs>
          <w:tab w:val="left" w:pos="300"/>
        </w:tabs>
        <w:spacing w:after="70"/>
        <w:ind w:left="300" w:hanging="300"/>
      </w:pPr>
      <w:r>
        <w:rPr>
          <w:color w:val="0F5C6E"/>
          <w:sz w:val="22"/>
          <w:szCs w:val="22"/>
        </w:rPr>
        <w:t xml:space="preserve">☐	</w:t>
      </w:r>
      <w:r>
        <w:rPr>
          <w:color w:val="1A1A1A"/>
          <w:sz w:val="20"/>
          <w:szCs w:val="20"/>
        </w:rPr>
        <w:t xml:space="preserve">Objektstatus und Pflichtfelder im eingesetzten CRM abbilden</w:t>
      </w:r>
    </w:p>
    <w:p>
      <w:pPr>
        <w:tabs>
          <w:tab w:val="left" w:pos="300"/>
        </w:tabs>
        <w:spacing w:after="70"/>
        <w:ind w:left="300" w:hanging="300"/>
      </w:pPr>
      <w:r>
        <w:rPr>
          <w:color w:val="0F5C6E"/>
          <w:sz w:val="22"/>
          <w:szCs w:val="22"/>
        </w:rPr>
        <w:t xml:space="preserve">☐	</w:t>
      </w:r>
      <w:r>
        <w:rPr>
          <w:color w:val="1A1A1A"/>
          <w:sz w:val="20"/>
          <w:szCs w:val="20"/>
        </w:rPr>
        <w:t xml:space="preserve">Vier-Augen-Prinzip und Gate-Freigaben im CRM als Pflichtschritte hinterlegen</w:t>
      </w:r>
    </w:p>
    <w:p>
      <w:pPr>
        <w:tabs>
          <w:tab w:val="left" w:pos="300"/>
        </w:tabs>
        <w:spacing w:after="70"/>
        <w:ind w:left="300" w:hanging="300"/>
      </w:pPr>
      <w:r>
        <w:rPr>
          <w:color w:val="0F5C6E"/>
          <w:sz w:val="22"/>
          <w:szCs w:val="22"/>
        </w:rPr>
        <w:t xml:space="preserve">☐	</w:t>
      </w:r>
      <w:r>
        <w:rPr>
          <w:color w:val="1A1A1A"/>
          <w:sz w:val="20"/>
          <w:szCs w:val="20"/>
        </w:rPr>
        <w:t xml:space="preserve">Schulung zu Teil G (Compliance), Teil C (Preissteuerung) und Teil J (Sonderfälle und Störfälle)</w:t>
      </w:r>
    </w:p>
    <w:sectPr>
      <w:footerReference w:type="default" r:id="rId7"/>
      <w:pgSz w:w="11906" w:h="16838" w:orient="portrait"/>
      <w:pgMar w:top="1133" w:right="1133" w:bottom="10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0D5" w:sz="4" w:space="6"/>
      </w:pBdr>
      <w:tabs>
        <w:tab w:val="right" w:pos="9600"/>
      </w:tabs>
    </w:pPr>
    <w:r>
      <w:rPr>
        <w:color w:val="85939C"/>
        <w:sz w:val="16"/>
        <w:szCs w:val="16"/>
      </w:rPr>
      <w:t xml:space="preserve">Audit und Falltests · Version 2.0 · Fassung vom 18. September 2026</w:t>
    </w:r>
    <w:r>
      <w:rPr>
        <w:sz w:val="16"/>
        <w:szCs w:val="16"/>
      </w:rPr>
      <w:t xml:space="preserve">	</w:t>
    </w:r>
    <w:r>
      <w:rPr>
        <w:color w:val="85939C"/>
        <w:sz w:val="16"/>
        <w:szCs w:val="16"/>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0F5C6E"/>
      <w:sz w:val="30"/>
      <w:szCs w:val="30"/>
    </w:rPr>
  </w:style>
  <w:style w:type="paragraph" w:styleId="Heading2">
    <w:name w:val="Heading 2"/>
    <w:basedOn w:val="Normal"/>
    <w:next w:val="Normal"/>
    <w:qFormat/>
    <w:pPr>
      <w:spacing w:after="120" w:before="280"/>
    </w:pPr>
    <w:rPr>
      <w:rFonts w:ascii="Calibri" w:cs="Calibri" w:eastAsia="Calibri" w:hAnsi="Calibri"/>
      <w:b/>
      <w:bCs/>
      <w:color w:val="0B4655"/>
      <w:sz w:val="25"/>
      <w:szCs w:val="25"/>
    </w:rPr>
  </w:style>
  <w:style w:type="paragraph" w:styleId="Heading3">
    <w:name w:val="Heading 3"/>
    <w:basedOn w:val="Normal"/>
    <w:next w:val="Normal"/>
    <w:qFormat/>
    <w:pPr>
      <w:spacing w:after="100" w:before="220"/>
    </w:pPr>
    <w:rPr>
      <w:rFonts w:ascii="Calibri" w:cs="Calibri" w:eastAsia="Calibri" w:hAnsi="Calibri"/>
      <w:b/>
      <w:bCs/>
      <w:color w:val="0B4655"/>
      <w:sz w:val="22"/>
      <w:szCs w:val="22"/>
    </w:rPr>
  </w:style>
  <w:style w:type="paragraph" w:styleId="Heading4">
    <w:name w:val="Heading 4"/>
    <w:basedOn w:val="Normal"/>
    <w:next w:val="Normal"/>
    <w:qFormat/>
    <w:pPr>
      <w:spacing w:after="80" w:before="180"/>
    </w:pPr>
    <w:rPr>
      <w:rFonts w:ascii="Calibri" w:cs="Calibri" w:eastAsia="Calibri" w:hAnsi="Calibri"/>
      <w:b/>
      <w:bCs/>
      <w:color w:val="5A6B76"/>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2026-09-18T10:51:05.764Z</dcterms:created>
  <dcterms:modified xsi:type="dcterms:W3CDTF">2026-09-18T10:51:05.764Z</dcterms:modified>
</cp:coreProperties>
</file>

<file path=docProps/custom.xml><?xml version="1.0" encoding="utf-8"?>
<Properties xmlns="http://schemas.openxmlformats.org/officeDocument/2006/custom-properties" xmlns:vt="http://schemas.openxmlformats.org/officeDocument/2006/docPropsVTypes"/>
</file>