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5C6E"/>
          <w:sz w:val="48"/>
          <w:szCs w:val="48"/>
        </w:rPr>
        <w:t xml:space="preserve">Kurzfassung Praxis</w:t>
      </w:r>
    </w:p>
    <w:p>
      <w:pPr>
        <w:spacing w:after="60"/>
      </w:pPr>
      <w:r>
        <w:rPr>
          <w:color w:val="5A6B76"/>
          <w:sz w:val="30"/>
          <w:szCs w:val="30"/>
        </w:rPr>
        <w:t xml:space="preserve">Hausverkauf Schweiz</w:t>
      </w:r>
    </w:p>
    <w:p>
      <w:pPr>
        <w:spacing w:after="240"/>
      </w:pPr>
      <w:r>
        <w:rPr>
          <w:color w:val="5A6B76"/>
          <w:sz w:val="24"/>
          <w:szCs w:val="24"/>
        </w:rPr>
        <w:t xml:space="preserve">Die Arbeitsebene: Prüfpunkte, Entscheidungen, rote Linien</w:t>
      </w:r>
    </w:p>
    <w:p>
      <w:pPr>
        <w:pBdr>
          <w:bottom w:val="single" w:color="C6D0D5" w:sz="6" w:space="8"/>
        </w:pBdr>
        <w:spacing w:after="320"/>
      </w:pPr>
      <w:r>
        <w:rPr>
          <w:color w:val="85939C"/>
          <w:sz w:val="19"/>
          <w:szCs w:val="19"/>
        </w:rPr>
        <w:t xml:space="preserve">Version 2.0 · Fassung vom 18. September 2026 · Kurzfassung zum Makler-Handbuch</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Für wen und wofür</w:t>
            </w:r>
          </w:p>
          <w:p>
            <w:pPr>
              <w:spacing w:after="50"/>
            </w:pPr>
            <w:r>
              <w:rPr>
                <w:sz w:val="19"/>
                <w:szCs w:val="19"/>
              </w:rPr>
              <w:t xml:space="preserve">Diese Kurzfassung ist für erfahrene Makler. Sie erklärt nichts, sondern führt, was im Tagesgeschäft geprüft und entschieden wird.</w:t>
            </w:r>
          </w:p>
          <w:p>
            <w:pPr>
              <w:spacing w:after="50"/>
            </w:pPr>
            <w:r>
              <w:rPr>
                <w:sz w:val="19"/>
                <w:szCs w:val="19"/>
              </w:rPr>
              <w:t xml:space="preserve">Sie enthält keinen eigenen Inhalt: alles ist aus denselben Quellen erzeugt wie das Handbuch und bleibt damit automatisch synchron.</w:t>
            </w:r>
          </w:p>
          <w:p>
            <w:pPr>
              <w:spacing w:after="50"/>
            </w:pPr>
            <w:r>
              <w:rPr>
                <w:sz w:val="19"/>
                <w:szCs w:val="19"/>
              </w:rPr>
              <w:t xml:space="preserve">Das Handbuch (132 Seiten) bleibt das Nachschlagewerk und die Grundlage für die Einarbeitung neuer Mitarbeitender. Teil 9 sagt, wo darin was steht.</w:t>
            </w:r>
          </w:p>
          <w:p>
            <w:pPr>
              <w:spacing w:after="50"/>
            </w:pPr>
            <w:r>
              <w:rPr>
                <w:sz w:val="19"/>
                <w:szCs w:val="19"/>
              </w:rPr>
              <w:t xml:space="preserve">Wer den Prozess kennt, arbeitet mit dieser Kurzfassung, den Arbeitsmappen und den Formularen – und schlägt nur nach, wenn ein Sonderfall oder eine Rechtsfrage auftritt.</w:t>
            </w:r>
          </w:p>
        </w:tc>
      </w:tr>
    </w:tbl>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3000"/>
        <w:gridCol w:w="600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Teil</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Inhalt</w:t>
            </w:r>
          </w:p>
        </w:tc>
        <w:tc>
          <w:tcPr>
            <w:tcW w:type="dxa" w:w="6000"/>
            <w:shd w:fill="0F5C6E" w:color="auto" w:val="clear"/>
            <w:tcMar>
              <w:top w:type="dxa" w:w="70"/>
              <w:left w:type="dxa" w:w="100"/>
              <w:bottom w:type="dxa" w:w="70"/>
              <w:right w:type="dxa" w:w="100"/>
            </w:tcMar>
          </w:tcPr>
          <w:p>
            <w:pPr>
              <w:spacing w:after="0"/>
            </w:pPr>
            <w:r>
              <w:rPr>
                <w:b/>
                <w:bCs/>
                <w:color w:val="FFFFFF"/>
                <w:sz w:val="18"/>
                <w:szCs w:val="18"/>
              </w:rPr>
              <w:t xml:space="preserve">Zweck im Tagesgeschäft</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Prozess auf einer Seite</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Wo stehe ich, welches Gate kommt, wer entscheidet</w:t>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Gate-Karten G1 bis G10</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Freigeben, bedingt freigeben oder verweigern</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Wer entscheidet was</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Trennung Makler / Verkaufsleitung / Eigentümer</w:t>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Preissteuerung P1 bis P8</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Ursache bestimmen, bevor über den Preis gesprochen wird</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GwG-Triage</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Pflichtenpfad je Mandat bestimmen</w:t>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Sonderfall-Radar</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Signal erkennen, Fall zuordnen, Stop-Kriterium kennen</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Störfall-Radar</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Sofortmassnahme bei einem Fehler</w:t>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roten Linien</w:t>
            </w:r>
          </w:p>
        </w:tc>
        <w:tc>
          <w:tcPr>
            <w:tcW w:type="dxa" w:w="6000"/>
            <w:shd w:fill="F7F9F9" w:color="auto" w:val="clear"/>
            <w:tcMar>
              <w:top w:type="dxa" w:w="70"/>
              <w:left w:type="dxa" w:w="100"/>
              <w:bottom w:type="dxa" w:w="70"/>
              <w:right w:type="dxa" w:w="100"/>
            </w:tcMar>
          </w:tcPr>
          <w:p>
            <w:pPr>
              <w:spacing w:after="0"/>
            </w:pPr>
            <w:r>
              <w:rPr>
                <w:b w:val="false"/>
                <w:bCs w:val="false"/>
                <w:color w:val="1A1A1A"/>
                <w:sz w:val="18"/>
                <w:szCs w:val="18"/>
              </w:rPr>
              <w:t xml:space="preserve">Was nie passieren darf</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Wo steht was</w:t>
            </w:r>
          </w:p>
        </w:tc>
        <w:tc>
          <w:tcPr>
            <w:tcW w:type="dxa" w:w="6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Verweis ins Handbuch und in die Mappen</w:t>
            </w:r>
          </w:p>
        </w:tc>
      </w:tr>
    </w:tbl>
    <w:p>
      <w:pPr>
        <w:pStyle w:val="Heading1"/>
        <w:pageBreakBefore/>
        <w:spacing w:after="180" w:before="0"/>
      </w:pPr>
      <w:r>
        <w:t xml:space="preserve">1 · Prozess auf einer Seite</w:t>
      </w:r>
    </w:p>
    <w:p>
      <w:pPr>
        <w:spacing w:after="120" w:before="0"/>
      </w:pPr>
      <w:r>
        <w:rPr>
          <w:color w:val="1A1A1A"/>
          <w:sz w:val="20"/>
          <w:szCs w:val="20"/>
        </w:rPr>
        <w:t xml:space="preserve">Zwanzig Phasen, zehn Gates. Die Spalte «Entscheid» nennt die Entscheidung, die in dieser Phase fällt, und wer sie trifft.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2200"/>
        <w:gridCol w:w="600"/>
        <w:gridCol w:w="2900"/>
        <w:gridCol w:w="2000"/>
        <w:gridCol w:w="15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2900"/>
            <w:shd w:fill="0F5C6E" w:color="auto" w:val="clear"/>
            <w:tcMar>
              <w:top w:type="dxa" w:w="70"/>
              <w:left w:type="dxa" w:w="100"/>
              <w:bottom w:type="dxa" w:w="70"/>
              <w:right w:type="dxa" w:w="100"/>
            </w:tcMar>
          </w:tcPr>
          <w:p>
            <w:pPr>
              <w:spacing w:after="0"/>
            </w:pPr>
            <w:r>
              <w:rPr>
                <w:b/>
                <w:bCs/>
                <w:color w:val="FFFFFF"/>
                <w:sz w:val="18"/>
                <w:szCs w:val="18"/>
              </w:rPr>
              <w:t xml:space="preserve">Entscheid in dieser Phase</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Wer entscheidet</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CRM-Status</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Lead-Erfassung und Eigentümerakquise</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Wird der Lead bearbeitet oder abgelehnt?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Teamleitung bei Sonderfällen und bei Objekten aussserhalb …</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Lead</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Erstkontakt und Qualifizierung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Besteht eine echte Verkaufsabsicht oder nur Wertneugier?</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Teamleitung bei Zurückstellung</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Erstkontakt</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Erstgespräch beim Eigentümer</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Erteilt der Eigentümer den Auftrag zur Bewertung?</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für den Bewertungsauftrag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Eigentümergespräch</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Objektaufnahme und Erstbesichtigung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Genügt die Aufnahme als Bewertungsgrundlage oder ist eine Fachexpertise nötig?</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Teamleitung bei Expertisebedarf</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Unterlagenbeschaffung</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Wird der GEAK beauftragt?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für Kosten auslösende Aufträge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 und Grundbuchprüfung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G1</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Ist das Objekt in der vorgesehenen Form verkäuflich?</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auf Antrag des Maklers</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 und Standortanalyse</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G3</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Trägt die Datengrundlage eine Bewertung?</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Zweite bewertende Person im Vier-Augen-Prinzip</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 und Verkaufspreisempfehlung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Wie werden die Methoden gewichtet und warum?</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erstellt, zweite bewertende Person gibt frei</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Bewertungsbesprechung und Preisentscheid</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Angebotspreis</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Ausschliesslich der Eigentümer</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Maklermandat und Onboarding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G2</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Mandatsform: Allein- oder einfacher Auftrag</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unterzeichnet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Mandat</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Vermarktungsvorbereitung</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G4+G5</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Welche Zusatzleistungen werden beauftragt und von wem getragen?</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für Kosten, Bildauswahl, Adressanzeige und Freigabe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Vorbereitung</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Markteinführung und Online-Vermarktung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Wird in der geplanten Stufe gestartet oder eine Stufe vorgezogen?</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für den Stufenentscheid</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Aktiv am Markt</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Interessentenmanagement und Qualifizierung</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Welche Funnelstufe erhält der Interessent (Teil E)?</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für die Einstufung; Compliance bei Auffälligkeiten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Besichtigungen und Rückmeldung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Einzel- oder Sammelbesichtigung?</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Eigentümer bei Strategieanpassung</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Besichtigungen</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Kaufangebote und Finanzierungsprüfung</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G6</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Ist das Angebot verhandlungsfähig?</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für die Angebotsfähigkeit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 und Entscheidungsvorlage</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G7</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Annahme, Gegenangebot, Ablehnung oder Fristverfahren?</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Ausschliesslich der Eigentümer</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 und Notariatsauftrag</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G8</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Wird die Vermarktung zurückgestellt und wie werden Zweitinteressenten geführt?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für Zurückstellung und Notariatswahl</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Kaufvertrag und öffentliche Beurkundung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G9</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Bildet der Entwurf die Einigung ab?</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Parteien für den Vertragsinhalt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Beurkundet</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 und Eigentumsübertragung</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G10</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Sind Zahlung und Eintragung fristgerecht erfolgt?</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für die Abwicklung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Vollzug</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 Abschluss und Nachbetreuung</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Sind offene Punkte aus der Übergabe erledigt?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Parteien für das Protokoll</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Abgeschlossen</w:t>
            </w:r>
          </w:p>
        </w:tc>
      </w:tr>
    </w:tbl>
    <w:p>
      <w:pPr>
        <w:spacing w:after="0"/>
      </w:pPr>
      <w:r>
        <w:t xml:space="preserve"/>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Die vier Haltepunkte</w:t>
            </w:r>
          </w:p>
          <w:p>
            <w:pPr>
              <w:spacing w:after="50"/>
            </w:pPr>
            <w:r>
              <w:rPr>
                <w:sz w:val="19"/>
                <w:szCs w:val="19"/>
              </w:rPr>
              <w:t xml:space="preserve">G1 nach Phase 6 – verkäuflich? Vorher entstehen keine Vermarktungskosten.</w:t>
            </w:r>
          </w:p>
          <w:p>
            <w:pPr>
              <w:spacing w:after="50"/>
            </w:pPr>
            <w:r>
              <w:rPr>
                <w:sz w:val="19"/>
                <w:szCs w:val="19"/>
              </w:rPr>
              <w:t xml:space="preserve">G2 nach Phase 10 – Auftrag tragfähig und Triage dokumentiert? Vorher keine Vermarktung.</w:t>
            </w:r>
          </w:p>
          <w:p>
            <w:pPr>
              <w:spacing w:after="50"/>
            </w:pPr>
            <w:r>
              <w:rPr>
                <w:sz w:val="19"/>
                <w:szCs w:val="19"/>
              </w:rPr>
              <w:t xml:space="preserve">G4 und G5 nach Phase 11 – Unterlagen richtig und freigegeben, und darf das Objekt an den Markt?</w:t>
            </w:r>
          </w:p>
          <w:p>
            <w:pPr>
              <w:spacing w:after="50"/>
            </w:pPr>
            <w:r>
              <w:rPr>
                <w:sz w:val="19"/>
                <w:szCs w:val="19"/>
              </w:rPr>
              <w:t xml:space="preserve">G6 nach Phase 15 – Finanzierung objektbezogen belegt? Vorher keine Verhandlung und keine Reservation.</w:t>
            </w:r>
          </w:p>
        </w:tc>
      </w:tr>
    </w:tbl>
    <w:p>
      <w:pPr>
        <w:pStyle w:val="Heading1"/>
        <w:pageBreakBefore/>
        <w:spacing w:after="180" w:before="0"/>
      </w:pPr>
      <w:r>
        <w:t xml:space="preserve">2 · Gate-Karten</w:t>
      </w:r>
    </w:p>
    <w:p>
      <w:pPr>
        <w:spacing w:after="120" w:before="0"/>
      </w:pPr>
      <w:r>
        <w:rPr>
          <w:color w:val="1A1A1A"/>
          <w:sz w:val="20"/>
          <w:szCs w:val="20"/>
        </w:rPr>
        <w:t xml:space="preserve">Drei zulässige Ergebnisse: freigegeben · freigegeben mit Bedingung (nur Verkaufsleitung, nie über ein Stop-Kriterium) · verweigert. Kriterien hier in Kurzform; Volltext im Handbuch Teil B1.</w:t>
      </w:r>
    </w:p>
    <w:p>
      <w:pPr>
        <w:pStyle w:val="Heading4"/>
        <w:spacing w:after="80" w:before="180"/>
      </w:pPr>
      <w:r>
        <w:t xml:space="preserve">GATE 1 · Verkaufsfähigkeit  —  nach Phase 6  ·  Prüfer: Verkaufsleitung; bei Sonderfällen zusätzlich Rechtsberatung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400"/>
        <w:gridCol w:w="4200"/>
      </w:tblGrid>
      <w:tr>
        <w:trPr>
          <w:tblHeader/>
        </w:trPr>
        <w:tc>
          <w:tcPr>
            <w:tcW w:type="dxa" w:w="5400"/>
            <w:shd w:fill="0F5C6E" w:color="auto" w:val="clear"/>
            <w:tcMar>
              <w:top w:type="dxa" w:w="70"/>
              <w:left w:type="dxa" w:w="100"/>
              <w:bottom w:type="dxa" w:w="70"/>
              <w:right w:type="dxa" w:w="100"/>
            </w:tcMar>
          </w:tcPr>
          <w:p>
            <w:pPr>
              <w:spacing w:after="0"/>
            </w:pPr>
            <w:r>
              <w:rPr>
                <w:b/>
                <w:bCs/>
                <w:color w:val="FFFFFF"/>
                <w:sz w:val="18"/>
                <w:szCs w:val="18"/>
              </w:rPr>
              <w:t xml:space="preserve">Freigabe, wenn  (Leitfrage: Ist die Liegenschaft in der vorgesehenen Form überhaupt verkäuflich – und darf Geld für …)</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STOP  ·  Nachweis  ·  Eskalation</w:t>
            </w:r>
          </w:p>
        </w:tc>
      </w:tr>
      <w:tr>
        <w:tc>
          <w:tcPr>
            <w:tcW w:type="dxa" w:w="5400"/>
            <w:shd w:fill="FFFFFF" w:color="auto" w:val="clear"/>
            <w:tcMar>
              <w:top w:type="dxa" w:w="70"/>
              <w:left w:type="dxa" w:w="100"/>
              <w:bottom w:type="dxa" w:w="70"/>
              <w:right w:type="dxa" w:w="100"/>
            </w:tcMar>
          </w:tcPr>
          <w:p>
            <w:pPr>
              <w:spacing w:after="40"/>
            </w:pPr>
            <w:r>
              <w:rPr>
                <w:b w:val="false"/>
                <w:bCs w:val="false"/>
                <w:color w:val="1A1A1A"/>
                <w:sz w:val="18"/>
                <w:szCs w:val="18"/>
              </w:rPr>
              <w:t xml:space="preserve">· Aktueller Grundbuchauszug liegt vor, nicht älter als drei Monate, direkt vom Grundbuchamt bezogen (R4).</w:t>
            </w:r>
          </w:p>
          <w:p>
            <w:pPr>
              <w:spacing w:after="40"/>
            </w:pPr>
            <w:r>
              <w:rPr>
                <w:b w:val="false"/>
                <w:bCs w:val="false"/>
                <w:color w:val="1A1A1A"/>
                <w:sz w:val="18"/>
                <w:szCs w:val="18"/>
              </w:rPr>
              <w:t xml:space="preserve">· Der eingetragene Eigentümer stimmt mit den auftretenden Personen überein; Abweichungen sind geklärt.</w:t>
            </w:r>
          </w:p>
          <w:p>
            <w:pPr>
              <w:spacing w:after="40"/>
            </w:pPr>
            <w:r>
              <w:rPr>
                <w:b w:val="false"/>
                <w:bCs w:val="false"/>
                <w:color w:val="1A1A1A"/>
                <w:sz w:val="18"/>
                <w:szCs w:val="18"/>
              </w:rPr>
              <w:t xml:space="preserve">· Jede Position des Auszugs ist eingestuft: unkritisch, offenzulegen, vor Vermarktung zu klären</w:t>
            </w:r>
          </w:p>
          <w:p>
            <w:pPr>
              <w:spacing w:after="40"/>
            </w:pPr>
            <w:r>
              <w:rPr>
                <w:b w:val="false"/>
                <w:bCs w:val="false"/>
                <w:color w:val="1A1A1A"/>
                <w:sz w:val="18"/>
                <w:szCs w:val="18"/>
              </w:rPr>
              <w:t xml:space="preserve">· Gesetzliche und vertragliche Vorkaufsrechte sind geklärt; besteht ein Recht, ist der Ablauf festgelegt (R6).</w:t>
            </w:r>
          </w:p>
          <w:p>
            <w:pPr>
              <w:spacing w:after="40"/>
            </w:pPr>
            <w:r>
              <w:rPr>
                <w:b w:val="false"/>
                <w:bCs w:val="false"/>
                <w:color w:val="1A1A1A"/>
                <w:sz w:val="18"/>
                <w:szCs w:val="18"/>
              </w:rPr>
              <w:t xml:space="preserve">· Bewilligungsstatus aller Umbauten ist geklärt oder als offenes Risiko mit Konsequenz dokumentiert (R44).</w:t>
            </w:r>
          </w:p>
          <w:p>
            <w:pPr>
              <w:spacing w:after="40"/>
            </w:pPr>
            <w:r>
              <w:rPr>
                <w:b w:val="false"/>
                <w:bCs w:val="false"/>
                <w:color w:val="1A1A1A"/>
                <w:sz w:val="18"/>
                <w:szCs w:val="18"/>
              </w:rPr>
              <w:t xml:space="preserve">· Katasterauszug belastete Standorte und Gefahrenkartenauszug liegen vor und sind ausgewertet (R29, R30).</w:t>
            </w:r>
          </w:p>
          <w:p>
            <w:pPr>
              <w:spacing w:after="40"/>
            </w:pPr>
            <w:r>
              <w:rPr>
                <w:b w:val="false"/>
                <w:bCs w:val="false"/>
                <w:color w:val="1A1A1A"/>
                <w:sz w:val="18"/>
                <w:szCs w:val="18"/>
              </w:rPr>
              <w:t xml:space="preserve">· Erwerbsrechtliche Beschränkungen für künftige Käufer sind bestimmt: Lex Koller, Zweitwohnungsrecht, bäuerliches Bodenrecht (R34, R35, R36)</w:t>
            </w:r>
          </w:p>
          <w:p>
            <w:pPr>
              <w:spacing w:after="0"/>
            </w:pPr>
            <w:r>
              <w:rPr>
                <w:b w:val="false"/>
                <w:bCs w:val="false"/>
                <w:color w:val="1A1A1A"/>
                <w:sz w:val="18"/>
                <w:szCs w:val="18"/>
              </w:rPr>
              <w:t xml:space="preserve">· Sonderfälle nach Teil J sind erkannt und die dort verlangten Abklärungen sind eingeleitet.</w:t>
            </w:r>
          </w:p>
        </w:tc>
        <w:tc>
          <w:tcPr>
            <w:tcW w:type="dxa" w:w="4200"/>
            <w:shd w:fill="FFFFFF" w:color="auto" w:val="clear"/>
            <w:tcMar>
              <w:top w:type="dxa" w:w="70"/>
              <w:left w:type="dxa" w:w="100"/>
              <w:bottom w:type="dxa" w:w="70"/>
              <w:right w:type="dxa" w:w="100"/>
            </w:tcMar>
          </w:tcPr>
          <w:p>
            <w:pPr>
              <w:spacing w:after="40"/>
            </w:pPr>
            <w:r>
              <w:rPr>
                <w:b w:val="false"/>
                <w:bCs w:val="false"/>
                <w:color w:val="1A1A1A"/>
                <w:sz w:val="18"/>
                <w:szCs w:val="18"/>
              </w:rPr>
              <w:t xml:space="preserve">STOP:</w:t>
            </w:r>
          </w:p>
          <w:p>
            <w:pPr>
              <w:spacing w:after="40"/>
            </w:pPr>
            <w:r>
              <w:rPr>
                <w:b w:val="false"/>
                <w:bCs w:val="false"/>
                <w:color w:val="1A1A1A"/>
                <w:sz w:val="18"/>
                <w:szCs w:val="18"/>
              </w:rPr>
              <w:t xml:space="preserve">· Verfügungsbefugnis nicht zweifelsfrei nachgewiesen.</w:t>
            </w:r>
          </w:p>
          <w:p>
            <w:pPr>
              <w:spacing w:after="40"/>
            </w:pPr>
            <w:r>
              <w:rPr>
                <w:b w:val="false"/>
                <w:bCs w:val="false"/>
                <w:color w:val="1A1A1A"/>
                <w:sz w:val="18"/>
                <w:szCs w:val="18"/>
              </w:rPr>
              <w:t xml:space="preserve">· Objekt liegt ausserhalb der Bauzone oder mit Landanteil und die landwirtschaftsrechtliche Einordnung ist offen</w:t>
            </w:r>
          </w:p>
          <w:p>
            <w:pPr>
              <w:spacing w:after="40"/>
            </w:pPr>
            <w:r>
              <w:rPr>
                <w:b w:val="false"/>
                <w:bCs w:val="false"/>
                <w:color w:val="1A1A1A"/>
                <w:sz w:val="18"/>
                <w:szCs w:val="18"/>
              </w:rPr>
              <w:t xml:space="preserve">· Nicht bewilligte Bauten mit offenem Wiederherstellungsrisiko.</w:t>
            </w:r>
          </w:p>
          <w:p>
            <w:pPr>
              <w:spacing w:after="40"/>
            </w:pPr>
            <w:r>
              <w:rPr>
                <w:b w:val="false"/>
                <w:bCs w:val="false"/>
                <w:color w:val="1A1A1A"/>
                <w:sz w:val="18"/>
                <w:szCs w:val="18"/>
              </w:rPr>
              <w:t xml:space="preserve">· Eintrag im Kataster belasteter Standorte mit ungeklärten Pflichten.</w:t>
            </w:r>
          </w:p>
          <w:p>
            <w:pPr>
              <w:spacing w:after="40"/>
            </w:pPr>
            <w:r>
              <w:rPr>
                <w:b w:val="false"/>
                <w:bCs w:val="false"/>
                <w:color w:val="1A1A1A"/>
                <w:sz w:val="18"/>
                <w:szCs w:val="18"/>
              </w:rPr>
              <w:t xml:space="preserve">· Vorkaufsrecht besteht und der Ablauf ist nicht festgelegt.</w:t>
            </w:r>
          </w:p>
          <w:p>
            <w:pPr>
              <w:spacing w:after="40"/>
            </w:pPr>
            <w:r>
              <w:rPr>
                <w:b w:val="false"/>
                <w:bCs w:val="false"/>
                <w:color w:val="1A1A1A"/>
                <w:sz w:val="18"/>
                <w:szCs w:val="18"/>
              </w:rPr>
              <w:t xml:space="preserve"/>
            </w:r>
          </w:p>
          <w:p>
            <w:pPr>
              <w:spacing w:after="40"/>
            </w:pPr>
            <w:r>
              <w:rPr>
                <w:b w:val="false"/>
                <w:bCs w:val="false"/>
                <w:color w:val="1A1A1A"/>
                <w:sz w:val="18"/>
                <w:szCs w:val="18"/>
              </w:rPr>
              <w:t xml:space="preserve">Nachweis: Prüfbericht Recht mit Ampeleinstufung je Position, gegengezeichnet</w:t>
            </w:r>
          </w:p>
          <w:p>
            <w:pPr>
              <w:spacing w:after="40"/>
            </w:pPr>
            <w:r>
              <w:rPr>
                <w:b w:val="false"/>
                <w:bCs w:val="false"/>
                <w:color w:val="1A1A1A"/>
                <w:sz w:val="18"/>
                <w:szCs w:val="18"/>
              </w:rPr>
              <w:t xml:space="preserve"/>
            </w:r>
          </w:p>
          <w:p>
            <w:pPr>
              <w:spacing w:after="0"/>
            </w:pPr>
            <w:r>
              <w:rPr>
                <w:b w:val="false"/>
                <w:bCs w:val="false"/>
                <w:color w:val="1A1A1A"/>
                <w:sz w:val="18"/>
                <w:szCs w:val="18"/>
              </w:rPr>
              <w:t xml:space="preserve">Eskalation: Rechtsberatung bei jeder Position «vor Vermarktung zu klären»</w:t>
            </w:r>
          </w:p>
        </w:tc>
      </w:tr>
    </w:tbl>
    <w:p>
      <w:pPr>
        <w:pStyle w:val="Heading4"/>
        <w:spacing w:after="80" w:before="180"/>
      </w:pPr>
      <w:r>
        <w:t xml:space="preserve">GATE 2 · Mandatsfähigkeit  —  nach Phase 10  ·  Prüfer: Verkaufsleitung; bei Pfad A der GwG-Triage zusätzlich Compliance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400"/>
        <w:gridCol w:w="4200"/>
      </w:tblGrid>
      <w:tr>
        <w:trPr>
          <w:tblHeader/>
        </w:trPr>
        <w:tc>
          <w:tcPr>
            <w:tcW w:type="dxa" w:w="5400"/>
            <w:shd w:fill="0F5C6E" w:color="auto" w:val="clear"/>
            <w:tcMar>
              <w:top w:type="dxa" w:w="70"/>
              <w:left w:type="dxa" w:w="100"/>
              <w:bottom w:type="dxa" w:w="70"/>
              <w:right w:type="dxa" w:w="100"/>
            </w:tcMar>
          </w:tcPr>
          <w:p>
            <w:pPr>
              <w:spacing w:after="0"/>
            </w:pPr>
            <w:r>
              <w:rPr>
                <w:b/>
                <w:bCs/>
                <w:color w:val="FFFFFF"/>
                <w:sz w:val="18"/>
                <w:szCs w:val="18"/>
              </w:rPr>
              <w:t xml:space="preserve">Freigabe, wenn  (Leitfrage: Ist der Auftrag rechtlich tragfähig erteilt – und darf das Mandat bearbeitet werden?)</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STOP  ·  Nachweis  ·  Eskalation</w:t>
            </w:r>
          </w:p>
        </w:tc>
      </w:tr>
      <w:tr>
        <w:tc>
          <w:tcPr>
            <w:tcW w:type="dxa" w:w="5400"/>
            <w:shd w:fill="FFFFFF" w:color="auto" w:val="clear"/>
            <w:tcMar>
              <w:top w:type="dxa" w:w="70"/>
              <w:left w:type="dxa" w:w="100"/>
              <w:bottom w:type="dxa" w:w="70"/>
              <w:right w:type="dxa" w:w="100"/>
            </w:tcMar>
          </w:tcPr>
          <w:p>
            <w:pPr>
              <w:spacing w:after="40"/>
            </w:pPr>
            <w:r>
              <w:rPr>
                <w:b w:val="false"/>
                <w:bCs w:val="false"/>
                <w:color w:val="1A1A1A"/>
                <w:sz w:val="18"/>
                <w:szCs w:val="18"/>
              </w:rPr>
              <w:t xml:space="preserve">· Mandat ist von allen Verfügungsberechtigten unterzeichnet</w:t>
            </w:r>
          </w:p>
          <w:p>
            <w:pPr>
              <w:spacing w:after="40"/>
            </w:pPr>
            <w:r>
              <w:rPr>
                <w:b w:val="false"/>
                <w:bCs w:val="false"/>
                <w:color w:val="1A1A1A"/>
                <w:sz w:val="18"/>
                <w:szCs w:val="18"/>
              </w:rPr>
              <w:t xml:space="preserve">· Vorgelegte Vollmachten genügen für Mandat und späteres Beurkundungsverfahren</w:t>
            </w:r>
          </w:p>
          <w:p>
            <w:pPr>
              <w:spacing w:after="40"/>
            </w:pPr>
            <w:r>
              <w:rPr>
                <w:b w:val="false"/>
                <w:bCs w:val="false"/>
                <w:color w:val="1A1A1A"/>
                <w:sz w:val="18"/>
                <w:szCs w:val="18"/>
              </w:rPr>
              <w:t xml:space="preserve">· Bei verbeiständeten Eigentümern liegt die Zustimmung der Erwachsenenschutzbehörde vor (R15).</w:t>
            </w:r>
          </w:p>
          <w:p>
            <w:pPr>
              <w:spacing w:after="40"/>
            </w:pPr>
            <w:r>
              <w:rPr>
                <w:b w:val="false"/>
                <w:bCs w:val="false"/>
                <w:color w:val="1A1A1A"/>
                <w:sz w:val="18"/>
                <w:szCs w:val="18"/>
              </w:rPr>
              <w:t xml:space="preserve">· Bei Ehegatten ist geklärt, ob die Wohnung der Familie betroffen ist; Zustimmung liegt vor (R14).</w:t>
            </w:r>
          </w:p>
          <w:p>
            <w:pPr>
              <w:spacing w:after="40"/>
            </w:pPr>
            <w:r>
              <w:rPr>
                <w:b w:val="false"/>
                <w:bCs w:val="false"/>
                <w:color w:val="1A1A1A"/>
                <w:sz w:val="18"/>
                <w:szCs w:val="18"/>
              </w:rPr>
              <w:t xml:space="preserve">· Bei juristischen Personen: Handelsregisterauszug, Zeichnungsberechtigung und Feststellung der wirtschaftlich berechtigten Person (R42)</w:t>
            </w:r>
          </w:p>
          <w:p>
            <w:pPr>
              <w:spacing w:after="40"/>
            </w:pPr>
            <w:r>
              <w:rPr>
                <w:b w:val="false"/>
                <w:bCs w:val="false"/>
                <w:color w:val="1A1A1A"/>
                <w:sz w:val="18"/>
                <w:szCs w:val="18"/>
              </w:rPr>
              <w:t xml:space="preserve">· Verwendete Vertragsvorlage ist die aktuelle, freigegebene Fassung; Abweichungen sind erneut freigegeben.</w:t>
            </w:r>
          </w:p>
          <w:p>
            <w:pPr>
              <w:spacing w:after="40"/>
            </w:pPr>
            <w:r>
              <w:rPr>
                <w:b w:val="false"/>
                <w:bCs w:val="false"/>
                <w:color w:val="1A1A1A"/>
                <w:sz w:val="18"/>
                <w:szCs w:val="18"/>
              </w:rPr>
              <w:t xml:space="preserve">· GwG-Triage nach Teil G ist durchgeführt und das Ergebnis mit Begründung abgelegt</w:t>
            </w:r>
          </w:p>
          <w:p>
            <w:pPr>
              <w:spacing w:after="40"/>
            </w:pPr>
            <w:r>
              <w:rPr>
                <w:b w:val="false"/>
                <w:bCs w:val="false"/>
                <w:color w:val="1A1A1A"/>
                <w:sz w:val="18"/>
                <w:szCs w:val="18"/>
              </w:rPr>
              <w:t xml:space="preserve">· Datenschutzerklärung ist übergeben und der Empfang dokumentiert (R39).</w:t>
            </w:r>
          </w:p>
          <w:p>
            <w:pPr>
              <w:spacing w:after="40"/>
            </w:pPr>
            <w:r>
              <w:rPr>
                <w:b w:val="false"/>
                <w:bCs w:val="false"/>
                <w:color w:val="1A1A1A"/>
                <w:sz w:val="18"/>
                <w:szCs w:val="18"/>
              </w:rPr>
              <w:t xml:space="preserve">· Mängelliste und Inventarliste sind vom Eigentümer bestätigt (R10).</w:t>
            </w:r>
          </w:p>
          <w:p>
            <w:pPr>
              <w:spacing w:after="0"/>
            </w:pPr>
            <w:r>
              <w:rPr>
                <w:b w:val="false"/>
                <w:bCs w:val="false"/>
                <w:color w:val="1A1A1A"/>
                <w:sz w:val="18"/>
                <w:szCs w:val="18"/>
              </w:rPr>
              <w:t xml:space="preserve">· Vermarktungsbudget ist freigegeben.</w:t>
            </w:r>
          </w:p>
        </w:tc>
        <w:tc>
          <w:tcPr>
            <w:tcW w:type="dxa" w:w="4200"/>
            <w:shd w:fill="FFFFFF" w:color="auto" w:val="clear"/>
            <w:tcMar>
              <w:top w:type="dxa" w:w="70"/>
              <w:left w:type="dxa" w:w="100"/>
              <w:bottom w:type="dxa" w:w="70"/>
              <w:right w:type="dxa" w:w="100"/>
            </w:tcMar>
          </w:tcPr>
          <w:p>
            <w:pPr>
              <w:spacing w:after="40"/>
            </w:pPr>
            <w:r>
              <w:rPr>
                <w:b w:val="false"/>
                <w:bCs w:val="false"/>
                <w:color w:val="1A1A1A"/>
                <w:sz w:val="18"/>
                <w:szCs w:val="18"/>
              </w:rPr>
              <w:t xml:space="preserve">STOP:</w:t>
            </w:r>
          </w:p>
          <w:p>
            <w:pPr>
              <w:spacing w:after="40"/>
            </w:pPr>
            <w:r>
              <w:rPr>
                <w:b w:val="false"/>
                <w:bCs w:val="false"/>
                <w:color w:val="1A1A1A"/>
                <w:sz w:val="18"/>
                <w:szCs w:val="18"/>
              </w:rPr>
              <w:t xml:space="preserve">· Eine Unterschrift eines Verfügungsberechtigten fehlt.</w:t>
            </w:r>
          </w:p>
          <w:p>
            <w:pPr>
              <w:spacing w:after="40"/>
            </w:pPr>
            <w:r>
              <w:rPr>
                <w:b w:val="false"/>
                <w:bCs w:val="false"/>
                <w:color w:val="1A1A1A"/>
                <w:sz w:val="18"/>
                <w:szCs w:val="18"/>
              </w:rPr>
              <w:t xml:space="preserve">· Vollmacht genügt der Form des zuständigen Notariats nicht.</w:t>
            </w:r>
          </w:p>
          <w:p>
            <w:pPr>
              <w:spacing w:after="40"/>
            </w:pPr>
            <w:r>
              <w:rPr>
                <w:b w:val="false"/>
                <w:bCs w:val="false"/>
                <w:color w:val="1A1A1A"/>
                <w:sz w:val="18"/>
                <w:szCs w:val="18"/>
              </w:rPr>
              <w:t xml:space="preserve">· KESB-Zustimmung fehlt.</w:t>
            </w:r>
          </w:p>
          <w:p>
            <w:pPr>
              <w:spacing w:after="40"/>
            </w:pPr>
            <w:r>
              <w:rPr>
                <w:b w:val="false"/>
                <w:bCs w:val="false"/>
                <w:color w:val="1A1A1A"/>
                <w:sz w:val="18"/>
                <w:szCs w:val="18"/>
              </w:rPr>
              <w:t xml:space="preserve">· GwG-Triage nicht durchgeführt oder bei Pfad A keine Compliance-Freigabe.</w:t>
            </w:r>
          </w:p>
          <w:p>
            <w:pPr>
              <w:spacing w:after="40"/>
            </w:pPr>
            <w:r>
              <w:rPr>
                <w:b w:val="false"/>
                <w:bCs w:val="false"/>
                <w:color w:val="1A1A1A"/>
                <w:sz w:val="18"/>
                <w:szCs w:val="18"/>
              </w:rPr>
              <w:t xml:space="preserve">· Vertragsvorlage wurde ohne Freigabe verändert.</w:t>
            </w:r>
          </w:p>
          <w:p>
            <w:pPr>
              <w:spacing w:after="40"/>
            </w:pPr>
            <w:r>
              <w:rPr>
                <w:b w:val="false"/>
                <w:bCs w:val="false"/>
                <w:color w:val="1A1A1A"/>
                <w:sz w:val="18"/>
                <w:szCs w:val="18"/>
              </w:rPr>
              <w:t xml:space="preserve"/>
            </w:r>
          </w:p>
          <w:p>
            <w:pPr>
              <w:spacing w:after="40"/>
            </w:pPr>
            <w:r>
              <w:rPr>
                <w:b w:val="false"/>
                <w:bCs w:val="false"/>
                <w:color w:val="1A1A1A"/>
                <w:sz w:val="18"/>
                <w:szCs w:val="18"/>
              </w:rPr>
              <w:t xml:space="preserve">Nachweis: Mandatsdossier mit Unterschriftenkontrolle, Identifikationsdossier, Triage-Protokoll</w:t>
            </w:r>
          </w:p>
          <w:p>
            <w:pPr>
              <w:spacing w:after="40"/>
            </w:pPr>
            <w:r>
              <w:rPr>
                <w:b w:val="false"/>
                <w:bCs w:val="false"/>
                <w:color w:val="1A1A1A"/>
                <w:sz w:val="18"/>
                <w:szCs w:val="18"/>
              </w:rPr>
              <w:t xml:space="preserve"/>
            </w:r>
          </w:p>
          <w:p>
            <w:pPr>
              <w:spacing w:after="0"/>
            </w:pPr>
            <w:r>
              <w:rPr>
                <w:b w:val="false"/>
                <w:bCs w:val="false"/>
                <w:color w:val="1A1A1A"/>
                <w:sz w:val="18"/>
                <w:szCs w:val="18"/>
              </w:rPr>
              <w:t xml:space="preserve">Eskalation: Rechtsberatung bei jeder Abweichung von der Vertragsvorlage. Compliance bei Pfad A und in jedem Verdachtsfall.</w:t>
            </w:r>
          </w:p>
        </w:tc>
      </w:tr>
    </w:tbl>
    <w:p>
      <w:pPr>
        <w:pStyle w:val="Heading4"/>
        <w:spacing w:after="80" w:before="180"/>
      </w:pPr>
      <w:r>
        <w:t xml:space="preserve">GATE 3 · Bewertungsfähigkeit  —  nach Phase 7  ·  Prüfer: Zweite bewertende Person im Vier-Augen-Prinzip</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400"/>
        <w:gridCol w:w="4200"/>
      </w:tblGrid>
      <w:tr>
        <w:trPr>
          <w:tblHeader/>
        </w:trPr>
        <w:tc>
          <w:tcPr>
            <w:tcW w:type="dxa" w:w="5400"/>
            <w:shd w:fill="0F5C6E" w:color="auto" w:val="clear"/>
            <w:tcMar>
              <w:top w:type="dxa" w:w="70"/>
              <w:left w:type="dxa" w:w="100"/>
              <w:bottom w:type="dxa" w:w="70"/>
              <w:right w:type="dxa" w:w="100"/>
            </w:tcMar>
          </w:tcPr>
          <w:p>
            <w:pPr>
              <w:spacing w:after="0"/>
            </w:pPr>
            <w:r>
              <w:rPr>
                <w:b/>
                <w:bCs/>
                <w:color w:val="FFFFFF"/>
                <w:sz w:val="18"/>
                <w:szCs w:val="18"/>
              </w:rPr>
              <w:t xml:space="preserve">Freigabe, wenn  (Leitfrage: Trägt die Datengrundlage eine belastbare Preisempfehlung – oder würde eine Zahl Genauigkeit …)</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STOP  ·  Nachweis  ·  Eskalation</w:t>
            </w:r>
          </w:p>
        </w:tc>
      </w:tr>
      <w:tr>
        <w:tc>
          <w:tcPr>
            <w:tcW w:type="dxa" w:w="5400"/>
            <w:shd w:fill="FFFFFF" w:color="auto" w:val="clear"/>
            <w:tcMar>
              <w:top w:type="dxa" w:w="70"/>
              <w:left w:type="dxa" w:w="100"/>
              <w:bottom w:type="dxa" w:w="70"/>
              <w:right w:type="dxa" w:w="100"/>
            </w:tcMar>
          </w:tcPr>
          <w:p>
            <w:pPr>
              <w:spacing w:after="40"/>
            </w:pPr>
            <w:r>
              <w:rPr>
                <w:b w:val="false"/>
                <w:bCs w:val="false"/>
                <w:color w:val="1A1A1A"/>
                <w:sz w:val="18"/>
                <w:szCs w:val="18"/>
              </w:rPr>
              <w:t xml:space="preserve">· Objektaufnahme ist vollständig</w:t>
            </w:r>
          </w:p>
          <w:p>
            <w:pPr>
              <w:spacing w:after="40"/>
            </w:pPr>
            <w:r>
              <w:rPr>
                <w:b w:val="false"/>
                <w:bCs w:val="false"/>
                <w:color w:val="1A1A1A"/>
                <w:sz w:val="18"/>
                <w:szCs w:val="18"/>
              </w:rPr>
              <w:t xml:space="preserve">· Flächen haben eine belegte Quelle und eine benannte Berechnungsnorm</w:t>
            </w:r>
          </w:p>
          <w:p>
            <w:pPr>
              <w:spacing w:after="40"/>
            </w:pPr>
            <w:r>
              <w:rPr>
                <w:b w:val="false"/>
                <w:bCs w:val="false"/>
                <w:color w:val="1A1A1A"/>
                <w:sz w:val="18"/>
                <w:szCs w:val="18"/>
              </w:rPr>
              <w:t xml:space="preserve">· Mindestens drei belastbare Vergleichsobjekte sind dokumentiert, mit Quelle, Abrufdatum und Unterscheidung von Angebots- und Abschlusspreis</w:t>
            </w:r>
          </w:p>
          <w:p>
            <w:pPr>
              <w:spacing w:after="40"/>
            </w:pPr>
            <w:r>
              <w:rPr>
                <w:b w:val="false"/>
                <w:bCs w:val="false"/>
                <w:color w:val="1A1A1A"/>
                <w:sz w:val="18"/>
                <w:szCs w:val="18"/>
              </w:rPr>
              <w:t xml:space="preserve">· Sanierungsbedarf ist bauteilweise beziffert, nicht pauschal.</w:t>
            </w:r>
          </w:p>
          <w:p>
            <w:pPr>
              <w:spacing w:after="40"/>
            </w:pPr>
            <w:r>
              <w:rPr>
                <w:b w:val="false"/>
                <w:bCs w:val="false"/>
                <w:color w:val="1A1A1A"/>
                <w:sz w:val="18"/>
                <w:szCs w:val="18"/>
              </w:rPr>
              <w:t xml:space="preserve">· Nutzungsreserven sind entweder behördlich bestätigt oder ausdrücklich als unbewertet bezeichnet (R27).</w:t>
            </w:r>
          </w:p>
          <w:p>
            <w:pPr>
              <w:spacing w:after="40"/>
            </w:pPr>
            <w:r>
              <w:rPr>
                <w:b w:val="false"/>
                <w:bCs w:val="false"/>
                <w:color w:val="1A1A1A"/>
                <w:sz w:val="18"/>
                <w:szCs w:val="18"/>
              </w:rPr>
              <w:t xml:space="preserve">· Rechtliche Belastungen aus Gate 1 sind in ihrer Wertwirkung beurteilt.</w:t>
            </w:r>
          </w:p>
          <w:p>
            <w:pPr>
              <w:spacing w:after="0"/>
            </w:pPr>
            <w:r>
              <w:rPr>
                <w:b w:val="false"/>
                <w:bCs w:val="false"/>
                <w:color w:val="1A1A1A"/>
                <w:sz w:val="18"/>
                <w:szCs w:val="18"/>
              </w:rPr>
              <w:t xml:space="preserve">· Bei relevantem Mietertrag liegen Mietverträge und Mietzinsaufstellung vor (R8).</w:t>
            </w:r>
          </w:p>
        </w:tc>
        <w:tc>
          <w:tcPr>
            <w:tcW w:type="dxa" w:w="4200"/>
            <w:shd w:fill="FFFFFF" w:color="auto" w:val="clear"/>
            <w:tcMar>
              <w:top w:type="dxa" w:w="70"/>
              <w:left w:type="dxa" w:w="100"/>
              <w:bottom w:type="dxa" w:w="70"/>
              <w:right w:type="dxa" w:w="100"/>
            </w:tcMar>
          </w:tcPr>
          <w:p>
            <w:pPr>
              <w:spacing w:after="40"/>
            </w:pPr>
            <w:r>
              <w:rPr>
                <w:b w:val="false"/>
                <w:bCs w:val="false"/>
                <w:color w:val="1A1A1A"/>
                <w:sz w:val="18"/>
                <w:szCs w:val="18"/>
              </w:rPr>
              <w:t xml:space="preserve">STOP:</w:t>
            </w:r>
          </w:p>
          <w:p>
            <w:pPr>
              <w:spacing w:after="40"/>
            </w:pPr>
            <w:r>
              <w:rPr>
                <w:b w:val="false"/>
                <w:bCs w:val="false"/>
                <w:color w:val="1A1A1A"/>
                <w:sz w:val="18"/>
                <w:szCs w:val="18"/>
              </w:rPr>
              <w:t xml:space="preserve">· Weniger als drei belastbare Vergleichsobjekte und keine tragfähige Realwertrechnung</w:t>
            </w:r>
          </w:p>
          <w:p>
            <w:pPr>
              <w:spacing w:after="40"/>
            </w:pPr>
            <w:r>
              <w:rPr>
                <w:b w:val="false"/>
                <w:bCs w:val="false"/>
                <w:color w:val="1A1A1A"/>
                <w:sz w:val="18"/>
                <w:szCs w:val="18"/>
              </w:rPr>
              <w:t xml:space="preserve">· Flächenangaben ohne Quelle.</w:t>
            </w:r>
          </w:p>
          <w:p>
            <w:pPr>
              <w:spacing w:after="40"/>
            </w:pPr>
            <w:r>
              <w:rPr>
                <w:b w:val="false"/>
                <w:bCs w:val="false"/>
                <w:color w:val="1A1A1A"/>
                <w:sz w:val="18"/>
                <w:szCs w:val="18"/>
              </w:rPr>
              <w:t xml:space="preserve">· Sanierungsbedarf nicht beziffert, obwohl erkennbar erheblich.</w:t>
            </w:r>
          </w:p>
          <w:p>
            <w:pPr>
              <w:spacing w:after="40"/>
            </w:pPr>
            <w:r>
              <w:rPr>
                <w:b w:val="false"/>
                <w:bCs w:val="false"/>
                <w:color w:val="1A1A1A"/>
                <w:sz w:val="18"/>
                <w:szCs w:val="18"/>
              </w:rPr>
              <w:t xml:space="preserve"/>
            </w:r>
          </w:p>
          <w:p>
            <w:pPr>
              <w:spacing w:after="40"/>
            </w:pPr>
            <w:r>
              <w:rPr>
                <w:b w:val="false"/>
                <w:bCs w:val="false"/>
                <w:color w:val="1A1A1A"/>
                <w:sz w:val="18"/>
                <w:szCs w:val="18"/>
              </w:rPr>
              <w:t xml:space="preserve">Nachweis: Blatt «Grundlagen» der Bewertungsmappe, vollständig mit Vorbehalten</w:t>
            </w:r>
          </w:p>
          <w:p>
            <w:pPr>
              <w:spacing w:after="40"/>
            </w:pPr>
            <w:r>
              <w:rPr>
                <w:b w:val="false"/>
                <w:bCs w:val="false"/>
                <w:color w:val="1A1A1A"/>
                <w:sz w:val="18"/>
                <w:szCs w:val="18"/>
              </w:rPr>
              <w:t xml:space="preserve"/>
            </w:r>
          </w:p>
          <w:p>
            <w:pPr>
              <w:spacing w:after="0"/>
            </w:pPr>
            <w:r>
              <w:rPr>
                <w:b w:val="false"/>
                <w:bCs w:val="false"/>
                <w:color w:val="1A1A1A"/>
                <w:sz w:val="18"/>
                <w:szCs w:val="18"/>
              </w:rPr>
              <w:t xml:space="preserve">Eskalation: Bei Sonderobjekten, bei Sanierungsbedarf über 40 Prozent des Zeitbauwerts oder bei fehlender Vergleichsbasis: qualifizierte …</w:t>
            </w:r>
          </w:p>
        </w:tc>
      </w:tr>
    </w:tbl>
    <w:p>
      <w:pPr>
        <w:pStyle w:val="Heading4"/>
        <w:spacing w:after="80" w:before="180"/>
      </w:pPr>
      <w:r>
        <w:t xml:space="preserve">GATE 4 · Vermarktungsfreigabe  —  nach Phase 11  ·  Prüfer: Zweite Person im Vier-Augen-Prinzip gegen die Unterlagen, danach Eigentümer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400"/>
        <w:gridCol w:w="4200"/>
      </w:tblGrid>
      <w:tr>
        <w:trPr>
          <w:tblHeader/>
        </w:trPr>
        <w:tc>
          <w:tcPr>
            <w:tcW w:type="dxa" w:w="5400"/>
            <w:shd w:fill="0F5C6E" w:color="auto" w:val="clear"/>
            <w:tcMar>
              <w:top w:type="dxa" w:w="70"/>
              <w:left w:type="dxa" w:w="100"/>
              <w:bottom w:type="dxa" w:w="70"/>
              <w:right w:type="dxa" w:w="100"/>
            </w:tcMar>
          </w:tcPr>
          <w:p>
            <w:pPr>
              <w:spacing w:after="0"/>
            </w:pPr>
            <w:r>
              <w:rPr>
                <w:b/>
                <w:bCs/>
                <w:color w:val="FFFFFF"/>
                <w:sz w:val="18"/>
                <w:szCs w:val="18"/>
              </w:rPr>
              <w:t xml:space="preserve">Freigabe, wenn  (Leitfrage: Sind die Vermarktungsmittel inhaltlich richtig, rechtlich geprüft und vom Eigentümer …)</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STOP  ·  Nachweis  ·  Eskalation</w:t>
            </w:r>
          </w:p>
        </w:tc>
      </w:tr>
      <w:tr>
        <w:tc>
          <w:tcPr>
            <w:tcW w:type="dxa" w:w="5400"/>
            <w:shd w:fill="FFFFFF" w:color="auto" w:val="clear"/>
            <w:tcMar>
              <w:top w:type="dxa" w:w="70"/>
              <w:left w:type="dxa" w:w="100"/>
              <w:bottom w:type="dxa" w:w="70"/>
              <w:right w:type="dxa" w:w="100"/>
            </w:tcMar>
          </w:tcPr>
          <w:p>
            <w:pPr>
              <w:spacing w:after="40"/>
            </w:pPr>
            <w:r>
              <w:rPr>
                <w:b w:val="false"/>
                <w:bCs w:val="false"/>
                <w:color w:val="1A1A1A"/>
                <w:sz w:val="18"/>
                <w:szCs w:val="18"/>
              </w:rPr>
              <w:t xml:space="preserve">· Release-Checkliste Verkaufsdossier nach Teil F ist vollständig abgearbeitet.</w:t>
            </w:r>
          </w:p>
          <w:p>
            <w:pPr>
              <w:spacing w:after="40"/>
            </w:pPr>
            <w:r>
              <w:rPr>
                <w:b w:val="false"/>
                <w:bCs w:val="false"/>
                <w:color w:val="1A1A1A"/>
                <w:sz w:val="18"/>
                <w:szCs w:val="18"/>
              </w:rPr>
              <w:t xml:space="preserve">· Jede Zahl im Dossier ist gegen ihre Quelle geprüft und die Prüfung ist abgezeichnet (R9, R12).</w:t>
            </w:r>
          </w:p>
          <w:p>
            <w:pPr>
              <w:spacing w:after="40"/>
            </w:pPr>
            <w:r>
              <w:rPr>
                <w:b w:val="false"/>
                <w:bCs w:val="false"/>
                <w:color w:val="1A1A1A"/>
                <w:sz w:val="18"/>
                <w:szCs w:val="18"/>
              </w:rPr>
              <w:t xml:space="preserve">· Offenlegungsteil ist vollständig: Mängel, Sanierungsbedarf, Dienstbarkeiten, Nutzungsbeschränkungen, Katastereintrag, Naturgefahren (R5, R10, R29, R30)</w:t>
            </w:r>
          </w:p>
          <w:p>
            <w:pPr>
              <w:spacing w:after="40"/>
            </w:pPr>
            <w:r>
              <w:rPr>
                <w:b w:val="false"/>
                <w:bCs w:val="false"/>
                <w:color w:val="1A1A1A"/>
                <w:sz w:val="18"/>
                <w:szCs w:val="18"/>
              </w:rPr>
              <w:t xml:space="preserve">· Kaufnebenkosten sind für den zutreffenden Kanton beim Notariat erfragt und als Spanne mit Quelle und Datum ausgewiesen (R26)</w:t>
            </w:r>
          </w:p>
          <w:p>
            <w:pPr>
              <w:spacing w:after="40"/>
            </w:pPr>
            <w:r>
              <w:rPr>
                <w:b w:val="false"/>
                <w:bCs w:val="false"/>
                <w:color w:val="1A1A1A"/>
                <w:sz w:val="18"/>
                <w:szCs w:val="18"/>
              </w:rPr>
              <w:t xml:space="preserve">· Energieangaben nur bei vorliegendem GEAK, mit Nummer und Datum (R33).</w:t>
            </w:r>
          </w:p>
          <w:p>
            <w:pPr>
              <w:spacing w:after="40"/>
            </w:pPr>
            <w:r>
              <w:rPr>
                <w:b w:val="false"/>
                <w:bCs w:val="false"/>
                <w:color w:val="1A1A1A"/>
                <w:sz w:val="18"/>
                <w:szCs w:val="18"/>
              </w:rPr>
              <w:t xml:space="preserve">· Bildrechte und Nutzungsdauer sind schriftlich geregelt</w:t>
            </w:r>
          </w:p>
          <w:p>
            <w:pPr>
              <w:spacing w:after="40"/>
            </w:pPr>
            <w:r>
              <w:rPr>
                <w:b w:val="false"/>
                <w:bCs w:val="false"/>
                <w:color w:val="1A1A1A"/>
                <w:sz w:val="18"/>
                <w:szCs w:val="18"/>
              </w:rPr>
              <w:t xml:space="preserve">· Virtuelle Möblierung ist als solche gekennzeichnet.</w:t>
            </w:r>
          </w:p>
          <w:p>
            <w:pPr>
              <w:spacing w:after="40"/>
            </w:pPr>
            <w:r>
              <w:rPr>
                <w:b w:val="false"/>
                <w:bCs w:val="false"/>
                <w:color w:val="1A1A1A"/>
                <w:sz w:val="18"/>
                <w:szCs w:val="18"/>
              </w:rPr>
              <w:t xml:space="preserve">· Rechtliche Hinweise im Dossier entsprechen der freigegebenen Fassung.</w:t>
            </w:r>
          </w:p>
          <w:p>
            <w:pPr>
              <w:spacing w:after="0"/>
            </w:pPr>
            <w:r>
              <w:rPr>
                <w:b w:val="false"/>
                <w:bCs w:val="false"/>
                <w:color w:val="1A1A1A"/>
                <w:sz w:val="18"/>
                <w:szCs w:val="18"/>
              </w:rPr>
              <w:t xml:space="preserve">· Schriftliche Freigabe des Eigentümers für Dossier, Bildauswahl, Grundrisse und Inseratstexte liegt vor.</w:t>
            </w:r>
          </w:p>
        </w:tc>
        <w:tc>
          <w:tcPr>
            <w:tcW w:type="dxa" w:w="4200"/>
            <w:shd w:fill="FFFFFF" w:color="auto" w:val="clear"/>
            <w:tcMar>
              <w:top w:type="dxa" w:w="70"/>
              <w:left w:type="dxa" w:w="100"/>
              <w:bottom w:type="dxa" w:w="70"/>
              <w:right w:type="dxa" w:w="100"/>
            </w:tcMar>
          </w:tcPr>
          <w:p>
            <w:pPr>
              <w:spacing w:after="40"/>
            </w:pPr>
            <w:r>
              <w:rPr>
                <w:b w:val="false"/>
                <w:bCs w:val="false"/>
                <w:color w:val="1A1A1A"/>
                <w:sz w:val="18"/>
                <w:szCs w:val="18"/>
              </w:rPr>
              <w:t xml:space="preserve">STOP:</w:t>
            </w:r>
          </w:p>
          <w:p>
            <w:pPr>
              <w:spacing w:after="40"/>
            </w:pPr>
            <w:r>
              <w:rPr>
                <w:b w:val="false"/>
                <w:bCs w:val="false"/>
                <w:color w:val="1A1A1A"/>
                <w:sz w:val="18"/>
                <w:szCs w:val="18"/>
              </w:rPr>
              <w:t xml:space="preserve">· Eine Angabe im Dossier ist nicht belegt.</w:t>
            </w:r>
          </w:p>
          <w:p>
            <w:pPr>
              <w:spacing w:after="40"/>
            </w:pPr>
            <w:r>
              <w:rPr>
                <w:b w:val="false"/>
                <w:bCs w:val="false"/>
                <w:color w:val="1A1A1A"/>
                <w:sz w:val="18"/>
                <w:szCs w:val="18"/>
              </w:rPr>
              <w:t xml:space="preserve">· Offenlegungsteil unvollständig.</w:t>
            </w:r>
          </w:p>
          <w:p>
            <w:pPr>
              <w:spacing w:after="40"/>
            </w:pPr>
            <w:r>
              <w:rPr>
                <w:b w:val="false"/>
                <w:bCs w:val="false"/>
                <w:color w:val="1A1A1A"/>
                <w:sz w:val="18"/>
                <w:szCs w:val="18"/>
              </w:rPr>
              <w:t xml:space="preserve">· Eigentümerfreigabe fehlt oder liegt nur mündlich vor.</w:t>
            </w:r>
          </w:p>
          <w:p>
            <w:pPr>
              <w:spacing w:after="40"/>
            </w:pPr>
            <w:r>
              <w:rPr>
                <w:b w:val="false"/>
                <w:bCs w:val="false"/>
                <w:color w:val="1A1A1A"/>
                <w:sz w:val="18"/>
                <w:szCs w:val="18"/>
              </w:rPr>
              <w:t xml:space="preserve">· Ausbaupotenzial wird ohne behördliche Bestätigung beworben.</w:t>
            </w:r>
          </w:p>
          <w:p>
            <w:pPr>
              <w:spacing w:after="40"/>
            </w:pPr>
            <w:r>
              <w:rPr>
                <w:b w:val="false"/>
                <w:bCs w:val="false"/>
                <w:color w:val="1A1A1A"/>
                <w:sz w:val="18"/>
                <w:szCs w:val="18"/>
              </w:rPr>
              <w:t xml:space="preserve"/>
            </w:r>
          </w:p>
          <w:p>
            <w:pPr>
              <w:spacing w:after="40"/>
            </w:pPr>
            <w:r>
              <w:rPr>
                <w:b w:val="false"/>
                <w:bCs w:val="false"/>
                <w:color w:val="1A1A1A"/>
                <w:sz w:val="18"/>
                <w:szCs w:val="18"/>
              </w:rPr>
              <w:t xml:space="preserve">Nachweis: Abgezeichnete Release-Checkliste und schriftliche Eigentümerfreigabe</w:t>
            </w:r>
          </w:p>
          <w:p>
            <w:pPr>
              <w:spacing w:after="40"/>
            </w:pPr>
            <w:r>
              <w:rPr>
                <w:b w:val="false"/>
                <w:bCs w:val="false"/>
                <w:color w:val="1A1A1A"/>
                <w:sz w:val="18"/>
                <w:szCs w:val="18"/>
              </w:rPr>
              <w:t xml:space="preserve"/>
            </w:r>
          </w:p>
          <w:p>
            <w:pPr>
              <w:spacing w:after="0"/>
            </w:pPr>
            <w:r>
              <w:rPr>
                <w:b w:val="false"/>
                <w:bCs w:val="false"/>
                <w:color w:val="1A1A1A"/>
                <w:sz w:val="18"/>
                <w:szCs w:val="18"/>
              </w:rPr>
              <w:t xml:space="preserve">Eskalation: Rechtsberatung bei Formulierungen zu Mängeln, Freizeichnung, Potenzial und rechtlichen Hinweisen.</w:t>
            </w:r>
          </w:p>
        </w:tc>
      </w:tr>
    </w:tbl>
    <w:p>
      <w:pPr>
        <w:pStyle w:val="Heading4"/>
        <w:spacing w:after="80" w:before="180"/>
      </w:pPr>
      <w:r>
        <w:t xml:space="preserve">GATE 5 · Marktfreigabe  —  nach Phase 11  ·  Prüfer: Verkaufsleitung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400"/>
        <w:gridCol w:w="4200"/>
      </w:tblGrid>
      <w:tr>
        <w:trPr>
          <w:tblHeader/>
        </w:trPr>
        <w:tc>
          <w:tcPr>
            <w:tcW w:type="dxa" w:w="5400"/>
            <w:shd w:fill="0F5C6E" w:color="auto" w:val="clear"/>
            <w:tcMar>
              <w:top w:type="dxa" w:w="70"/>
              <w:left w:type="dxa" w:w="100"/>
              <w:bottom w:type="dxa" w:w="70"/>
              <w:right w:type="dxa" w:w="100"/>
            </w:tcMar>
          </w:tcPr>
          <w:p>
            <w:pPr>
              <w:spacing w:after="0"/>
            </w:pPr>
            <w:r>
              <w:rPr>
                <w:b/>
                <w:bCs/>
                <w:color w:val="FFFFFF"/>
                <w:sz w:val="18"/>
                <w:szCs w:val="18"/>
              </w:rPr>
              <w:t xml:space="preserve">Freigabe, wenn  (Leitfrage: Darf das Objekt in dieser Stufe an diesen Markt – und ist die Nachfrage messbar?)</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STOP  ·  Nachweis  ·  Eskalation</w:t>
            </w:r>
          </w:p>
        </w:tc>
      </w:tr>
      <w:tr>
        <w:tc>
          <w:tcPr>
            <w:tcW w:type="dxa" w:w="5400"/>
            <w:shd w:fill="FFFFFF" w:color="auto" w:val="clear"/>
            <w:tcMar>
              <w:top w:type="dxa" w:w="70"/>
              <w:left w:type="dxa" w:w="100"/>
              <w:bottom w:type="dxa" w:w="70"/>
              <w:right w:type="dxa" w:w="100"/>
            </w:tcMar>
          </w:tcPr>
          <w:p>
            <w:pPr>
              <w:spacing w:after="40"/>
            </w:pPr>
            <w:r>
              <w:rPr>
                <w:b w:val="false"/>
                <w:bCs w:val="false"/>
                <w:color w:val="1A1A1A"/>
                <w:sz w:val="18"/>
                <w:szCs w:val="18"/>
              </w:rPr>
              <w:t xml:space="preserve">· Preisentscheid und Verkaufsstrategie liegen schriftlich vor, vom Eigentümer bestätigt.</w:t>
            </w:r>
          </w:p>
          <w:p>
            <w:pPr>
              <w:spacing w:after="40"/>
            </w:pPr>
            <w:r>
              <w:rPr>
                <w:b w:val="false"/>
                <w:bCs w:val="false"/>
                <w:color w:val="1A1A1A"/>
                <w:sz w:val="18"/>
                <w:szCs w:val="18"/>
              </w:rPr>
              <w:t xml:space="preserve">· Vermarktungsstufe ist bestimmt: Pre-Marketing, Off-Market, Soft Launch oder offizieller Marktstart (Teil F).</w:t>
            </w:r>
          </w:p>
          <w:p>
            <w:pPr>
              <w:spacing w:after="40"/>
            </w:pPr>
            <w:r>
              <w:rPr>
                <w:b w:val="false"/>
                <w:bCs w:val="false"/>
                <w:color w:val="1A1A1A"/>
                <w:sz w:val="18"/>
                <w:szCs w:val="18"/>
              </w:rPr>
              <w:t xml:space="preserve">· Kanäle, Zielgruppe, Reihenfolge und Starttag sind festgelegt.</w:t>
            </w:r>
          </w:p>
          <w:p>
            <w:pPr>
              <w:spacing w:after="40"/>
            </w:pPr>
            <w:r>
              <w:rPr>
                <w:b w:val="false"/>
                <w:bCs w:val="false"/>
                <w:color w:val="1A1A1A"/>
                <w:sz w:val="18"/>
                <w:szCs w:val="18"/>
              </w:rPr>
              <w:t xml:space="preserve">· Auslösekriterien für die Preissteuerung sind vereinbart, nicht ein pauschales Datum (Teil C).</w:t>
            </w:r>
          </w:p>
          <w:p>
            <w:pPr>
              <w:spacing w:after="40"/>
            </w:pPr>
            <w:r>
              <w:rPr>
                <w:b w:val="false"/>
                <w:bCs w:val="false"/>
                <w:color w:val="1A1A1A"/>
                <w:sz w:val="18"/>
                <w:szCs w:val="18"/>
              </w:rPr>
              <w:t xml:space="preserve">· Anfragebearbeitung ist organisiert: Zuständigkeit, Telefonzeiten, Reaktionszeitziel.</w:t>
            </w:r>
          </w:p>
          <w:p>
            <w:pPr>
              <w:spacing w:after="40"/>
            </w:pPr>
            <w:r>
              <w:rPr>
                <w:b w:val="false"/>
                <w:bCs w:val="false"/>
                <w:color w:val="1A1A1A"/>
                <w:sz w:val="18"/>
                <w:szCs w:val="18"/>
              </w:rPr>
              <w:t xml:space="preserve">· Kurzdossier und vollständiges Dossier sind getrennt; Freigaberegel für den Versand ist festgelegt.</w:t>
            </w:r>
          </w:p>
          <w:p>
            <w:pPr>
              <w:spacing w:after="40"/>
            </w:pPr>
            <w:r>
              <w:rPr>
                <w:b w:val="false"/>
                <w:bCs w:val="false"/>
                <w:color w:val="1A1A1A"/>
                <w:sz w:val="18"/>
                <w:szCs w:val="18"/>
              </w:rPr>
              <w:t xml:space="preserve">· Bei diskreter Vermarktung: Verzicht auf Portale, Schild und Adressanzeige ist schriftlich bestätigt, mit Kenntnisnahme der Reichweitenfolge</w:t>
            </w:r>
          </w:p>
          <w:p>
            <w:pPr>
              <w:spacing w:after="0"/>
            </w:pPr>
            <w:r>
              <w:rPr>
                <w:b w:val="false"/>
                <w:bCs w:val="false"/>
                <w:color w:val="1A1A1A"/>
                <w:sz w:val="18"/>
                <w:szCs w:val="18"/>
              </w:rPr>
              <w:t xml:space="preserve">· Objektstatus im CRM ist auf «aktiv am Markt» gesetzt und der Starttag ist erfasst.</w:t>
            </w:r>
          </w:p>
        </w:tc>
        <w:tc>
          <w:tcPr>
            <w:tcW w:type="dxa" w:w="4200"/>
            <w:shd w:fill="FFFFFF" w:color="auto" w:val="clear"/>
            <w:tcMar>
              <w:top w:type="dxa" w:w="70"/>
              <w:left w:type="dxa" w:w="100"/>
              <w:bottom w:type="dxa" w:w="70"/>
              <w:right w:type="dxa" w:w="100"/>
            </w:tcMar>
          </w:tcPr>
          <w:p>
            <w:pPr>
              <w:spacing w:after="40"/>
            </w:pPr>
            <w:r>
              <w:rPr>
                <w:b w:val="false"/>
                <w:bCs w:val="false"/>
                <w:color w:val="1A1A1A"/>
                <w:sz w:val="18"/>
                <w:szCs w:val="18"/>
              </w:rPr>
              <w:t xml:space="preserve">STOP:</w:t>
            </w:r>
          </w:p>
          <w:p>
            <w:pPr>
              <w:spacing w:after="40"/>
            </w:pPr>
            <w:r>
              <w:rPr>
                <w:b w:val="false"/>
                <w:bCs w:val="false"/>
                <w:color w:val="1A1A1A"/>
                <w:sz w:val="18"/>
                <w:szCs w:val="18"/>
              </w:rPr>
              <w:t xml:space="preserve">· Preis ist nicht schriftlich entschieden.</w:t>
            </w:r>
          </w:p>
          <w:p>
            <w:pPr>
              <w:spacing w:after="40"/>
            </w:pPr>
            <w:r>
              <w:rPr>
                <w:b w:val="false"/>
                <w:bCs w:val="false"/>
                <w:color w:val="1A1A1A"/>
                <w:sz w:val="18"/>
                <w:szCs w:val="18"/>
              </w:rPr>
              <w:t xml:space="preserve">· Gate 4 ist nicht freigegeben.</w:t>
            </w:r>
          </w:p>
          <w:p>
            <w:pPr>
              <w:spacing w:after="40"/>
            </w:pPr>
            <w:r>
              <w:rPr>
                <w:b w:val="false"/>
                <w:bCs w:val="false"/>
                <w:color w:val="1A1A1A"/>
                <w:sz w:val="18"/>
                <w:szCs w:val="18"/>
              </w:rPr>
              <w:t xml:space="preserve">· Auslösekriterien der Preissteuerung fehlen.</w:t>
            </w:r>
          </w:p>
          <w:p>
            <w:pPr>
              <w:spacing w:after="40"/>
            </w:pPr>
            <w:r>
              <w:rPr>
                <w:b w:val="false"/>
                <w:bCs w:val="false"/>
                <w:color w:val="1A1A1A"/>
                <w:sz w:val="18"/>
                <w:szCs w:val="18"/>
              </w:rPr>
              <w:t xml:space="preserve"/>
            </w:r>
          </w:p>
          <w:p>
            <w:pPr>
              <w:spacing w:after="40"/>
            </w:pPr>
            <w:r>
              <w:rPr>
                <w:b w:val="false"/>
                <w:bCs w:val="false"/>
                <w:color w:val="1A1A1A"/>
                <w:sz w:val="18"/>
                <w:szCs w:val="18"/>
              </w:rPr>
              <w:t xml:space="preserve">Nachweis: Strategieprotokoll mit Auslösekriterien; Kontrollausdrucke der Inserate</w:t>
            </w:r>
          </w:p>
          <w:p>
            <w:pPr>
              <w:spacing w:after="40"/>
            </w:pPr>
            <w:r>
              <w:rPr>
                <w:b w:val="false"/>
                <w:bCs w:val="false"/>
                <w:color w:val="1A1A1A"/>
                <w:sz w:val="18"/>
                <w:szCs w:val="18"/>
              </w:rPr>
              <w:t xml:space="preserve"/>
            </w:r>
          </w:p>
          <w:p>
            <w:pPr>
              <w:spacing w:after="0"/>
            </w:pPr>
            <w:r>
              <w:rPr>
                <w:b w:val="false"/>
                <w:bCs w:val="false"/>
                <w:color w:val="1A1A1A"/>
                <w:sz w:val="18"/>
                <w:szCs w:val="18"/>
              </w:rPr>
              <w:t xml:space="preserve">Eskalation: Verkaufsleitung, wenn der Eigentümer einen Preis über der Wertspanne verlangt: Testphase mit Anpassungsmechanismus oder Mandatsverzicht</w:t>
            </w:r>
          </w:p>
        </w:tc>
      </w:tr>
    </w:tbl>
    <w:p>
      <w:pPr>
        <w:pStyle w:val="Heading4"/>
        <w:spacing w:after="80" w:before="180"/>
      </w:pPr>
      <w:r>
        <w:t xml:space="preserve">GATE 6 · Angebotsfähigkeit  —  nach Phase 15  ·  Prüfer: Verkaufsleitung prüft Vollständigkeit und Gleichbehandlung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400"/>
        <w:gridCol w:w="4200"/>
      </w:tblGrid>
      <w:tr>
        <w:trPr>
          <w:tblHeader/>
        </w:trPr>
        <w:tc>
          <w:tcPr>
            <w:tcW w:type="dxa" w:w="5400"/>
            <w:shd w:fill="0F5C6E" w:color="auto" w:val="clear"/>
            <w:tcMar>
              <w:top w:type="dxa" w:w="70"/>
              <w:left w:type="dxa" w:w="100"/>
              <w:bottom w:type="dxa" w:w="70"/>
              <w:right w:type="dxa" w:w="100"/>
            </w:tcMar>
          </w:tcPr>
          <w:p>
            <w:pPr>
              <w:spacing w:after="0"/>
            </w:pPr>
            <w:r>
              <w:rPr>
                <w:b/>
                <w:bCs/>
                <w:color w:val="FFFFFF"/>
                <w:sz w:val="18"/>
                <w:szCs w:val="18"/>
              </w:rPr>
              <w:t xml:space="preserve">Freigabe, wenn  (Leitfrage: Ist dieses Angebot verhandlungsfähig – und sind mehrere Angebote vergleichbar gemacht?)</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STOP  ·  Nachweis  ·  Eskalation</w:t>
            </w:r>
          </w:p>
        </w:tc>
      </w:tr>
      <w:tr>
        <w:tc>
          <w:tcPr>
            <w:tcW w:type="dxa" w:w="5400"/>
            <w:shd w:fill="FFFFFF" w:color="auto" w:val="clear"/>
            <w:tcMar>
              <w:top w:type="dxa" w:w="70"/>
              <w:left w:type="dxa" w:w="100"/>
              <w:bottom w:type="dxa" w:w="70"/>
              <w:right w:type="dxa" w:w="100"/>
            </w:tcMar>
          </w:tcPr>
          <w:p>
            <w:pPr>
              <w:spacing w:after="40"/>
            </w:pPr>
            <w:r>
              <w:rPr>
                <w:b w:val="false"/>
                <w:bCs w:val="false"/>
                <w:color w:val="1A1A1A"/>
                <w:sz w:val="18"/>
                <w:szCs w:val="18"/>
              </w:rPr>
              <w:t xml:space="preserve">· Angebot liegt schriftlich und vollständig vor; Eingang mit Datum und Uhrzeit protokolliert.</w:t>
            </w:r>
          </w:p>
          <w:p>
            <w:pPr>
              <w:spacing w:after="40"/>
            </w:pPr>
            <w:r>
              <w:rPr>
                <w:b w:val="false"/>
                <w:bCs w:val="false"/>
                <w:color w:val="1A1A1A"/>
                <w:sz w:val="18"/>
                <w:szCs w:val="18"/>
              </w:rPr>
              <w:t xml:space="preserve">· Objekt- und preisbezogene Finanzierungsbestätigung der Bank liegt vor</w:t>
            </w:r>
          </w:p>
          <w:p>
            <w:pPr>
              <w:spacing w:after="40"/>
            </w:pPr>
            <w:r>
              <w:rPr>
                <w:b w:val="false"/>
                <w:bCs w:val="false"/>
                <w:color w:val="1A1A1A"/>
                <w:sz w:val="18"/>
                <w:szCs w:val="18"/>
              </w:rPr>
              <w:t xml:space="preserve">· Eigenmittel sind belegt; der Anteil harter Eigenmittel ist ausgewiesen (R40).</w:t>
            </w:r>
          </w:p>
          <w:p>
            <w:pPr>
              <w:spacing w:after="40"/>
            </w:pPr>
            <w:r>
              <w:rPr>
                <w:b w:val="false"/>
                <w:bCs w:val="false"/>
                <w:color w:val="1A1A1A"/>
                <w:sz w:val="18"/>
                <w:szCs w:val="18"/>
              </w:rPr>
              <w:t xml:space="preserve">· Erwerbsrechtliche Zulässigkeit ist abschliessend geklärt (R34, R35, R36).</w:t>
            </w:r>
          </w:p>
          <w:p>
            <w:pPr>
              <w:spacing w:after="40"/>
            </w:pPr>
            <w:r>
              <w:rPr>
                <w:b w:val="false"/>
                <w:bCs w:val="false"/>
                <w:color w:val="1A1A1A"/>
                <w:sz w:val="18"/>
                <w:szCs w:val="18"/>
              </w:rPr>
              <w:t xml:space="preserve">· GwG-Triage ist mit der Nutzungsabsicht der Käuferschaft abgeschlossen</w:t>
            </w:r>
          </w:p>
          <w:p>
            <w:pPr>
              <w:spacing w:after="40"/>
            </w:pPr>
            <w:r>
              <w:rPr>
                <w:b w:val="false"/>
                <w:bCs w:val="false"/>
                <w:color w:val="1A1A1A"/>
                <w:sz w:val="18"/>
                <w:szCs w:val="18"/>
              </w:rPr>
              <w:t xml:space="preserve">· Bedingungen und Vorbehalte sind erfasst und in ihrer Wirkung auf die Abschlusssicherheit beurteilt.</w:t>
            </w:r>
          </w:p>
          <w:p>
            <w:pPr>
              <w:spacing w:after="40"/>
            </w:pPr>
            <w:r>
              <w:rPr>
                <w:b w:val="false"/>
                <w:bCs w:val="false"/>
                <w:color w:val="1A1A1A"/>
                <w:sz w:val="18"/>
                <w:szCs w:val="18"/>
              </w:rPr>
              <w:t xml:space="preserve">· Angebotsvergleich nach Teil E ist erstellt; bei mehreren Angeboten mit gleichen Annahmen und ohne Wertung.</w:t>
            </w:r>
          </w:p>
          <w:p>
            <w:pPr>
              <w:spacing w:after="0"/>
            </w:pPr>
            <w:r>
              <w:rPr>
                <w:b w:val="false"/>
                <w:bCs w:val="false"/>
                <w:color w:val="1A1A1A"/>
                <w:sz w:val="18"/>
                <w:szCs w:val="18"/>
              </w:rPr>
              <w:t xml:space="preserve">· Nettoerlös je Angebot ist mit identischen Annahmen gerechnet; die Annahmen sind offengelegt.</w:t>
            </w:r>
          </w:p>
        </w:tc>
        <w:tc>
          <w:tcPr>
            <w:tcW w:type="dxa" w:w="4200"/>
            <w:shd w:fill="FFFFFF" w:color="auto" w:val="clear"/>
            <w:tcMar>
              <w:top w:type="dxa" w:w="70"/>
              <w:left w:type="dxa" w:w="100"/>
              <w:bottom w:type="dxa" w:w="70"/>
              <w:right w:type="dxa" w:w="100"/>
            </w:tcMar>
          </w:tcPr>
          <w:p>
            <w:pPr>
              <w:spacing w:after="40"/>
            </w:pPr>
            <w:r>
              <w:rPr>
                <w:b w:val="false"/>
                <w:bCs w:val="false"/>
                <w:color w:val="1A1A1A"/>
                <w:sz w:val="18"/>
                <w:szCs w:val="18"/>
              </w:rPr>
              <w:t xml:space="preserve">STOP:</w:t>
            </w:r>
          </w:p>
          <w:p>
            <w:pPr>
              <w:spacing w:after="40"/>
            </w:pPr>
            <w:r>
              <w:rPr>
                <w:b w:val="false"/>
                <w:bCs w:val="false"/>
                <w:color w:val="1A1A1A"/>
                <w:sz w:val="18"/>
                <w:szCs w:val="18"/>
              </w:rPr>
              <w:t xml:space="preserve">· Keine objektbezogene Finanzierungsbestätigung.</w:t>
            </w:r>
          </w:p>
          <w:p>
            <w:pPr>
              <w:spacing w:after="40"/>
            </w:pPr>
            <w:r>
              <w:rPr>
                <w:b w:val="false"/>
                <w:bCs w:val="false"/>
                <w:color w:val="1A1A1A"/>
                <w:sz w:val="18"/>
                <w:szCs w:val="18"/>
              </w:rPr>
              <w:t xml:space="preserve">· Erwerbsrechtliche Bewilligungspflicht ungeklärt.</w:t>
            </w:r>
          </w:p>
          <w:p>
            <w:pPr>
              <w:spacing w:after="40"/>
            </w:pPr>
            <w:r>
              <w:rPr>
                <w:b w:val="false"/>
                <w:bCs w:val="false"/>
                <w:color w:val="1A1A1A"/>
                <w:sz w:val="18"/>
                <w:szCs w:val="18"/>
              </w:rPr>
              <w:t xml:space="preserve">· Bei Pfad A keine Compliance-Freigabe.</w:t>
            </w:r>
          </w:p>
          <w:p>
            <w:pPr>
              <w:spacing w:after="40"/>
            </w:pPr>
            <w:r>
              <w:rPr>
                <w:b w:val="false"/>
                <w:bCs w:val="false"/>
                <w:color w:val="1A1A1A"/>
                <w:sz w:val="18"/>
                <w:szCs w:val="18"/>
              </w:rPr>
              <w:t xml:space="preserve">· Angebot unvollständig und der Interessent liefert nicht nach.</w:t>
            </w:r>
          </w:p>
          <w:p>
            <w:pPr>
              <w:spacing w:after="40"/>
            </w:pPr>
            <w:r>
              <w:rPr>
                <w:b w:val="false"/>
                <w:bCs w:val="false"/>
                <w:color w:val="1A1A1A"/>
                <w:sz w:val="18"/>
                <w:szCs w:val="18"/>
              </w:rPr>
              <w:t xml:space="preserve"/>
            </w:r>
          </w:p>
          <w:p>
            <w:pPr>
              <w:spacing w:after="40"/>
            </w:pPr>
            <w:r>
              <w:rPr>
                <w:b w:val="false"/>
                <w:bCs w:val="false"/>
                <w:color w:val="1A1A1A"/>
                <w:sz w:val="18"/>
                <w:szCs w:val="18"/>
              </w:rPr>
              <w:t xml:space="preserve">Nachweis: Angebotsvergleich und Entscheidungsvorlage, abgezeichnet</w:t>
            </w:r>
          </w:p>
          <w:p>
            <w:pPr>
              <w:spacing w:after="40"/>
            </w:pPr>
            <w:r>
              <w:rPr>
                <w:b w:val="false"/>
                <w:bCs w:val="false"/>
                <w:color w:val="1A1A1A"/>
                <w:sz w:val="18"/>
                <w:szCs w:val="18"/>
              </w:rPr>
              <w:t xml:space="preserve"/>
            </w:r>
          </w:p>
          <w:p>
            <w:pPr>
              <w:spacing w:after="0"/>
            </w:pPr>
            <w:r>
              <w:rPr>
                <w:b w:val="false"/>
                <w:bCs w:val="false"/>
                <w:color w:val="1A1A1A"/>
                <w:sz w:val="18"/>
                <w:szCs w:val="18"/>
              </w:rPr>
              <w:t xml:space="preserve">Eskalation: Compliance bei Auffälligkeiten zu Mittelherkunft oder Zahlungsweg</w:t>
            </w:r>
          </w:p>
        </w:tc>
      </w:tr>
    </w:tbl>
    <w:p>
      <w:pPr>
        <w:pStyle w:val="Heading4"/>
        <w:spacing w:after="80" w:before="180"/>
      </w:pPr>
      <w:r>
        <w:t xml:space="preserve">GATE 7 · Verhandlungsfreigabe  —  nach Phase 16  ·  Prüfer: Verkaufsleitung prüft, dass der Auftrag den Handlungsrahmen deckt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400"/>
        <w:gridCol w:w="4200"/>
      </w:tblGrid>
      <w:tr>
        <w:trPr>
          <w:tblHeader/>
        </w:trPr>
        <w:tc>
          <w:tcPr>
            <w:tcW w:type="dxa" w:w="5400"/>
            <w:shd w:fill="0F5C6E" w:color="auto" w:val="clear"/>
            <w:tcMar>
              <w:top w:type="dxa" w:w="70"/>
              <w:left w:type="dxa" w:w="100"/>
              <w:bottom w:type="dxa" w:w="70"/>
              <w:right w:type="dxa" w:w="100"/>
            </w:tcMar>
          </w:tcPr>
          <w:p>
            <w:pPr>
              <w:spacing w:after="0"/>
            </w:pPr>
            <w:r>
              <w:rPr>
                <w:b/>
                <w:bCs/>
                <w:color w:val="FFFFFF"/>
                <w:sz w:val="18"/>
                <w:szCs w:val="18"/>
              </w:rPr>
              <w:t xml:space="preserve">Freigabe, wenn  (Leitfrage: Welche Verhandlungskompetenz hat der Eigentümer dem Makler schriftlich erteilt?)</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STOP  ·  Nachweis  ·  Eskalation</w:t>
            </w:r>
          </w:p>
        </w:tc>
      </w:tr>
      <w:tr>
        <w:tc>
          <w:tcPr>
            <w:tcW w:type="dxa" w:w="5400"/>
            <w:shd w:fill="FFFFFF" w:color="auto" w:val="clear"/>
            <w:tcMar>
              <w:top w:type="dxa" w:w="70"/>
              <w:left w:type="dxa" w:w="100"/>
              <w:bottom w:type="dxa" w:w="70"/>
              <w:right w:type="dxa" w:w="100"/>
            </w:tcMar>
          </w:tcPr>
          <w:p>
            <w:pPr>
              <w:spacing w:after="40"/>
            </w:pPr>
            <w:r>
              <w:rPr>
                <w:b w:val="false"/>
                <w:bCs w:val="false"/>
                <w:color w:val="1A1A1A"/>
                <w:sz w:val="18"/>
                <w:szCs w:val="18"/>
              </w:rPr>
              <w:t xml:space="preserve">· Entscheidungsvorlage wurde dem Eigentümer vollständig und wertungsfrei vorgelegt.</w:t>
            </w:r>
          </w:p>
          <w:p>
            <w:pPr>
              <w:spacing w:after="40"/>
            </w:pPr>
            <w:r>
              <w:rPr>
                <w:b w:val="false"/>
                <w:bCs w:val="false"/>
                <w:color w:val="1A1A1A"/>
                <w:sz w:val="18"/>
                <w:szCs w:val="18"/>
              </w:rPr>
              <w:t xml:space="preserve">· Schriftlicher Verhandlungsauftrag liegt vor: Annahme, Gegenangebot mit Konditionen, Ablehnung oder Fristverfahren.</w:t>
            </w:r>
          </w:p>
          <w:p>
            <w:pPr>
              <w:spacing w:after="40"/>
            </w:pPr>
            <w:r>
              <w:rPr>
                <w:b w:val="false"/>
                <w:bCs w:val="false"/>
                <w:color w:val="1A1A1A"/>
                <w:sz w:val="18"/>
                <w:szCs w:val="18"/>
              </w:rPr>
              <w:t xml:space="preserve">· Zielpreis und Rückzugslinie sind vom Eigentümer bestimmt und intern klassifiziert.</w:t>
            </w:r>
          </w:p>
          <w:p>
            <w:pPr>
              <w:spacing w:after="40"/>
            </w:pPr>
            <w:r>
              <w:rPr>
                <w:b w:val="false"/>
                <w:bCs w:val="false"/>
                <w:color w:val="1A1A1A"/>
                <w:sz w:val="18"/>
                <w:szCs w:val="18"/>
              </w:rPr>
              <w:t xml:space="preserve">· Nicht verhandelbare Punkte sind benannt.</w:t>
            </w:r>
          </w:p>
          <w:p>
            <w:pPr>
              <w:spacing w:after="40"/>
            </w:pPr>
            <w:r>
              <w:rPr>
                <w:b w:val="false"/>
                <w:bCs w:val="false"/>
                <w:color w:val="1A1A1A"/>
                <w:sz w:val="18"/>
                <w:szCs w:val="18"/>
              </w:rPr>
              <w:t xml:space="preserve">· Verhandlungsmasse neben dem Preis sind bestimmt: Termin, Inventar, Sanierungsbeitrag, Modalitäten.</w:t>
            </w:r>
          </w:p>
          <w:p>
            <w:pPr>
              <w:spacing w:after="40"/>
            </w:pPr>
            <w:r>
              <w:rPr>
                <w:b w:val="false"/>
                <w:bCs w:val="false"/>
                <w:color w:val="1A1A1A"/>
                <w:sz w:val="18"/>
                <w:szCs w:val="18"/>
              </w:rPr>
              <w:t xml:space="preserve">· Befristung jeder Aussage nach aussen ist festgelegt.</w:t>
            </w:r>
          </w:p>
          <w:p>
            <w:pPr>
              <w:spacing w:after="0"/>
            </w:pPr>
            <w:r>
              <w:rPr>
                <w:b w:val="false"/>
                <w:bCs w:val="false"/>
                <w:color w:val="1A1A1A"/>
                <w:sz w:val="18"/>
                <w:szCs w:val="18"/>
              </w:rPr>
              <w:t xml:space="preserve">· Bei mehreren Angeboten: Verfahren und Frist sind festgelegt und allen Beteiligten gleich mitgeteilt.</w:t>
            </w:r>
          </w:p>
        </w:tc>
        <w:tc>
          <w:tcPr>
            <w:tcW w:type="dxa" w:w="4200"/>
            <w:shd w:fill="FFFFFF" w:color="auto" w:val="clear"/>
            <w:tcMar>
              <w:top w:type="dxa" w:w="70"/>
              <w:left w:type="dxa" w:w="100"/>
              <w:bottom w:type="dxa" w:w="70"/>
              <w:right w:type="dxa" w:w="100"/>
            </w:tcMar>
          </w:tcPr>
          <w:p>
            <w:pPr>
              <w:spacing w:after="40"/>
            </w:pPr>
            <w:r>
              <w:rPr>
                <w:b w:val="false"/>
                <w:bCs w:val="false"/>
                <w:color w:val="1A1A1A"/>
                <w:sz w:val="18"/>
                <w:szCs w:val="18"/>
              </w:rPr>
              <w:t xml:space="preserve">STOP:</w:t>
            </w:r>
          </w:p>
          <w:p>
            <w:pPr>
              <w:spacing w:after="40"/>
            </w:pPr>
            <w:r>
              <w:rPr>
                <w:b w:val="false"/>
                <w:bCs w:val="false"/>
                <w:color w:val="1A1A1A"/>
                <w:sz w:val="18"/>
                <w:szCs w:val="18"/>
              </w:rPr>
              <w:t xml:space="preserve">· Kein schriftlicher Verhandlungsauftrag – dann wird nicht verhandelt.</w:t>
            </w:r>
          </w:p>
          <w:p>
            <w:pPr>
              <w:spacing w:after="40"/>
            </w:pPr>
            <w:r>
              <w:rPr>
                <w:b w:val="false"/>
                <w:bCs w:val="false"/>
                <w:color w:val="1A1A1A"/>
                <w:sz w:val="18"/>
                <w:szCs w:val="18"/>
              </w:rPr>
              <w:t xml:space="preserve">· Verhandlungsschritt würde den erteilten Rahmen überschreiten.</w:t>
            </w:r>
          </w:p>
          <w:p>
            <w:pPr>
              <w:spacing w:after="40"/>
            </w:pPr>
            <w:r>
              <w:rPr>
                <w:b w:val="false"/>
                <w:bCs w:val="false"/>
                <w:color w:val="1A1A1A"/>
                <w:sz w:val="18"/>
                <w:szCs w:val="18"/>
              </w:rPr>
              <w:t xml:space="preserve">· Käuferseitiges Zusatzhonorar ist nicht offengelegt und genehmigt (R19).</w:t>
            </w:r>
          </w:p>
          <w:p>
            <w:pPr>
              <w:spacing w:after="40"/>
            </w:pPr>
            <w:r>
              <w:rPr>
                <w:b w:val="false"/>
                <w:bCs w:val="false"/>
                <w:color w:val="1A1A1A"/>
                <w:sz w:val="18"/>
                <w:szCs w:val="18"/>
              </w:rPr>
              <w:t xml:space="preserve"/>
            </w:r>
          </w:p>
          <w:p>
            <w:pPr>
              <w:spacing w:after="40"/>
            </w:pPr>
            <w:r>
              <w:rPr>
                <w:b w:val="false"/>
                <w:bCs w:val="false"/>
                <w:color w:val="1A1A1A"/>
                <w:sz w:val="18"/>
                <w:szCs w:val="18"/>
              </w:rPr>
              <w:t xml:space="preserve">Nachweis: Unterzeichneter Verhandlungsauftrag; Verhandlungsprotokoll nach Teil E</w:t>
            </w:r>
          </w:p>
          <w:p>
            <w:pPr>
              <w:spacing w:after="40"/>
            </w:pPr>
            <w:r>
              <w:rPr>
                <w:b w:val="false"/>
                <w:bCs w:val="false"/>
                <w:color w:val="1A1A1A"/>
                <w:sz w:val="18"/>
                <w:szCs w:val="18"/>
              </w:rPr>
              <w:t xml:space="preserve"/>
            </w:r>
          </w:p>
          <w:p>
            <w:pPr>
              <w:spacing w:after="0"/>
            </w:pPr>
            <w:r>
              <w:rPr>
                <w:b w:val="false"/>
                <w:bCs w:val="false"/>
                <w:color w:val="1A1A1A"/>
                <w:sz w:val="18"/>
                <w:szCs w:val="18"/>
              </w:rPr>
              <w:t xml:space="preserve">Eskalation: Verkaufsleitung, sobald ein Verhandlungsschritt den Rahmen überschreitet</w:t>
            </w:r>
          </w:p>
        </w:tc>
      </w:tr>
    </w:tbl>
    <w:p>
      <w:pPr>
        <w:pStyle w:val="Heading4"/>
        <w:spacing w:after="80" w:before="180"/>
      </w:pPr>
      <w:r>
        <w:t xml:space="preserve">GATE 8 · Notariatsreife  —  nach Phase 17  ·  Prüfer: Verkaufsleitung; Vollständigkeitsbestätigung durch das Notariat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400"/>
        <w:gridCol w:w="4200"/>
      </w:tblGrid>
      <w:tr>
        <w:trPr>
          <w:tblHeader/>
        </w:trPr>
        <w:tc>
          <w:tcPr>
            <w:tcW w:type="dxa" w:w="5400"/>
            <w:shd w:fill="0F5C6E" w:color="auto" w:val="clear"/>
            <w:tcMar>
              <w:top w:type="dxa" w:w="70"/>
              <w:left w:type="dxa" w:w="100"/>
              <w:bottom w:type="dxa" w:w="70"/>
              <w:right w:type="dxa" w:w="100"/>
            </w:tcMar>
          </w:tcPr>
          <w:p>
            <w:pPr>
              <w:spacing w:after="0"/>
            </w:pPr>
            <w:r>
              <w:rPr>
                <w:b/>
                <w:bCs/>
                <w:color w:val="FFFFFF"/>
                <w:sz w:val="18"/>
                <w:szCs w:val="18"/>
              </w:rPr>
              <w:t xml:space="preserve">Freigabe, wenn  (Leitfrage: Kann das Notariat auf dieser Grundlage einen Vertrag aufsetzen, ohne nachzufragen?)</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STOP  ·  Nachweis  ·  Eskalation</w:t>
            </w:r>
          </w:p>
        </w:tc>
      </w:tr>
      <w:tr>
        <w:tc>
          <w:tcPr>
            <w:tcW w:type="dxa" w:w="5400"/>
            <w:shd w:fill="FFFFFF" w:color="auto" w:val="clear"/>
            <w:tcMar>
              <w:top w:type="dxa" w:w="70"/>
              <w:left w:type="dxa" w:w="100"/>
              <w:bottom w:type="dxa" w:w="70"/>
              <w:right w:type="dxa" w:w="100"/>
            </w:tcMar>
          </w:tcPr>
          <w:p>
            <w:pPr>
              <w:spacing w:after="40"/>
            </w:pPr>
            <w:r>
              <w:rPr>
                <w:b w:val="false"/>
                <w:bCs w:val="false"/>
                <w:color w:val="1A1A1A"/>
                <w:sz w:val="18"/>
                <w:szCs w:val="18"/>
              </w:rPr>
              <w:t xml:space="preserve">· Einigung ist schriftlich festgehalten: Preis, Inventar, Termin, Nutzen- und Gefahrenübergang, Bedingungen.</w:t>
            </w:r>
          </w:p>
          <w:p>
            <w:pPr>
              <w:spacing w:after="40"/>
            </w:pPr>
            <w:r>
              <w:rPr>
                <w:b w:val="false"/>
                <w:bCs w:val="false"/>
                <w:color w:val="1A1A1A"/>
                <w:sz w:val="18"/>
                <w:szCs w:val="18"/>
              </w:rPr>
              <w:t xml:space="preserve">· Reservationsbestätigung entspricht der freigegebenen Fassung: keine Kaufverpflichtung, keine Konventionalstrafe, …</w:t>
            </w:r>
          </w:p>
          <w:p>
            <w:pPr>
              <w:spacing w:after="40"/>
            </w:pPr>
            <w:r>
              <w:rPr>
                <w:b w:val="false"/>
                <w:bCs w:val="false"/>
                <w:color w:val="1A1A1A"/>
                <w:sz w:val="18"/>
                <w:szCs w:val="18"/>
              </w:rPr>
              <w:t xml:space="preserve">· Notariatscheckliste ist vollständig übermittelt; das Notariat hat die Vollständigkeit bestätigt.</w:t>
            </w:r>
          </w:p>
          <w:p>
            <w:pPr>
              <w:spacing w:after="40"/>
            </w:pPr>
            <w:r>
              <w:rPr>
                <w:b w:val="false"/>
                <w:bCs w:val="false"/>
                <w:color w:val="1A1A1A"/>
                <w:sz w:val="18"/>
                <w:szCs w:val="18"/>
              </w:rPr>
              <w:t xml:space="preserve">· Art, Anzahl, Nominalbetrag, Rang und Inhaber der Schuldbriefe sind geklärt</w:t>
            </w:r>
          </w:p>
          <w:p>
            <w:pPr>
              <w:spacing w:after="40"/>
            </w:pPr>
            <w:r>
              <w:rPr>
                <w:b w:val="false"/>
                <w:bCs w:val="false"/>
                <w:color w:val="1A1A1A"/>
                <w:sz w:val="18"/>
                <w:szCs w:val="18"/>
              </w:rPr>
              <w:t xml:space="preserve">· Provisorische Berechnung der Grundstückgewinnsteuer liegt vor</w:t>
            </w:r>
          </w:p>
          <w:p>
            <w:pPr>
              <w:spacing w:after="40"/>
            </w:pPr>
            <w:r>
              <w:rPr>
                <w:b w:val="false"/>
                <w:bCs w:val="false"/>
                <w:color w:val="1A1A1A"/>
                <w:sz w:val="18"/>
                <w:szCs w:val="18"/>
              </w:rPr>
              <w:t xml:space="preserve">· Mängelliste ist der Käuferschaft übergeben und der Übergabezeitpunkt ist dokumentiert (R10).</w:t>
            </w:r>
          </w:p>
          <w:p>
            <w:pPr>
              <w:spacing w:after="40"/>
            </w:pPr>
            <w:r>
              <w:rPr>
                <w:b w:val="false"/>
                <w:bCs w:val="false"/>
                <w:color w:val="1A1A1A"/>
                <w:sz w:val="18"/>
                <w:szCs w:val="18"/>
              </w:rPr>
              <w:t xml:space="preserve">· Identifikation der Käuferschaft nach dem Triage-Ergebnis ist abgeschlossen (R37).</w:t>
            </w:r>
          </w:p>
          <w:p>
            <w:pPr>
              <w:spacing w:after="40"/>
            </w:pPr>
            <w:r>
              <w:rPr>
                <w:b w:val="false"/>
                <w:bCs w:val="false"/>
                <w:color w:val="1A1A1A"/>
                <w:sz w:val="18"/>
                <w:szCs w:val="18"/>
              </w:rPr>
              <w:t xml:space="preserve">· Allfällige Bewilligungen sind eingeleitet und der Verfahrensstand ist bekannt (R34, R36).</w:t>
            </w:r>
          </w:p>
          <w:p>
            <w:pPr>
              <w:spacing w:after="0"/>
            </w:pPr>
            <w:r>
              <w:rPr>
                <w:b w:val="false"/>
                <w:bCs w:val="false"/>
                <w:color w:val="1A1A1A"/>
                <w:sz w:val="18"/>
                <w:szCs w:val="18"/>
              </w:rPr>
              <w:t xml:space="preserve">· Vermarktung ist geordnet zurückgestellt; Zweitinteressenten sind transparent in Wartestellung.</w:t>
            </w:r>
          </w:p>
        </w:tc>
        <w:tc>
          <w:tcPr>
            <w:tcW w:type="dxa" w:w="4200"/>
            <w:shd w:fill="FFFFFF" w:color="auto" w:val="clear"/>
            <w:tcMar>
              <w:top w:type="dxa" w:w="70"/>
              <w:left w:type="dxa" w:w="100"/>
              <w:bottom w:type="dxa" w:w="70"/>
              <w:right w:type="dxa" w:w="100"/>
            </w:tcMar>
          </w:tcPr>
          <w:p>
            <w:pPr>
              <w:spacing w:after="40"/>
            </w:pPr>
            <w:r>
              <w:rPr>
                <w:b w:val="false"/>
                <w:bCs w:val="false"/>
                <w:color w:val="1A1A1A"/>
                <w:sz w:val="18"/>
                <w:szCs w:val="18"/>
              </w:rPr>
              <w:t xml:space="preserve">STOP:</w:t>
            </w:r>
          </w:p>
          <w:p>
            <w:pPr>
              <w:spacing w:after="40"/>
            </w:pPr>
            <w:r>
              <w:rPr>
                <w:b w:val="false"/>
                <w:bCs w:val="false"/>
                <w:color w:val="1A1A1A"/>
                <w:sz w:val="18"/>
                <w:szCs w:val="18"/>
              </w:rPr>
              <w:t xml:space="preserve">· Notariat meldet fehlende Unterlagen.</w:t>
            </w:r>
          </w:p>
          <w:p>
            <w:pPr>
              <w:spacing w:after="40"/>
            </w:pPr>
            <w:r>
              <w:rPr>
                <w:b w:val="false"/>
                <w:bCs w:val="false"/>
                <w:color w:val="1A1A1A"/>
                <w:sz w:val="18"/>
                <w:szCs w:val="18"/>
              </w:rPr>
              <w:t xml:space="preserve">· Steuersicherstellung ist nicht geregelt.</w:t>
            </w:r>
          </w:p>
          <w:p>
            <w:pPr>
              <w:spacing w:after="40"/>
            </w:pPr>
            <w:r>
              <w:rPr>
                <w:b w:val="false"/>
                <w:bCs w:val="false"/>
                <w:color w:val="1A1A1A"/>
                <w:sz w:val="18"/>
                <w:szCs w:val="18"/>
              </w:rPr>
              <w:t xml:space="preserve">· Reservationsvorlage wurde um bindende Elemente ergänzt.</w:t>
            </w:r>
          </w:p>
          <w:p>
            <w:pPr>
              <w:spacing w:after="40"/>
            </w:pPr>
            <w:r>
              <w:rPr>
                <w:b w:val="false"/>
                <w:bCs w:val="false"/>
                <w:color w:val="1A1A1A"/>
                <w:sz w:val="18"/>
                <w:szCs w:val="18"/>
              </w:rPr>
              <w:t xml:space="preserve">· Bewilligungspflicht besteht und das Verfahren ist nicht eingeleitet.</w:t>
            </w:r>
          </w:p>
          <w:p>
            <w:pPr>
              <w:spacing w:after="40"/>
            </w:pPr>
            <w:r>
              <w:rPr>
                <w:b w:val="false"/>
                <w:bCs w:val="false"/>
                <w:color w:val="1A1A1A"/>
                <w:sz w:val="18"/>
                <w:szCs w:val="18"/>
              </w:rPr>
              <w:t xml:space="preserve"/>
            </w:r>
          </w:p>
          <w:p>
            <w:pPr>
              <w:spacing w:after="40"/>
            </w:pPr>
            <w:r>
              <w:rPr>
                <w:b w:val="false"/>
                <w:bCs w:val="false"/>
                <w:color w:val="1A1A1A"/>
                <w:sz w:val="18"/>
                <w:szCs w:val="18"/>
              </w:rPr>
              <w:t xml:space="preserve">Nachweis: Abgearbeitete Notariatscheckliste mit Bestätigung des Notariats</w:t>
            </w:r>
          </w:p>
          <w:p>
            <w:pPr>
              <w:spacing w:after="40"/>
            </w:pPr>
            <w:r>
              <w:rPr>
                <w:b w:val="false"/>
                <w:bCs w:val="false"/>
                <w:color w:val="1A1A1A"/>
                <w:sz w:val="18"/>
                <w:szCs w:val="18"/>
              </w:rPr>
              <w:t xml:space="preserve"/>
            </w:r>
          </w:p>
          <w:p>
            <w:pPr>
              <w:spacing w:after="0"/>
            </w:pPr>
            <w:r>
              <w:rPr>
                <w:b w:val="false"/>
                <w:bCs w:val="false"/>
                <w:color w:val="1A1A1A"/>
                <w:sz w:val="18"/>
                <w:szCs w:val="18"/>
              </w:rPr>
              <w:t xml:space="preserve">Eskalation: Rechtsberatung bei jeder Abweichung der Reservationsvorlage. Notariat bei kantonalen Formfragen.</w:t>
            </w:r>
          </w:p>
        </w:tc>
      </w:tr>
    </w:tbl>
    <w:p>
      <w:pPr>
        <w:pStyle w:val="Heading4"/>
        <w:spacing w:after="80" w:before="180"/>
      </w:pPr>
      <w:r>
        <w:t xml:space="preserve">GATE 9 · Vertragsreife  —  nach Phase 18  ·  Prüfer: Makler prüft gegen die Einigung; Verkaufsleitung im Vier-Augen-Prinzip; Rechtsberatung bei Sonderfällen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400"/>
        <w:gridCol w:w="4200"/>
      </w:tblGrid>
      <w:tr>
        <w:trPr>
          <w:tblHeader/>
        </w:trPr>
        <w:tc>
          <w:tcPr>
            <w:tcW w:type="dxa" w:w="5400"/>
            <w:shd w:fill="0F5C6E" w:color="auto" w:val="clear"/>
            <w:tcMar>
              <w:top w:type="dxa" w:w="70"/>
              <w:left w:type="dxa" w:w="100"/>
              <w:bottom w:type="dxa" w:w="70"/>
              <w:right w:type="dxa" w:w="100"/>
            </w:tcMar>
          </w:tcPr>
          <w:p>
            <w:pPr>
              <w:spacing w:after="0"/>
            </w:pPr>
            <w:r>
              <w:rPr>
                <w:b/>
                <w:bCs/>
                <w:color w:val="FFFFFF"/>
                <w:sz w:val="18"/>
                <w:szCs w:val="18"/>
              </w:rPr>
              <w:t xml:space="preserve">Freigabe, wenn  (Leitfrage: Bildet der Vertragsentwurf die Einigung vollständig ab und sind alle offenen Punkte geklärt?)</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STOP  ·  Nachweis  ·  Eskalation</w:t>
            </w:r>
          </w:p>
        </w:tc>
      </w:tr>
      <w:tr>
        <w:tc>
          <w:tcPr>
            <w:tcW w:type="dxa" w:w="5400"/>
            <w:shd w:fill="FFFFFF" w:color="auto" w:val="clear"/>
            <w:tcMar>
              <w:top w:type="dxa" w:w="70"/>
              <w:left w:type="dxa" w:w="100"/>
              <w:bottom w:type="dxa" w:w="70"/>
              <w:right w:type="dxa" w:w="100"/>
            </w:tcMar>
          </w:tcPr>
          <w:p>
            <w:pPr>
              <w:spacing w:after="40"/>
            </w:pPr>
            <w:r>
              <w:rPr>
                <w:b w:val="false"/>
                <w:bCs w:val="false"/>
                <w:color w:val="1A1A1A"/>
                <w:sz w:val="18"/>
                <w:szCs w:val="18"/>
              </w:rPr>
              <w:t xml:space="preserve">· Entwurf ist gegen die Einigung und gegen die Unterlagen geprüft</w:t>
            </w:r>
          </w:p>
          <w:p>
            <w:pPr>
              <w:spacing w:after="40"/>
            </w:pPr>
            <w:r>
              <w:rPr>
                <w:b w:val="false"/>
                <w:bCs w:val="false"/>
                <w:color w:val="1A1A1A"/>
                <w:sz w:val="18"/>
                <w:szCs w:val="18"/>
              </w:rPr>
              <w:t xml:space="preserve">· Parzellennummer, Grundbuchblatt und Fläche stimmen mit dem Auszug überein (R4, R12).</w:t>
            </w:r>
          </w:p>
          <w:p>
            <w:pPr>
              <w:spacing w:after="40"/>
            </w:pPr>
            <w:r>
              <w:rPr>
                <w:b w:val="false"/>
                <w:bCs w:val="false"/>
                <w:color w:val="1A1A1A"/>
                <w:sz w:val="18"/>
                <w:szCs w:val="18"/>
              </w:rPr>
              <w:t xml:space="preserve">· Nutzen- und Gefahrenübergang, Übergabetermin und Eigentumsübergang sind eindeutig und voneinander unterschieden (R3)</w:t>
            </w:r>
          </w:p>
          <w:p>
            <w:pPr>
              <w:spacing w:after="40"/>
            </w:pPr>
            <w:r>
              <w:rPr>
                <w:b w:val="false"/>
                <w:bCs w:val="false"/>
                <w:color w:val="1A1A1A"/>
                <w:sz w:val="18"/>
                <w:szCs w:val="18"/>
              </w:rPr>
              <w:t xml:space="preserve">· Zahlungsabwicklung ist eindeutig: Beträge, Termine, Konten, Bedingungen der Grundbuchanmeldung, Verzugsfolgen.</w:t>
            </w:r>
          </w:p>
          <w:p>
            <w:pPr>
              <w:spacing w:after="40"/>
            </w:pPr>
            <w:r>
              <w:rPr>
                <w:b w:val="false"/>
                <w:bCs w:val="false"/>
                <w:color w:val="1A1A1A"/>
                <w:sz w:val="18"/>
                <w:szCs w:val="18"/>
              </w:rPr>
              <w:t xml:space="preserve">· Mängelliste und Inventarliste sind Vertragsbestandteil (R10).</w:t>
            </w:r>
          </w:p>
          <w:p>
            <w:pPr>
              <w:spacing w:after="40"/>
            </w:pPr>
            <w:r>
              <w:rPr>
                <w:b w:val="false"/>
                <w:bCs w:val="false"/>
                <w:color w:val="1A1A1A"/>
                <w:sz w:val="18"/>
                <w:szCs w:val="18"/>
              </w:rPr>
              <w:t xml:space="preserve">· Dienstbarkeiten, Grundlasten und Anmerkungen sind vollständig übernommen (R5).</w:t>
            </w:r>
          </w:p>
          <w:p>
            <w:pPr>
              <w:spacing w:after="40"/>
            </w:pPr>
            <w:r>
              <w:rPr>
                <w:b w:val="false"/>
                <w:bCs w:val="false"/>
                <w:color w:val="1A1A1A"/>
                <w:sz w:val="18"/>
                <w:szCs w:val="18"/>
              </w:rPr>
              <w:t xml:space="preserve">· Mietverhältnisse und ihr Übergang sind geregelt (R8).</w:t>
            </w:r>
          </w:p>
          <w:p>
            <w:pPr>
              <w:spacing w:after="40"/>
            </w:pPr>
            <w:r>
              <w:rPr>
                <w:b w:val="false"/>
                <w:bCs w:val="false"/>
                <w:color w:val="1A1A1A"/>
                <w:sz w:val="18"/>
                <w:szCs w:val="18"/>
              </w:rPr>
              <w:t xml:space="preserve">· Sicherstellung der Grundstückgewinnsteuer ist im Vertrag geregelt (R25).</w:t>
            </w:r>
          </w:p>
          <w:p>
            <w:pPr>
              <w:spacing w:after="40"/>
            </w:pPr>
            <w:r>
              <w:rPr>
                <w:b w:val="false"/>
                <w:bCs w:val="false"/>
                <w:color w:val="1A1A1A"/>
                <w:sz w:val="18"/>
                <w:szCs w:val="18"/>
              </w:rPr>
              <w:t xml:space="preserve">· Erforderliche Zustimmungen und Bewilligungen liegen vor oder sind als Bedingung aufgenommen.</w:t>
            </w:r>
          </w:p>
          <w:p>
            <w:pPr>
              <w:spacing w:after="0"/>
            </w:pPr>
            <w:r>
              <w:rPr>
                <w:b w:val="false"/>
                <w:bCs w:val="false"/>
                <w:color w:val="1A1A1A"/>
                <w:sz w:val="18"/>
                <w:szCs w:val="18"/>
              </w:rPr>
              <w:t xml:space="preserve">· Entwurf ist beiden Parteien mit ausreichender Prüffrist zugestellt; beide bestätigen die Kenntnisnahme.</w:t>
            </w:r>
          </w:p>
        </w:tc>
        <w:tc>
          <w:tcPr>
            <w:tcW w:type="dxa" w:w="4200"/>
            <w:shd w:fill="FFFFFF" w:color="auto" w:val="clear"/>
            <w:tcMar>
              <w:top w:type="dxa" w:w="70"/>
              <w:left w:type="dxa" w:w="100"/>
              <w:bottom w:type="dxa" w:w="70"/>
              <w:right w:type="dxa" w:w="100"/>
            </w:tcMar>
          </w:tcPr>
          <w:p>
            <w:pPr>
              <w:spacing w:after="40"/>
            </w:pPr>
            <w:r>
              <w:rPr>
                <w:b w:val="false"/>
                <w:bCs w:val="false"/>
                <w:color w:val="1A1A1A"/>
                <w:sz w:val="18"/>
                <w:szCs w:val="18"/>
              </w:rPr>
              <w:t xml:space="preserve">STOP:</w:t>
            </w:r>
          </w:p>
          <w:p>
            <w:pPr>
              <w:spacing w:after="40"/>
            </w:pPr>
            <w:r>
              <w:rPr>
                <w:b w:val="false"/>
                <w:bCs w:val="false"/>
                <w:color w:val="1A1A1A"/>
                <w:sz w:val="18"/>
                <w:szCs w:val="18"/>
              </w:rPr>
              <w:t xml:space="preserve">· Eine gemeldete Abweichung ist nicht erledigt.</w:t>
            </w:r>
          </w:p>
          <w:p>
            <w:pPr>
              <w:spacing w:after="40"/>
            </w:pPr>
            <w:r>
              <w:rPr>
                <w:b w:val="false"/>
                <w:bCs w:val="false"/>
                <w:color w:val="1A1A1A"/>
                <w:sz w:val="18"/>
                <w:szCs w:val="18"/>
              </w:rPr>
              <w:t xml:space="preserve">· Mängelliste ist nicht Vertragsbestandteil.</w:t>
            </w:r>
          </w:p>
          <w:p>
            <w:pPr>
              <w:spacing w:after="40"/>
            </w:pPr>
            <w:r>
              <w:rPr>
                <w:b w:val="false"/>
                <w:bCs w:val="false"/>
                <w:color w:val="1A1A1A"/>
                <w:sz w:val="18"/>
                <w:szCs w:val="18"/>
              </w:rPr>
              <w:t xml:space="preserve">· Zahlungsabwicklung oder Steuersicherstellung sind nicht eindeutig geregelt.</w:t>
            </w:r>
          </w:p>
          <w:p>
            <w:pPr>
              <w:spacing w:after="40"/>
            </w:pPr>
            <w:r>
              <w:rPr>
                <w:b w:val="false"/>
                <w:bCs w:val="false"/>
                <w:color w:val="1A1A1A"/>
                <w:sz w:val="18"/>
                <w:szCs w:val="18"/>
              </w:rPr>
              <w:t xml:space="preserve"/>
            </w:r>
          </w:p>
          <w:p>
            <w:pPr>
              <w:spacing w:after="40"/>
            </w:pPr>
            <w:r>
              <w:rPr>
                <w:b w:val="false"/>
                <w:bCs w:val="false"/>
                <w:color w:val="1A1A1A"/>
                <w:sz w:val="18"/>
                <w:szCs w:val="18"/>
              </w:rPr>
              <w:t xml:space="preserve">Nachweis: Prüfvermerk zum Entwurf mit Liste der gemeldeten Punkte und deren Erledigung</w:t>
            </w:r>
          </w:p>
          <w:p>
            <w:pPr>
              <w:spacing w:after="40"/>
            </w:pPr>
            <w:r>
              <w:rPr>
                <w:b w:val="false"/>
                <w:bCs w:val="false"/>
                <w:color w:val="1A1A1A"/>
                <w:sz w:val="18"/>
                <w:szCs w:val="18"/>
              </w:rPr>
              <w:t xml:space="preserve"/>
            </w:r>
          </w:p>
          <w:p>
            <w:pPr>
              <w:spacing w:after="0"/>
            </w:pPr>
            <w:r>
              <w:rPr>
                <w:b w:val="false"/>
                <w:bCs w:val="false"/>
                <w:color w:val="1A1A1A"/>
                <w:sz w:val="18"/>
                <w:szCs w:val="18"/>
              </w:rPr>
              <w:t xml:space="preserve">Eskalation: Rechtsberatung bei Freizeichnung, Bedingungen, Inventarbewertung und bei jeder Abweichung, die das Notariat nicht übernimmt.</w:t>
            </w:r>
          </w:p>
        </w:tc>
      </w:tr>
    </w:tbl>
    <w:p>
      <w:pPr>
        <w:pStyle w:val="Heading4"/>
        <w:spacing w:after="80" w:before="180"/>
      </w:pPr>
      <w:r>
        <w:t xml:space="preserve">GATE 10 · Übergabereife  —  nach Phase 19  ·  Prüfer: Makler; Verkaufsleitung prüft Zahlungs- und Eintragungsnachweis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400"/>
        <w:gridCol w:w="4200"/>
      </w:tblGrid>
      <w:tr>
        <w:trPr>
          <w:tblHeader/>
        </w:trPr>
        <w:tc>
          <w:tcPr>
            <w:tcW w:type="dxa" w:w="5400"/>
            <w:shd w:fill="0F5C6E" w:color="auto" w:val="clear"/>
            <w:tcMar>
              <w:top w:type="dxa" w:w="70"/>
              <w:left w:type="dxa" w:w="100"/>
              <w:bottom w:type="dxa" w:w="70"/>
              <w:right w:type="dxa" w:w="100"/>
            </w:tcMar>
          </w:tcPr>
          <w:p>
            <w:pPr>
              <w:spacing w:after="0"/>
            </w:pPr>
            <w:r>
              <w:rPr>
                <w:b/>
                <w:bCs/>
                <w:color w:val="FFFFFF"/>
                <w:sz w:val="18"/>
                <w:szCs w:val="18"/>
              </w:rPr>
              <w:t xml:space="preserve">Freigabe, wenn  (Leitfrage: Sind Zahlung, Eigentumsübertragung und Übergabe so weit, dass übergeben werden darf?)</w:t>
            </w:r>
          </w:p>
        </w:tc>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STOP  ·  Nachweis  ·  Eskalation</w:t>
            </w:r>
          </w:p>
        </w:tc>
      </w:tr>
      <w:tr>
        <w:tc>
          <w:tcPr>
            <w:tcW w:type="dxa" w:w="5400"/>
            <w:shd w:fill="FFFFFF" w:color="auto" w:val="clear"/>
            <w:tcMar>
              <w:top w:type="dxa" w:w="70"/>
              <w:left w:type="dxa" w:w="100"/>
              <w:bottom w:type="dxa" w:w="70"/>
              <w:right w:type="dxa" w:w="100"/>
            </w:tcMar>
          </w:tcPr>
          <w:p>
            <w:pPr>
              <w:spacing w:after="40"/>
            </w:pPr>
            <w:r>
              <w:rPr>
                <w:b w:val="false"/>
                <w:bCs w:val="false"/>
                <w:color w:val="1A1A1A"/>
                <w:sz w:val="18"/>
                <w:szCs w:val="18"/>
              </w:rPr>
              <w:t xml:space="preserve">· Kaufpreis ist vollständig und vertragsgemäss eingegangen; Bestätigung des Notariats liegt vor.</w:t>
            </w:r>
          </w:p>
          <w:p>
            <w:pPr>
              <w:spacing w:after="40"/>
            </w:pPr>
            <w:r>
              <w:rPr>
                <w:b w:val="false"/>
                <w:bCs w:val="false"/>
                <w:color w:val="1A1A1A"/>
                <w:sz w:val="18"/>
                <w:szCs w:val="18"/>
              </w:rPr>
              <w:t xml:space="preserve">· Eigentumsübergang ist im Grundbuch eingetragen; die Eintragungsbestätigung liegt vor (R3).</w:t>
            </w:r>
          </w:p>
          <w:p>
            <w:pPr>
              <w:spacing w:after="40"/>
            </w:pPr>
            <w:r>
              <w:rPr>
                <w:b w:val="false"/>
                <w:bCs w:val="false"/>
                <w:color w:val="1A1A1A"/>
                <w:sz w:val="18"/>
                <w:szCs w:val="18"/>
              </w:rPr>
              <w:t xml:space="preserve">· Grundpfandrechte sind vereinbarungsgemäss gelöscht, übertragen oder neu errichtet.</w:t>
            </w:r>
          </w:p>
          <w:p>
            <w:pPr>
              <w:spacing w:after="40"/>
            </w:pPr>
            <w:r>
              <w:rPr>
                <w:b w:val="false"/>
                <w:bCs w:val="false"/>
                <w:color w:val="1A1A1A"/>
                <w:sz w:val="18"/>
                <w:szCs w:val="18"/>
              </w:rPr>
              <w:t xml:space="preserve">· Grundstückgewinnsteuer ist sichergestellt oder bezahlt; Bestätigung liegt vor (R25).</w:t>
            </w:r>
          </w:p>
          <w:p>
            <w:pPr>
              <w:spacing w:after="40"/>
            </w:pPr>
            <w:r>
              <w:rPr>
                <w:b w:val="false"/>
                <w:bCs w:val="false"/>
                <w:color w:val="1A1A1A"/>
                <w:sz w:val="18"/>
                <w:szCs w:val="18"/>
              </w:rPr>
              <w:t xml:space="preserve">· Versorger und Versicherungen sind auf den Übergabetermin umgestellt</w:t>
            </w:r>
          </w:p>
          <w:p>
            <w:pPr>
              <w:spacing w:after="40"/>
            </w:pPr>
            <w:r>
              <w:rPr>
                <w:b w:val="false"/>
                <w:bCs w:val="false"/>
                <w:color w:val="1A1A1A"/>
                <w:sz w:val="18"/>
                <w:szCs w:val="18"/>
              </w:rPr>
              <w:t xml:space="preserve">· Übergabeprotokoll ist vorbereitet; Schlüssel-, Zähler- und Dokumentenliste sind erstellt.</w:t>
            </w:r>
          </w:p>
          <w:p>
            <w:pPr>
              <w:spacing w:after="40"/>
            </w:pPr>
            <w:r>
              <w:rPr>
                <w:b w:val="false"/>
                <w:bCs w:val="false"/>
                <w:color w:val="1A1A1A"/>
                <w:sz w:val="18"/>
                <w:szCs w:val="18"/>
              </w:rPr>
              <w:t xml:space="preserve">· Liegenschaft ist geräumt und gereinigt; mitverkauftes Inventar ist vorhanden und entspricht der Vertragsbeilage.</w:t>
            </w:r>
          </w:p>
          <w:p>
            <w:pPr>
              <w:spacing w:after="0"/>
            </w:pPr>
            <w:r>
              <w:rPr>
                <w:b w:val="false"/>
                <w:bCs w:val="false"/>
                <w:color w:val="1A1A1A"/>
                <w:sz w:val="18"/>
                <w:szCs w:val="18"/>
              </w:rPr>
              <w:t xml:space="preserve">· Beide Parteien sind über Ablauf, Zeitbedarf und mitzubringende Unterlagen informiert.</w:t>
            </w:r>
          </w:p>
        </w:tc>
        <w:tc>
          <w:tcPr>
            <w:tcW w:type="dxa" w:w="4200"/>
            <w:shd w:fill="FFFFFF" w:color="auto" w:val="clear"/>
            <w:tcMar>
              <w:top w:type="dxa" w:w="70"/>
              <w:left w:type="dxa" w:w="100"/>
              <w:bottom w:type="dxa" w:w="70"/>
              <w:right w:type="dxa" w:w="100"/>
            </w:tcMar>
          </w:tcPr>
          <w:p>
            <w:pPr>
              <w:spacing w:after="40"/>
            </w:pPr>
            <w:r>
              <w:rPr>
                <w:b w:val="false"/>
                <w:bCs w:val="false"/>
                <w:color w:val="1A1A1A"/>
                <w:sz w:val="18"/>
                <w:szCs w:val="18"/>
              </w:rPr>
              <w:t xml:space="preserve">STOP:</w:t>
            </w:r>
          </w:p>
          <w:p>
            <w:pPr>
              <w:spacing w:after="40"/>
            </w:pPr>
            <w:r>
              <w:rPr>
                <w:b w:val="false"/>
                <w:bCs w:val="false"/>
                <w:color w:val="1A1A1A"/>
                <w:sz w:val="18"/>
                <w:szCs w:val="18"/>
              </w:rPr>
              <w:t xml:space="preserve">· Eintragung im Grundbuch ist nicht bestätigt – dann wird nicht übergeben.</w:t>
            </w:r>
          </w:p>
          <w:p>
            <w:pPr>
              <w:spacing w:after="40"/>
            </w:pPr>
            <w:r>
              <w:rPr>
                <w:b w:val="false"/>
                <w:bCs w:val="false"/>
                <w:color w:val="1A1A1A"/>
                <w:sz w:val="18"/>
                <w:szCs w:val="18"/>
              </w:rPr>
              <w:t xml:space="preserve">· Kaufpreis ist nicht vollständig eingegangen.</w:t>
            </w:r>
          </w:p>
          <w:p>
            <w:pPr>
              <w:spacing w:after="40"/>
            </w:pPr>
            <w:r>
              <w:rPr>
                <w:b w:val="false"/>
                <w:bCs w:val="false"/>
                <w:color w:val="1A1A1A"/>
                <w:sz w:val="18"/>
                <w:szCs w:val="18"/>
              </w:rPr>
              <w:t xml:space="preserve">· Steuersicherstellung ist nicht bestätigt.</w:t>
            </w:r>
          </w:p>
          <w:p>
            <w:pPr>
              <w:spacing w:after="40"/>
            </w:pPr>
            <w:r>
              <w:rPr>
                <w:b w:val="false"/>
                <w:bCs w:val="false"/>
                <w:color w:val="1A1A1A"/>
                <w:sz w:val="18"/>
                <w:szCs w:val="18"/>
              </w:rPr>
              <w:t xml:space="preserve"/>
            </w:r>
          </w:p>
          <w:p>
            <w:pPr>
              <w:spacing w:after="40"/>
            </w:pPr>
            <w:r>
              <w:rPr>
                <w:b w:val="false"/>
                <w:bCs w:val="false"/>
                <w:color w:val="1A1A1A"/>
                <w:sz w:val="18"/>
                <w:szCs w:val="18"/>
              </w:rPr>
              <w:t xml:space="preserve">Nachweis: Zahlungsbestätigung, Eintragungsbestätigung, vorbereitetes Übergabeprotokoll</w:t>
            </w:r>
          </w:p>
          <w:p>
            <w:pPr>
              <w:spacing w:after="40"/>
            </w:pPr>
            <w:r>
              <w:rPr>
                <w:b w:val="false"/>
                <w:bCs w:val="false"/>
                <w:color w:val="1A1A1A"/>
                <w:sz w:val="18"/>
                <w:szCs w:val="18"/>
              </w:rPr>
              <w:t xml:space="preserve"/>
            </w:r>
          </w:p>
          <w:p>
            <w:pPr>
              <w:spacing w:after="0"/>
            </w:pPr>
            <w:r>
              <w:rPr>
                <w:b w:val="false"/>
                <w:bCs w:val="false"/>
                <w:color w:val="1A1A1A"/>
                <w:sz w:val="18"/>
                <w:szCs w:val="18"/>
              </w:rPr>
              <w:t xml:space="preserve">Eskalation: Notariat bei Verzug in Zahlung oder Anmeldung. Verkaufsleitung, wenn eine Partei auf Übergabe vor Eintragung drängt.</w:t>
            </w:r>
          </w:p>
        </w:tc>
      </w:tr>
    </w:tbl>
    <w:p>
      <w:pPr>
        <w:pStyle w:val="Heading1"/>
        <w:pageBreakBefore/>
        <w:spacing w:after="180" w:before="0"/>
      </w:pPr>
      <w:r>
        <w:t xml:space="preserve">3 · Wer entscheidet was</w:t>
      </w:r>
    </w:p>
    <w:p>
      <w:pPr>
        <w:spacing w:after="120" w:before="0"/>
      </w:pPr>
      <w:r>
        <w:rPr>
          <w:color w:val="1A1A1A"/>
          <w:sz w:val="20"/>
          <w:szCs w:val="20"/>
        </w:rPr>
        <w:t xml:space="preserve">Der Makler entscheidet nicht über den Verkauf. Er liefert vollständige, vergleichbare und wertungsfreie Entscheidungsgrundlagen und setzt den schriftlichen Entscheid um. Das gilt für Angebotspreis, Preisänderung, Angebotsannahme und jeden Verhandlungsschritt.</w:t>
      </w:r>
    </w:p>
    <w:p>
      <w:pPr>
        <w:spacing w:after="0"/>
      </w:pPr>
      <w:r>
        <w:t xml:space="preserve"/>
      </w:r>
    </w:p>
    <w:p>
      <w:pPr>
        <w:pStyle w:val="Heading2"/>
        <w:spacing w:after="120" w:before="280"/>
      </w:pPr>
      <w:r>
        <w:t xml:space="preserve">3.1 Entscheidungen im Prozess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00"/>
        <w:gridCol w:w="1700"/>
        <w:gridCol w:w="4600"/>
        <w:gridCol w:w="2900"/>
      </w:tblGrid>
      <w:tr>
        <w:trPr>
          <w:tblHeader/>
        </w:trPr>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Phase</w:t>
            </w:r>
          </w:p>
        </w:tc>
        <w:tc>
          <w:tcPr>
            <w:tcW w:type="dxa" w:w="4600"/>
            <w:shd w:fill="0F5C6E" w:color="auto" w:val="clear"/>
            <w:tcMar>
              <w:top w:type="dxa" w:w="70"/>
              <w:left w:type="dxa" w:w="100"/>
              <w:bottom w:type="dxa" w:w="70"/>
              <w:right w:type="dxa" w:w="100"/>
            </w:tcMar>
          </w:tcPr>
          <w:p>
            <w:pPr>
              <w:spacing w:after="0"/>
            </w:pPr>
            <w:r>
              <w:rPr>
                <w:b/>
                <w:bCs/>
                <w:color w:val="FFFFFF"/>
                <w:sz w:val="18"/>
                <w:szCs w:val="18"/>
              </w:rPr>
              <w:t xml:space="preserve">Entscheidung(en) in dieser Phase</w:t>
            </w:r>
          </w:p>
        </w:tc>
        <w:tc>
          <w:tcPr>
            <w:tcW w:type="dxa" w:w="2900"/>
            <w:shd w:fill="0F5C6E" w:color="auto" w:val="clear"/>
            <w:tcMar>
              <w:top w:type="dxa" w:w="70"/>
              <w:left w:type="dxa" w:w="100"/>
              <w:bottom w:type="dxa" w:w="70"/>
              <w:right w:type="dxa" w:w="100"/>
            </w:tcMar>
          </w:tcPr>
          <w:p>
            <w:pPr>
              <w:spacing w:after="0"/>
            </w:pPr>
            <w:r>
              <w:rPr>
                <w:b/>
                <w:bCs/>
                <w:color w:val="FFFFFF"/>
                <w:sz w:val="18"/>
                <w:szCs w:val="18"/>
              </w:rPr>
              <w:t xml:space="preserve">Entscheidungsträger</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Lead-Erfassung und Eigentümerakquise</w:t>
            </w:r>
          </w:p>
        </w:tc>
        <w:tc>
          <w:tcPr>
            <w:tcW w:type="dxa" w:w="4600"/>
            <w:shd w:fill="FFFFFF" w:color="auto" w:val="clear"/>
            <w:tcMar>
              <w:top w:type="dxa" w:w="70"/>
              <w:left w:type="dxa" w:w="100"/>
              <w:bottom w:type="dxa" w:w="70"/>
              <w:right w:type="dxa" w:w="100"/>
            </w:tcMar>
          </w:tcPr>
          <w:p>
            <w:pPr>
              <w:spacing w:after="40"/>
            </w:pPr>
            <w:r>
              <w:rPr>
                <w:b w:val="false"/>
                <w:bCs w:val="false"/>
                <w:color w:val="1A1A1A"/>
                <w:sz w:val="18"/>
                <w:szCs w:val="18"/>
              </w:rPr>
              <w:t xml:space="preserve">· Wird der Lead bearbeitet oder abgelehnt?</w:t>
            </w:r>
          </w:p>
          <w:p>
            <w:pPr>
              <w:spacing w:after="40"/>
            </w:pPr>
            <w:r>
              <w:rPr>
                <w:b w:val="false"/>
                <w:bCs w:val="false"/>
                <w:color w:val="1A1A1A"/>
                <w:sz w:val="18"/>
                <w:szCs w:val="18"/>
              </w:rPr>
              <w:t xml:space="preserve">· Wer ist zuständig?</w:t>
            </w:r>
          </w:p>
          <w:p>
            <w:pPr>
              <w:spacing w:after="0"/>
            </w:pPr>
            <w:r>
              <w:rPr>
                <w:b w:val="false"/>
                <w:bCs w:val="false"/>
                <w:color w:val="1A1A1A"/>
                <w:sz w:val="18"/>
                <w:szCs w:val="18"/>
              </w:rPr>
              <w:t xml:space="preserve">· Ist ein Sonderfall nach Teil J erkennbar, der Spezialwissen verlangt?</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Teamleitung bei Sonderfällen und bei Objekten aussserhalb des Bearbeitungsgebiets, …</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Erstkontakt und Qualifizierung</w:t>
            </w:r>
          </w:p>
        </w:tc>
        <w:tc>
          <w:tcPr>
            <w:tcW w:type="dxa" w:w="4600"/>
            <w:shd w:fill="F7F9F9" w:color="auto" w:val="clear"/>
            <w:tcMar>
              <w:top w:type="dxa" w:w="70"/>
              <w:left w:type="dxa" w:w="100"/>
              <w:bottom w:type="dxa" w:w="70"/>
              <w:right w:type="dxa" w:w="100"/>
            </w:tcMar>
          </w:tcPr>
          <w:p>
            <w:pPr>
              <w:spacing w:after="40"/>
            </w:pPr>
            <w:r>
              <w:rPr>
                <w:b w:val="false"/>
                <w:bCs w:val="false"/>
                <w:color w:val="1A1A1A"/>
                <w:sz w:val="18"/>
                <w:szCs w:val="18"/>
              </w:rPr>
              <w:t xml:space="preserve">· Besteht eine echte Verkaufsabsicht oder nur Wertneugier?</w:t>
            </w:r>
          </w:p>
          <w:p>
            <w:pPr>
              <w:spacing w:after="40"/>
            </w:pPr>
            <w:r>
              <w:rPr>
                <w:b w:val="false"/>
                <w:bCs w:val="false"/>
                <w:color w:val="1A1A1A"/>
                <w:sz w:val="18"/>
                <w:szCs w:val="18"/>
              </w:rPr>
              <w:t xml:space="preserve">· Wird ein Erstgesprächstermin vereinbart?</w:t>
            </w:r>
          </w:p>
          <w:p>
            <w:pPr>
              <w:spacing w:after="0"/>
            </w:pPr>
            <w:r>
              <w:rPr>
                <w:b w:val="false"/>
                <w:bCs w:val="false"/>
                <w:color w:val="1A1A1A"/>
                <w:sz w:val="18"/>
                <w:szCs w:val="18"/>
              </w:rPr>
              <w:t xml:space="preserve">· Wird der Vorgang mangels Verfügungsbefugnis oder wegen Fremdmandat zurückgestellt?</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Teamleitung bei Zurückstellung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Erstgespräch beim Eigentümer</w:t>
            </w:r>
          </w:p>
        </w:tc>
        <w:tc>
          <w:tcPr>
            <w:tcW w:type="dxa" w:w="4600"/>
            <w:shd w:fill="FFFFFF" w:color="auto" w:val="clear"/>
            <w:tcMar>
              <w:top w:type="dxa" w:w="70"/>
              <w:left w:type="dxa" w:w="100"/>
              <w:bottom w:type="dxa" w:w="70"/>
              <w:right w:type="dxa" w:w="100"/>
            </w:tcMar>
          </w:tcPr>
          <w:p>
            <w:pPr>
              <w:spacing w:after="40"/>
            </w:pPr>
            <w:r>
              <w:rPr>
                <w:b w:val="false"/>
                <w:bCs w:val="false"/>
                <w:color w:val="1A1A1A"/>
                <w:sz w:val="18"/>
                <w:szCs w:val="18"/>
              </w:rPr>
              <w:t xml:space="preserve">· Erteilt der Eigentümer den Auftrag zur Bewertung?</w:t>
            </w:r>
          </w:p>
          <w:p>
            <w:pPr>
              <w:spacing w:after="40"/>
            </w:pPr>
            <w:r>
              <w:rPr>
                <w:b w:val="false"/>
                <w:bCs w:val="false"/>
                <w:color w:val="1A1A1A"/>
                <w:sz w:val="18"/>
                <w:szCs w:val="18"/>
              </w:rPr>
              <w:t xml:space="preserve">· Ist die Preisvorstellung so weit entfernt, dass ein Mandat nicht sinnvoll ist?</w:t>
            </w:r>
          </w:p>
          <w:p>
            <w:pPr>
              <w:spacing w:after="0"/>
            </w:pPr>
            <w:r>
              <w:rPr>
                <w:b w:val="false"/>
                <w:bCs w:val="false"/>
                <w:color w:val="1A1A1A"/>
                <w:sz w:val="18"/>
                <w:szCs w:val="18"/>
              </w:rPr>
              <w:t xml:space="preserve">· Welche Sonderfälle nach Teil J liegen vor?</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für den Bewertungsauftrag</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Objektaufnahme und Erstbesichtigung</w:t>
            </w:r>
          </w:p>
        </w:tc>
        <w:tc>
          <w:tcPr>
            <w:tcW w:type="dxa" w:w="4600"/>
            <w:shd w:fill="F7F9F9" w:color="auto" w:val="clear"/>
            <w:tcMar>
              <w:top w:type="dxa" w:w="70"/>
              <w:left w:type="dxa" w:w="100"/>
              <w:bottom w:type="dxa" w:w="70"/>
              <w:right w:type="dxa" w:w="100"/>
            </w:tcMar>
          </w:tcPr>
          <w:p>
            <w:pPr>
              <w:spacing w:after="40"/>
            </w:pPr>
            <w:r>
              <w:rPr>
                <w:b w:val="false"/>
                <w:bCs w:val="false"/>
                <w:color w:val="1A1A1A"/>
                <w:sz w:val="18"/>
                <w:szCs w:val="18"/>
              </w:rPr>
              <w:t xml:space="preserve">· Genügt die Aufnahme als Bewertungsgrundlage oder ist eine Fachexpertise nötig?</w:t>
            </w:r>
          </w:p>
          <w:p>
            <w:pPr>
              <w:spacing w:after="40"/>
            </w:pPr>
            <w:r>
              <w:rPr>
                <w:b w:val="false"/>
                <w:bCs w:val="false"/>
                <w:color w:val="1A1A1A"/>
                <w:sz w:val="18"/>
                <w:szCs w:val="18"/>
              </w:rPr>
              <w:t xml:space="preserve">· Welche Abweichungen zwischen Plan und Bauzustand sind weiterzuverfolgen?</w:t>
            </w:r>
          </w:p>
          <w:p>
            <w:pPr>
              <w:spacing w:after="0"/>
            </w:pPr>
            <w:r>
              <w:rPr>
                <w:b w:val="false"/>
                <w:bCs w:val="false"/>
                <w:color w:val="1A1A1A"/>
                <w:sz w:val="18"/>
                <w:szCs w:val="18"/>
              </w:rPr>
              <w:t xml:space="preserve">· Welches Inventar ist Verhandlungsmasse?</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Teamleitung bei Expertisebedarf</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Unterlagenbeschaffung</w:t>
            </w:r>
          </w:p>
        </w:tc>
        <w:tc>
          <w:tcPr>
            <w:tcW w:type="dxa" w:w="4600"/>
            <w:shd w:fill="FFFFFF" w:color="auto" w:val="clear"/>
            <w:tcMar>
              <w:top w:type="dxa" w:w="70"/>
              <w:left w:type="dxa" w:w="100"/>
              <w:bottom w:type="dxa" w:w="70"/>
              <w:right w:type="dxa" w:w="100"/>
            </w:tcMar>
          </w:tcPr>
          <w:p>
            <w:pPr>
              <w:spacing w:after="40"/>
            </w:pPr>
            <w:r>
              <w:rPr>
                <w:b w:val="false"/>
                <w:bCs w:val="false"/>
                <w:color w:val="1A1A1A"/>
                <w:sz w:val="18"/>
                <w:szCs w:val="18"/>
              </w:rPr>
              <w:t xml:space="preserve">· Wird der GEAK beauftragt?</w:t>
            </w:r>
          </w:p>
          <w:p>
            <w:pPr>
              <w:spacing w:after="40"/>
            </w:pPr>
            <w:r>
              <w:rPr>
                <w:b w:val="false"/>
                <w:bCs w:val="false"/>
                <w:color w:val="1A1A1A"/>
                <w:sz w:val="18"/>
                <w:szCs w:val="18"/>
              </w:rPr>
              <w:t xml:space="preserve">· Welche offenen Positionen sind vermarktungskritisch und welche nicht?</w:t>
            </w:r>
          </w:p>
          <w:p>
            <w:pPr>
              <w:spacing w:after="0"/>
            </w:pPr>
            <w:r>
              <w:rPr>
                <w:b w:val="false"/>
                <w:bCs w:val="false"/>
                <w:color w:val="1A1A1A"/>
                <w:sz w:val="18"/>
                <w:szCs w:val="18"/>
              </w:rPr>
              <w:t xml:space="preserve">· Wird eine Zustandsanalyse beauftragt?</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für Kosten auslösende Aufträge; Makler für die Beschaffungsreihenfolge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 und Grundbuchprüfung</w:t>
            </w:r>
          </w:p>
        </w:tc>
        <w:tc>
          <w:tcPr>
            <w:tcW w:type="dxa" w:w="4600"/>
            <w:shd w:fill="F7F9F9" w:color="auto" w:val="clear"/>
            <w:tcMar>
              <w:top w:type="dxa" w:w="70"/>
              <w:left w:type="dxa" w:w="100"/>
              <w:bottom w:type="dxa" w:w="70"/>
              <w:right w:type="dxa" w:w="100"/>
            </w:tcMar>
          </w:tcPr>
          <w:p>
            <w:pPr>
              <w:spacing w:after="40"/>
            </w:pPr>
            <w:r>
              <w:rPr>
                <w:b w:val="false"/>
                <w:bCs w:val="false"/>
                <w:color w:val="1A1A1A"/>
                <w:sz w:val="18"/>
                <w:szCs w:val="18"/>
              </w:rPr>
              <w:t xml:space="preserve">· Ist das Objekt in der vorgesehenen Form verkäuflich?</w:t>
            </w:r>
          </w:p>
          <w:p>
            <w:pPr>
              <w:spacing w:after="40"/>
            </w:pPr>
            <w:r>
              <w:rPr>
                <w:b w:val="false"/>
                <w:bCs w:val="false"/>
                <w:color w:val="1A1A1A"/>
                <w:sz w:val="18"/>
                <w:szCs w:val="18"/>
              </w:rPr>
              <w:t xml:space="preserve">· Welche Positionen werden vor der Vermarktung geklärt, welche offengelegt?</w:t>
            </w:r>
          </w:p>
          <w:p>
            <w:pPr>
              <w:spacing w:after="0"/>
            </w:pPr>
            <w:r>
              <w:rPr>
                <w:b w:val="false"/>
                <w:bCs w:val="false"/>
                <w:color w:val="1A1A1A"/>
                <w:sz w:val="18"/>
                <w:szCs w:val="18"/>
              </w:rPr>
              <w:t xml:space="preserve">· Welche erwerbsrechtlichen Beschränkungen gelten für künftige Käufer?</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auf Antrag des Maklers; Rechtsberatung bei Sonderfällen</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 und Standortanalyse</w:t>
            </w:r>
          </w:p>
        </w:tc>
        <w:tc>
          <w:tcPr>
            <w:tcW w:type="dxa" w:w="4600"/>
            <w:shd w:fill="FFFFFF" w:color="auto" w:val="clear"/>
            <w:tcMar>
              <w:top w:type="dxa" w:w="70"/>
              <w:left w:type="dxa" w:w="100"/>
              <w:bottom w:type="dxa" w:w="70"/>
              <w:right w:type="dxa" w:w="100"/>
            </w:tcMar>
          </w:tcPr>
          <w:p>
            <w:pPr>
              <w:spacing w:after="40"/>
            </w:pPr>
            <w:r>
              <w:rPr>
                <w:b w:val="false"/>
                <w:bCs w:val="false"/>
                <w:color w:val="1A1A1A"/>
                <w:sz w:val="18"/>
                <w:szCs w:val="18"/>
              </w:rPr>
              <w:t xml:space="preserve">· Trägt die Datengrundlage eine Bewertung?</w:t>
            </w:r>
          </w:p>
          <w:p>
            <w:pPr>
              <w:spacing w:after="40"/>
            </w:pPr>
            <w:r>
              <w:rPr>
                <w:b w:val="false"/>
                <w:bCs w:val="false"/>
                <w:color w:val="1A1A1A"/>
                <w:sz w:val="18"/>
                <w:szCs w:val="18"/>
              </w:rPr>
              <w:t xml:space="preserve">· Welche Vergleichsobjekte sind wirklich vergleichbar?</w:t>
            </w:r>
          </w:p>
          <w:p>
            <w:pPr>
              <w:spacing w:after="0"/>
            </w:pPr>
            <w:r>
              <w:rPr>
                <w:b w:val="false"/>
                <w:bCs w:val="false"/>
                <w:color w:val="1A1A1A"/>
                <w:sz w:val="18"/>
                <w:szCs w:val="18"/>
              </w:rPr>
              <w:t xml:space="preserve">· Ist eine Schätzungsexpertise statt einer eigenen Bewertung nötig?</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Zweite bewertende Person im Vier-Augen-Prinzip; Verkaufsleitung bei Expertisebedarf</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Bewertung und Verkaufspreisempfehlung</w:t>
            </w:r>
          </w:p>
        </w:tc>
        <w:tc>
          <w:tcPr>
            <w:tcW w:type="dxa" w:w="4600"/>
            <w:shd w:fill="F7F9F9" w:color="auto" w:val="clear"/>
            <w:tcMar>
              <w:top w:type="dxa" w:w="70"/>
              <w:left w:type="dxa" w:w="100"/>
              <w:bottom w:type="dxa" w:w="70"/>
              <w:right w:type="dxa" w:w="100"/>
            </w:tcMar>
          </w:tcPr>
          <w:p>
            <w:pPr>
              <w:spacing w:after="40"/>
            </w:pPr>
            <w:r>
              <w:rPr>
                <w:b w:val="false"/>
                <w:bCs w:val="false"/>
                <w:color w:val="1A1A1A"/>
                <w:sz w:val="18"/>
                <w:szCs w:val="18"/>
              </w:rPr>
              <w:t xml:space="preserve">· Wie werden die Methoden gewichtet und warum?</w:t>
            </w:r>
          </w:p>
          <w:p>
            <w:pPr>
              <w:spacing w:after="40"/>
            </w:pPr>
            <w:r>
              <w:rPr>
                <w:b w:val="false"/>
                <w:bCs w:val="false"/>
                <w:color w:val="1A1A1A"/>
                <w:sz w:val="18"/>
                <w:szCs w:val="18"/>
              </w:rPr>
              <w:t xml:space="preserve">· Wie breit ist die Wertspanne?</w:t>
            </w:r>
          </w:p>
          <w:p>
            <w:pPr>
              <w:spacing w:after="40"/>
            </w:pPr>
            <w:r>
              <w:rPr>
                <w:b w:val="false"/>
                <w:bCs w:val="false"/>
                <w:color w:val="1A1A1A"/>
                <w:sz w:val="18"/>
                <w:szCs w:val="18"/>
              </w:rPr>
              <w:t xml:space="preserve">· Welcher Angebotspreis wird empfohlen?</w:t>
            </w:r>
          </w:p>
          <w:p>
            <w:pPr>
              <w:spacing w:after="0"/>
            </w:pPr>
            <w:r>
              <w:rPr>
                <w:b w:val="false"/>
                <w:bCs w:val="false"/>
                <w:color w:val="1A1A1A"/>
                <w:sz w:val="18"/>
                <w:szCs w:val="18"/>
              </w:rPr>
              <w:t xml:space="preserve">· Welche Potenziale werden bewertet und welche nur benannt?</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erstellt, zweite bewertende Person gibt frei</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Bewertungsbesprechung und Preisentscheid</w:t>
            </w:r>
          </w:p>
        </w:tc>
        <w:tc>
          <w:tcPr>
            <w:tcW w:type="dxa" w:w="4600"/>
            <w:shd w:fill="FFFFFF" w:color="auto" w:val="clear"/>
            <w:tcMar>
              <w:top w:type="dxa" w:w="70"/>
              <w:left w:type="dxa" w:w="100"/>
              <w:bottom w:type="dxa" w:w="70"/>
              <w:right w:type="dxa" w:w="100"/>
            </w:tcMar>
          </w:tcPr>
          <w:p>
            <w:pPr>
              <w:spacing w:after="40"/>
            </w:pPr>
            <w:r>
              <w:rPr>
                <w:b w:val="false"/>
                <w:bCs w:val="false"/>
                <w:color w:val="1A1A1A"/>
                <w:sz w:val="18"/>
                <w:szCs w:val="18"/>
              </w:rPr>
              <w:t xml:space="preserve">· Angebotspreis</w:t>
            </w:r>
          </w:p>
          <w:p>
            <w:pPr>
              <w:spacing w:after="40"/>
            </w:pPr>
            <w:r>
              <w:rPr>
                <w:b w:val="false"/>
                <w:bCs w:val="false"/>
                <w:color w:val="1A1A1A"/>
                <w:sz w:val="18"/>
                <w:szCs w:val="18"/>
              </w:rPr>
              <w:t xml:space="preserve">· Mindestpreis</w:t>
            </w:r>
          </w:p>
          <w:p>
            <w:pPr>
              <w:spacing w:after="40"/>
            </w:pPr>
            <w:r>
              <w:rPr>
                <w:b w:val="false"/>
                <w:bCs w:val="false"/>
                <w:color w:val="1A1A1A"/>
                <w:sz w:val="18"/>
                <w:szCs w:val="18"/>
              </w:rPr>
              <w:t xml:space="preserve">· Vermarktungsform offen oder diskret</w:t>
            </w:r>
          </w:p>
          <w:p>
            <w:pPr>
              <w:spacing w:after="40"/>
            </w:pPr>
            <w:r>
              <w:rPr>
                <w:b w:val="false"/>
                <w:bCs w:val="false"/>
                <w:color w:val="1A1A1A"/>
                <w:sz w:val="18"/>
                <w:szCs w:val="18"/>
              </w:rPr>
              <w:t xml:space="preserve">· Vermarktungsstufe</w:t>
            </w:r>
          </w:p>
          <w:p>
            <w:pPr>
              <w:spacing w:after="40"/>
            </w:pPr>
            <w:r>
              <w:rPr>
                <w:b w:val="false"/>
                <w:bCs w:val="false"/>
                <w:color w:val="1A1A1A"/>
                <w:sz w:val="18"/>
                <w:szCs w:val="18"/>
              </w:rPr>
              <w:t xml:space="preserve">· Auslösekriterien für die Preissteuerung</w:t>
            </w:r>
          </w:p>
          <w:p>
            <w:pPr>
              <w:spacing w:after="0"/>
            </w:pPr>
            <w:r>
              <w:rPr>
                <w:b w:val="false"/>
                <w:bCs w:val="false"/>
                <w:color w:val="1A1A1A"/>
                <w:sz w:val="18"/>
                <w:szCs w:val="18"/>
              </w:rPr>
              <w:t xml:space="preserve">· Zeitplan</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Ausschliesslich der Eigentümer; der Makler empfiehlt und dokumentiert</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10</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Maklermandat und Onboarding</w:t>
            </w:r>
          </w:p>
        </w:tc>
        <w:tc>
          <w:tcPr>
            <w:tcW w:type="dxa" w:w="4600"/>
            <w:shd w:fill="F7F9F9" w:color="auto" w:val="clear"/>
            <w:tcMar>
              <w:top w:type="dxa" w:w="70"/>
              <w:left w:type="dxa" w:w="100"/>
              <w:bottom w:type="dxa" w:w="70"/>
              <w:right w:type="dxa" w:w="100"/>
            </w:tcMar>
          </w:tcPr>
          <w:p>
            <w:pPr>
              <w:spacing w:after="40"/>
            </w:pPr>
            <w:r>
              <w:rPr>
                <w:b w:val="false"/>
                <w:bCs w:val="false"/>
                <w:color w:val="1A1A1A"/>
                <w:sz w:val="18"/>
                <w:szCs w:val="18"/>
              </w:rPr>
              <w:t xml:space="preserve">· Mandatsform: Allein- oder einfacher Auftrag</w:t>
            </w:r>
          </w:p>
          <w:p>
            <w:pPr>
              <w:spacing w:after="40"/>
            </w:pPr>
            <w:r>
              <w:rPr>
                <w:b w:val="false"/>
                <w:bCs w:val="false"/>
                <w:color w:val="1A1A1A"/>
                <w:sz w:val="18"/>
                <w:szCs w:val="18"/>
              </w:rPr>
              <w:t xml:space="preserve">· Provisionssatz und Bemessungsgrundlage</w:t>
            </w:r>
          </w:p>
          <w:p>
            <w:pPr>
              <w:spacing w:after="40"/>
            </w:pPr>
            <w:r>
              <w:rPr>
                <w:b w:val="false"/>
                <w:bCs w:val="false"/>
                <w:color w:val="1A1A1A"/>
                <w:sz w:val="18"/>
                <w:szCs w:val="18"/>
              </w:rPr>
              <w:t xml:space="preserve">· Laufzeit und Nachwirkung</w:t>
            </w:r>
          </w:p>
          <w:p>
            <w:pPr>
              <w:spacing w:after="0"/>
            </w:pPr>
            <w:r>
              <w:rPr>
                <w:b w:val="false"/>
                <w:bCs w:val="false"/>
                <w:color w:val="1A1A1A"/>
                <w:sz w:val="18"/>
                <w:szCs w:val="18"/>
              </w:rPr>
              <w:t xml:space="preserve">· Ergebnis der GwG-Triage und daraus der Pflichtenpfad</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unterzeichnet</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Vermarktungsvorbereitung</w:t>
            </w:r>
          </w:p>
        </w:tc>
        <w:tc>
          <w:tcPr>
            <w:tcW w:type="dxa" w:w="4600"/>
            <w:shd w:fill="FFFFFF" w:color="auto" w:val="clear"/>
            <w:tcMar>
              <w:top w:type="dxa" w:w="70"/>
              <w:left w:type="dxa" w:w="100"/>
              <w:bottom w:type="dxa" w:w="70"/>
              <w:right w:type="dxa" w:w="100"/>
            </w:tcMar>
          </w:tcPr>
          <w:p>
            <w:pPr>
              <w:spacing w:after="40"/>
            </w:pPr>
            <w:r>
              <w:rPr>
                <w:b w:val="false"/>
                <w:bCs w:val="false"/>
                <w:color w:val="1A1A1A"/>
                <w:sz w:val="18"/>
                <w:szCs w:val="18"/>
              </w:rPr>
              <w:t xml:space="preserve">· Welche Zusatzleistungen werden beauftragt und von wem getragen?</w:t>
            </w:r>
          </w:p>
          <w:p>
            <w:pPr>
              <w:spacing w:after="40"/>
            </w:pPr>
            <w:r>
              <w:rPr>
                <w:b w:val="false"/>
                <w:bCs w:val="false"/>
                <w:color w:val="1A1A1A"/>
                <w:sz w:val="18"/>
                <w:szCs w:val="18"/>
              </w:rPr>
              <w:t xml:space="preserve">· Welche Bilder werden verwendet und in welcher Reihenfolge?</w:t>
            </w:r>
          </w:p>
          <w:p>
            <w:pPr>
              <w:spacing w:after="40"/>
            </w:pPr>
            <w:r>
              <w:rPr>
                <w:b w:val="false"/>
                <w:bCs w:val="false"/>
                <w:color w:val="1A1A1A"/>
                <w:sz w:val="18"/>
                <w:szCs w:val="18"/>
              </w:rPr>
              <w:t xml:space="preserve">· Wird die Adresse veröffentlicht?</w:t>
            </w:r>
          </w:p>
          <w:p>
            <w:pPr>
              <w:spacing w:after="0"/>
            </w:pPr>
            <w:r>
              <w:rPr>
                <w:b w:val="false"/>
                <w:bCs w:val="false"/>
                <w:color w:val="1A1A1A"/>
                <w:sz w:val="18"/>
                <w:szCs w:val="18"/>
              </w:rPr>
              <w:t xml:space="preserve">· Wie weit reicht die Offenlegung im Dossier?</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für Kosten, Bildauswahl, Adressanzeige und Freigabe</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Markteinführung und Online-Vermarktung</w:t>
            </w:r>
          </w:p>
        </w:tc>
        <w:tc>
          <w:tcPr>
            <w:tcW w:type="dxa" w:w="4600"/>
            <w:shd w:fill="F7F9F9" w:color="auto" w:val="clear"/>
            <w:tcMar>
              <w:top w:type="dxa" w:w="70"/>
              <w:left w:type="dxa" w:w="100"/>
              <w:bottom w:type="dxa" w:w="70"/>
              <w:right w:type="dxa" w:w="100"/>
            </w:tcMar>
          </w:tcPr>
          <w:p>
            <w:pPr>
              <w:spacing w:after="40"/>
            </w:pPr>
            <w:r>
              <w:rPr>
                <w:b w:val="false"/>
                <w:bCs w:val="false"/>
                <w:color w:val="1A1A1A"/>
                <w:sz w:val="18"/>
                <w:szCs w:val="18"/>
              </w:rPr>
              <w:t xml:space="preserve">· Wird in der geplanten Stufe gestartet oder eine Stufe vorgezogen?</w:t>
            </w:r>
          </w:p>
          <w:p>
            <w:pPr>
              <w:spacing w:after="0"/>
            </w:pPr>
            <w:r>
              <w:rPr>
                <w:b w:val="false"/>
                <w:bCs w:val="false"/>
                <w:color w:val="1A1A1A"/>
                <w:sz w:val="18"/>
                <w:szCs w:val="18"/>
              </w:rPr>
              <w:t xml:space="preserve">· Wird die Interessentendatenbank vor den Portalen bespielt?</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für den Stufenentscheid</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Interessentenmanagement und Qualifizierung</w:t>
            </w:r>
          </w:p>
        </w:tc>
        <w:tc>
          <w:tcPr>
            <w:tcW w:type="dxa" w:w="4600"/>
            <w:shd w:fill="FFFFFF" w:color="auto" w:val="clear"/>
            <w:tcMar>
              <w:top w:type="dxa" w:w="70"/>
              <w:left w:type="dxa" w:w="100"/>
              <w:bottom w:type="dxa" w:w="70"/>
              <w:right w:type="dxa" w:w="100"/>
            </w:tcMar>
          </w:tcPr>
          <w:p>
            <w:pPr>
              <w:spacing w:after="40"/>
            </w:pPr>
            <w:r>
              <w:rPr>
                <w:b w:val="false"/>
                <w:bCs w:val="false"/>
                <w:color w:val="1A1A1A"/>
                <w:sz w:val="18"/>
                <w:szCs w:val="18"/>
              </w:rPr>
              <w:t xml:space="preserve">· Welche Funnelstufe erhält der Interessent (Teil E)?</w:t>
            </w:r>
          </w:p>
          <w:p>
            <w:pPr>
              <w:spacing w:after="40"/>
            </w:pPr>
            <w:r>
              <w:rPr>
                <w:b w:val="false"/>
                <w:bCs w:val="false"/>
                <w:color w:val="1A1A1A"/>
                <w:sz w:val="18"/>
                <w:szCs w:val="18"/>
              </w:rPr>
              <w:t xml:space="preserve">· Wer wird zur Besichtigung zugelassen?</w:t>
            </w:r>
          </w:p>
          <w:p>
            <w:pPr>
              <w:spacing w:after="40"/>
            </w:pPr>
            <w:r>
              <w:rPr>
                <w:b w:val="false"/>
                <w:bCs w:val="false"/>
                <w:color w:val="1A1A1A"/>
                <w:sz w:val="18"/>
                <w:szCs w:val="18"/>
              </w:rPr>
              <w:t xml:space="preserve">· Ist die erwerbsrechtliche Zulässigkeit geklärt?</w:t>
            </w:r>
          </w:p>
          <w:p>
            <w:pPr>
              <w:spacing w:after="0"/>
            </w:pPr>
            <w:r>
              <w:rPr>
                <w:b w:val="false"/>
                <w:bCs w:val="false"/>
                <w:color w:val="1A1A1A"/>
                <w:sz w:val="18"/>
                <w:szCs w:val="18"/>
              </w:rPr>
              <w:t xml:space="preserve">· Wird die GwG-Triage durch die Nutzungsabsicht beeinflusst?</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für die Einstufung; Compliance bei Auffälligkeiten</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Besichtigungen und Rückmeldung</w:t>
            </w:r>
          </w:p>
        </w:tc>
        <w:tc>
          <w:tcPr>
            <w:tcW w:type="dxa" w:w="4600"/>
            <w:shd w:fill="F7F9F9" w:color="auto" w:val="clear"/>
            <w:tcMar>
              <w:top w:type="dxa" w:w="70"/>
              <w:left w:type="dxa" w:w="100"/>
              <w:bottom w:type="dxa" w:w="70"/>
              <w:right w:type="dxa" w:w="100"/>
            </w:tcMar>
          </w:tcPr>
          <w:p>
            <w:pPr>
              <w:spacing w:after="40"/>
            </w:pPr>
            <w:r>
              <w:rPr>
                <w:b w:val="false"/>
                <w:bCs w:val="false"/>
                <w:color w:val="1A1A1A"/>
                <w:sz w:val="18"/>
                <w:szCs w:val="18"/>
              </w:rPr>
              <w:t xml:space="preserve">· Einzel- oder Sammelbesichtigung?</w:t>
            </w:r>
          </w:p>
          <w:p>
            <w:pPr>
              <w:spacing w:after="40"/>
            </w:pPr>
            <w:r>
              <w:rPr>
                <w:b w:val="false"/>
                <w:bCs w:val="false"/>
                <w:color w:val="1A1A1A"/>
                <w:sz w:val="18"/>
                <w:szCs w:val="18"/>
              </w:rPr>
              <w:t xml:space="preserve">· Wird ein Interessent weiterverfolgt oder abgesagt?</w:t>
            </w:r>
          </w:p>
          <w:p>
            <w:pPr>
              <w:spacing w:after="0"/>
            </w:pPr>
            <w:r>
              <w:rPr>
                <w:b w:val="false"/>
                <w:bCs w:val="false"/>
                <w:color w:val="1A1A1A"/>
                <w:sz w:val="18"/>
                <w:szCs w:val="18"/>
              </w:rPr>
              <w:t xml:space="preserve">· Häufen sich Ablehnungsgründe so, dass die Strategie zu überprüfen ist (Teil C)?</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Eigentümer bei Strategieanpassung</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Kaufangebote und Finanzierungsprüfung</w:t>
            </w:r>
          </w:p>
        </w:tc>
        <w:tc>
          <w:tcPr>
            <w:tcW w:type="dxa" w:w="4600"/>
            <w:shd w:fill="FFFFFF" w:color="auto" w:val="clear"/>
            <w:tcMar>
              <w:top w:type="dxa" w:w="70"/>
              <w:left w:type="dxa" w:w="100"/>
              <w:bottom w:type="dxa" w:w="70"/>
              <w:right w:type="dxa" w:w="100"/>
            </w:tcMar>
          </w:tcPr>
          <w:p>
            <w:pPr>
              <w:spacing w:after="40"/>
            </w:pPr>
            <w:r>
              <w:rPr>
                <w:b w:val="false"/>
                <w:bCs w:val="false"/>
                <w:color w:val="1A1A1A"/>
                <w:sz w:val="18"/>
                <w:szCs w:val="18"/>
              </w:rPr>
              <w:t xml:space="preserve">· Ist das Angebot verhandlungsfähig?</w:t>
            </w:r>
          </w:p>
          <w:p>
            <w:pPr>
              <w:spacing w:after="40"/>
            </w:pPr>
            <w:r>
              <w:rPr>
                <w:b w:val="false"/>
                <w:bCs w:val="false"/>
                <w:color w:val="1A1A1A"/>
                <w:sz w:val="18"/>
                <w:szCs w:val="18"/>
              </w:rPr>
              <w:t xml:space="preserve">· Ist die Finanzierung belegt oder nur behauptet?</w:t>
            </w:r>
          </w:p>
          <w:p>
            <w:pPr>
              <w:spacing w:after="0"/>
            </w:pPr>
            <w:r>
              <w:rPr>
                <w:b w:val="false"/>
                <w:bCs w:val="false"/>
                <w:color w:val="1A1A1A"/>
                <w:sz w:val="18"/>
                <w:szCs w:val="18"/>
              </w:rPr>
              <w:t xml:space="preserve">· Ist das Triage-Ergebnis mit der Nutzungsabsicht abgeschlossen?</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für die Angebotsfähigkeit</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 und Entscheidungsvorlage</w:t>
            </w:r>
          </w:p>
        </w:tc>
        <w:tc>
          <w:tcPr>
            <w:tcW w:type="dxa" w:w="4600"/>
            <w:shd w:fill="F7F9F9" w:color="auto" w:val="clear"/>
            <w:tcMar>
              <w:top w:type="dxa" w:w="70"/>
              <w:left w:type="dxa" w:w="100"/>
              <w:bottom w:type="dxa" w:w="70"/>
              <w:right w:type="dxa" w:w="100"/>
            </w:tcMar>
          </w:tcPr>
          <w:p>
            <w:pPr>
              <w:spacing w:after="40"/>
            </w:pPr>
            <w:r>
              <w:rPr>
                <w:b w:val="false"/>
                <w:bCs w:val="false"/>
                <w:color w:val="1A1A1A"/>
                <w:sz w:val="18"/>
                <w:szCs w:val="18"/>
              </w:rPr>
              <w:t xml:space="preserve">· Annahme, Gegenangebot, Ablehnung oder Fristverfahren?</w:t>
            </w:r>
          </w:p>
          <w:p>
            <w:pPr>
              <w:spacing w:after="40"/>
            </w:pPr>
            <w:r>
              <w:rPr>
                <w:b w:val="false"/>
                <w:bCs w:val="false"/>
                <w:color w:val="1A1A1A"/>
                <w:sz w:val="18"/>
                <w:szCs w:val="18"/>
              </w:rPr>
              <w:t xml:space="preserve">· Welche Verhandlungsmasse neben dem Preis wird eingesetzt?</w:t>
            </w:r>
          </w:p>
          <w:p>
            <w:pPr>
              <w:spacing w:after="0"/>
            </w:pPr>
            <w:r>
              <w:rPr>
                <w:b w:val="false"/>
                <w:bCs w:val="false"/>
                <w:color w:val="1A1A1A"/>
                <w:sz w:val="18"/>
                <w:szCs w:val="18"/>
              </w:rPr>
              <w:t xml:space="preserve">· Welche Rückzugslinie gilt?</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Ausschliesslich der Eigentümer</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 und Notariatsauftrag</w:t>
            </w:r>
          </w:p>
        </w:tc>
        <w:tc>
          <w:tcPr>
            <w:tcW w:type="dxa" w:w="4600"/>
            <w:shd w:fill="FFFFFF" w:color="auto" w:val="clear"/>
            <w:tcMar>
              <w:top w:type="dxa" w:w="70"/>
              <w:left w:type="dxa" w:w="100"/>
              <w:bottom w:type="dxa" w:w="70"/>
              <w:right w:type="dxa" w:w="100"/>
            </w:tcMar>
          </w:tcPr>
          <w:p>
            <w:pPr>
              <w:spacing w:after="40"/>
            </w:pPr>
            <w:r>
              <w:rPr>
                <w:b w:val="false"/>
                <w:bCs w:val="false"/>
                <w:color w:val="1A1A1A"/>
                <w:sz w:val="18"/>
                <w:szCs w:val="18"/>
              </w:rPr>
              <w:t xml:space="preserve">· Wird die Vermarktung zurückgestellt und wie werden Zweitinteressenten geführt?</w:t>
            </w:r>
          </w:p>
          <w:p>
            <w:pPr>
              <w:spacing w:after="40"/>
            </w:pPr>
            <w:r>
              <w:rPr>
                <w:b w:val="false"/>
                <w:bCs w:val="false"/>
                <w:color w:val="1A1A1A"/>
                <w:sz w:val="18"/>
                <w:szCs w:val="18"/>
              </w:rPr>
              <w:t xml:space="preserve">· Welches Notariat wird beauftragt?</w:t>
            </w:r>
          </w:p>
          <w:p>
            <w:pPr>
              <w:spacing w:after="0"/>
            </w:pPr>
            <w:r>
              <w:rPr>
                <w:b w:val="false"/>
                <w:bCs w:val="false"/>
                <w:color w:val="1A1A1A"/>
                <w:sz w:val="18"/>
                <w:szCs w:val="18"/>
              </w:rPr>
              <w:t xml:space="preserve">· Wie wird die Steuer sichergestellt?</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für Zurückstellung und Notariatswahl</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Kaufvertrag und öffentliche Beurkundung</w:t>
            </w:r>
          </w:p>
        </w:tc>
        <w:tc>
          <w:tcPr>
            <w:tcW w:type="dxa" w:w="4600"/>
            <w:shd w:fill="F7F9F9" w:color="auto" w:val="clear"/>
            <w:tcMar>
              <w:top w:type="dxa" w:w="70"/>
              <w:left w:type="dxa" w:w="100"/>
              <w:bottom w:type="dxa" w:w="70"/>
              <w:right w:type="dxa" w:w="100"/>
            </w:tcMar>
          </w:tcPr>
          <w:p>
            <w:pPr>
              <w:spacing w:after="40"/>
            </w:pPr>
            <w:r>
              <w:rPr>
                <w:b w:val="false"/>
                <w:bCs w:val="false"/>
                <w:color w:val="1A1A1A"/>
                <w:sz w:val="18"/>
                <w:szCs w:val="18"/>
              </w:rPr>
              <w:t xml:space="preserve">· Bildet der Entwurf die Einigung ab?</w:t>
            </w:r>
          </w:p>
          <w:p>
            <w:pPr>
              <w:spacing w:after="40"/>
            </w:pPr>
            <w:r>
              <w:rPr>
                <w:b w:val="false"/>
                <w:bCs w:val="false"/>
                <w:color w:val="1A1A1A"/>
                <w:sz w:val="18"/>
                <w:szCs w:val="18"/>
              </w:rPr>
              <w:t xml:space="preserve">· Welche Abweichungen werden gemeldet?</w:t>
            </w:r>
          </w:p>
          <w:p>
            <w:pPr>
              <w:spacing w:after="0"/>
            </w:pPr>
            <w:r>
              <w:rPr>
                <w:b w:val="false"/>
                <w:bCs w:val="false"/>
                <w:color w:val="1A1A1A"/>
                <w:sz w:val="18"/>
                <w:szCs w:val="18"/>
              </w:rPr>
              <w:t xml:space="preserve">· Ist der Termin durchführbar – Ausweise, Vollmachten, Sprache?</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Parteien für den Vertragsinhalt</w:t>
            </w:r>
          </w:p>
        </w:tc>
      </w:tr>
      <w:tr>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19</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 und Eigentumsübertragung</w:t>
            </w:r>
          </w:p>
        </w:tc>
        <w:tc>
          <w:tcPr>
            <w:tcW w:type="dxa" w:w="4600"/>
            <w:shd w:fill="FFFFFF" w:color="auto" w:val="clear"/>
            <w:tcMar>
              <w:top w:type="dxa" w:w="70"/>
              <w:left w:type="dxa" w:w="100"/>
              <w:bottom w:type="dxa" w:w="70"/>
              <w:right w:type="dxa" w:w="100"/>
            </w:tcMar>
          </w:tcPr>
          <w:p>
            <w:pPr>
              <w:spacing w:after="40"/>
            </w:pPr>
            <w:r>
              <w:rPr>
                <w:b w:val="false"/>
                <w:bCs w:val="false"/>
                <w:color w:val="1A1A1A"/>
                <w:sz w:val="18"/>
                <w:szCs w:val="18"/>
              </w:rPr>
              <w:t xml:space="preserve">· Sind Zahlung und Eintragung fristgerecht erfolgt?</w:t>
            </w:r>
          </w:p>
          <w:p>
            <w:pPr>
              <w:spacing w:after="0"/>
            </w:pPr>
            <w:r>
              <w:rPr>
                <w:b w:val="false"/>
                <w:bCs w:val="false"/>
                <w:color w:val="1A1A1A"/>
                <w:sz w:val="18"/>
                <w:szCs w:val="18"/>
              </w:rPr>
              <w:t xml:space="preserve">· Welche Massnahmen sind bei Verzug zu treffen?</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 für die Abwicklung; Verkaufsleitung für Massnahmen bei Verzug</w:t>
            </w:r>
          </w:p>
        </w:tc>
      </w:tr>
      <w:tr>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Übergabe, Abschluss und Nachbetreuung</w:t>
            </w:r>
          </w:p>
        </w:tc>
        <w:tc>
          <w:tcPr>
            <w:tcW w:type="dxa" w:w="4600"/>
            <w:shd w:fill="F7F9F9" w:color="auto" w:val="clear"/>
            <w:tcMar>
              <w:top w:type="dxa" w:w="70"/>
              <w:left w:type="dxa" w:w="100"/>
              <w:bottom w:type="dxa" w:w="70"/>
              <w:right w:type="dxa" w:w="100"/>
            </w:tcMar>
          </w:tcPr>
          <w:p>
            <w:pPr>
              <w:spacing w:after="40"/>
            </w:pPr>
            <w:r>
              <w:rPr>
                <w:b w:val="false"/>
                <w:bCs w:val="false"/>
                <w:color w:val="1A1A1A"/>
                <w:sz w:val="18"/>
                <w:szCs w:val="18"/>
              </w:rPr>
              <w:t xml:space="preserve">· Sind offene Punkte aus der Übergabe erledigt?</w:t>
            </w:r>
          </w:p>
          <w:p>
            <w:pPr>
              <w:spacing w:after="40"/>
            </w:pPr>
            <w:r>
              <w:rPr>
                <w:b w:val="false"/>
                <w:bCs w:val="false"/>
                <w:color w:val="1A1A1A"/>
                <w:sz w:val="18"/>
                <w:szCs w:val="18"/>
              </w:rPr>
              <w:t xml:space="preserve">· Ist das Dossier vollständig und archivierbar?</w:t>
            </w:r>
          </w:p>
          <w:p>
            <w:pPr>
              <w:spacing w:after="0"/>
            </w:pPr>
            <w:r>
              <w:rPr>
                <w:b w:val="false"/>
                <w:bCs w:val="false"/>
                <w:color w:val="1A1A1A"/>
                <w:sz w:val="18"/>
                <w:szCs w:val="18"/>
              </w:rPr>
              <w:t xml:space="preserve">· Wird eine Referenz eingeholt?</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Parteien für das Protokoll; Verkaufsleitung für den Mandatsabschluss</w:t>
            </w:r>
          </w:p>
        </w:tc>
      </w:tr>
    </w:tbl>
    <w:p>
      <w:pPr>
        <w:spacing w:after="120" w:before="0"/>
      </w:pPr>
      <w:r>
        <w:rPr>
          <w:i/>
          <w:iCs/>
          <w:color w:val="1A1A1A"/>
          <w:sz w:val="20"/>
          <w:szCs w:val="20"/>
        </w:rPr>
        <w:t xml:space="preserve">Vollständige Formulierung je Entscheidung im Handbuch Teil B2.</w:t>
      </w:r>
    </w:p>
    <w:p>
      <w:pPr>
        <w:pStyle w:val="Heading2"/>
        <w:spacing w:after="120" w:before="280"/>
      </w:pPr>
      <w:r>
        <w:t xml:space="preserve">3.2 Vier-Augen-Kontrollpunkte</w:t>
      </w:r>
    </w:p>
    <w:p>
      <w:pPr>
        <w:spacing w:after="120" w:before="0"/>
      </w:pPr>
      <w:r>
        <w:rPr>
          <w:color w:val="1A1A1A"/>
          <w:sz w:val="20"/>
          <w:szCs w:val="20"/>
        </w:rPr>
        <w:t xml:space="preserve">Der Kontrollierende ist nie der Erstellende; bei Einzelbesetzung übernimmt die Verkaufsleitung oder eine benannte Stellvertretung. Kontrolliert wird gegen die Quelle, nicht gegen die Plausibilität. Ohne Vermerk gilt die Kontrolle als nicht erfolgt.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00"/>
        <w:gridCol w:w="1900"/>
        <w:gridCol w:w="500"/>
        <w:gridCol w:w="600"/>
        <w:gridCol w:w="2400"/>
        <w:gridCol w:w="3700"/>
      </w:tblGrid>
      <w:tr>
        <w:trPr>
          <w:tblHeader/>
        </w:trPr>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Kontrollpunkt</w:t>
            </w:r>
          </w:p>
        </w:tc>
        <w:tc>
          <w:tcPr>
            <w:tcW w:type="dxa" w:w="500"/>
            <w:shd w:fill="0F5C6E" w:color="auto" w:val="clear"/>
            <w:tcMar>
              <w:top w:type="dxa" w:w="70"/>
              <w:left w:type="dxa" w:w="100"/>
              <w:bottom w:type="dxa" w:w="70"/>
              <w:right w:type="dxa" w:w="100"/>
            </w:tcMar>
          </w:tcPr>
          <w:p>
            <w:pPr>
              <w:spacing w:after="0"/>
            </w:pPr>
            <w:r>
              <w:rPr>
                <w:b/>
                <w:bCs/>
                <w:color w:val="FFFFFF"/>
                <w:sz w:val="18"/>
                <w:szCs w:val="18"/>
              </w:rPr>
              <w:t xml:space="preserve">Ph.</w:t>
            </w:r>
          </w:p>
        </w:tc>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Gate</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Kontrolliert durch</w:t>
            </w:r>
          </w:p>
        </w:tc>
        <w:tc>
          <w:tcPr>
            <w:tcW w:type="dxa" w:w="3700"/>
            <w:shd w:fill="0F5C6E" w:color="auto" w:val="clear"/>
            <w:tcMar>
              <w:top w:type="dxa" w:w="70"/>
              <w:left w:type="dxa" w:w="100"/>
              <w:bottom w:type="dxa" w:w="70"/>
              <w:right w:type="dxa" w:w="100"/>
            </w:tcMar>
          </w:tcPr>
          <w:p>
            <w:pPr>
              <w:spacing w:after="0"/>
            </w:pPr>
            <w:r>
              <w:rPr>
                <w:b/>
                <w:bCs/>
                <w:color w:val="FFFFFF"/>
                <w:sz w:val="18"/>
                <w:szCs w:val="18"/>
              </w:rPr>
              <w:t xml:space="preserve">Folge ohne Kontrolle</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K1</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w:t>
            </w:r>
          </w:p>
        </w:tc>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G3</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Zweite bewertende Person</w:t>
            </w:r>
          </w:p>
        </w:tc>
        <w:tc>
          <w:tcPr>
            <w:tcW w:type="dxa" w:w="3700"/>
            <w:shd w:fill="FFFFFF" w:color="auto" w:val="clear"/>
            <w:tcMar>
              <w:top w:type="dxa" w:w="70"/>
              <w:left w:type="dxa" w:w="100"/>
              <w:bottom w:type="dxa" w:w="70"/>
              <w:right w:type="dxa" w:w="100"/>
            </w:tcMar>
          </w:tcPr>
          <w:p>
            <w:pPr>
              <w:spacing w:after="0"/>
            </w:pPr>
            <w:r>
              <w:rPr>
                <w:b w:val="false"/>
                <w:bCs w:val="false"/>
                <w:color w:val="1A1A1A"/>
                <w:sz w:val="18"/>
                <w:szCs w:val="18"/>
              </w:rPr>
              <w:t xml:space="preserve">Ohne Vermerk wird der Bericht nicht an den Eigentümer abgegeben.</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K2</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Veröffentlichung</w:t>
            </w:r>
          </w:p>
        </w:tc>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G4</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Zweite Person im Team</w:t>
            </w:r>
          </w:p>
        </w:tc>
        <w:tc>
          <w:tcPr>
            <w:tcW w:type="dxa" w:w="3700"/>
            <w:shd w:fill="F7F9F9" w:color="auto" w:val="clear"/>
            <w:tcMar>
              <w:top w:type="dxa" w:w="70"/>
              <w:left w:type="dxa" w:w="100"/>
              <w:bottom w:type="dxa" w:w="70"/>
              <w:right w:type="dxa" w:w="100"/>
            </w:tcMar>
          </w:tcPr>
          <w:p>
            <w:pPr>
              <w:spacing w:after="0"/>
            </w:pPr>
            <w:r>
              <w:rPr>
                <w:b w:val="false"/>
                <w:bCs w:val="false"/>
                <w:color w:val="1A1A1A"/>
                <w:sz w:val="18"/>
                <w:szCs w:val="18"/>
              </w:rPr>
              <w:t xml:space="preserve">Ohne Abzeichnung keine Veröffentlichung.</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K3</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Preisänderung</w:t>
            </w:r>
          </w:p>
        </w:tc>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w:t>
            </w:r>
          </w:p>
        </w:tc>
        <w:tc>
          <w:tcPr>
            <w:tcW w:type="dxa" w:w="37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Preisänderungsvorlage geht ohne Abzeichnung an den Eigentümer.</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K4</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Versand sensibler Unterlagen</w:t>
            </w:r>
          </w:p>
        </w:tc>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Zweite Person bei Sammelversand</w:t>
            </w:r>
          </w:p>
        </w:tc>
        <w:tc>
          <w:tcPr>
            <w:tcW w:type="dxa" w:w="3700"/>
            <w:shd w:fill="F7F9F9" w:color="auto" w:val="clear"/>
            <w:tcMar>
              <w:top w:type="dxa" w:w="70"/>
              <w:left w:type="dxa" w:w="100"/>
              <w:bottom w:type="dxa" w:w="70"/>
              <w:right w:type="dxa" w:w="100"/>
            </w:tcMar>
          </w:tcPr>
          <w:p>
            <w:pPr>
              <w:spacing w:after="0"/>
            </w:pPr>
            <w:r>
              <w:rPr>
                <w:b w:val="false"/>
                <w:bCs w:val="false"/>
                <w:color w:val="1A1A1A"/>
                <w:sz w:val="18"/>
                <w:szCs w:val="18"/>
              </w:rPr>
              <w:t xml:space="preserve">Fehlversand ist Störfall T16 und wird gemeldet.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K5</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Annahme und Weiterleitung eines Angebots</w:t>
            </w:r>
          </w:p>
        </w:tc>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G6</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w:t>
            </w:r>
          </w:p>
        </w:tc>
        <w:tc>
          <w:tcPr>
            <w:tcW w:type="dxa" w:w="3700"/>
            <w:shd w:fill="FFFFFF" w:color="auto" w:val="clear"/>
            <w:tcMar>
              <w:top w:type="dxa" w:w="70"/>
              <w:left w:type="dxa" w:w="100"/>
              <w:bottom w:type="dxa" w:w="70"/>
              <w:right w:type="dxa" w:w="100"/>
            </w:tcMar>
          </w:tcPr>
          <w:p>
            <w:pPr>
              <w:spacing w:after="0"/>
            </w:pPr>
            <w:r>
              <w:rPr>
                <w:b w:val="false"/>
                <w:bCs w:val="false"/>
                <w:color w:val="1A1A1A"/>
                <w:sz w:val="18"/>
                <w:szCs w:val="18"/>
              </w:rPr>
              <w:t xml:space="preserve">Ohne Abzeichnung wird das Angebot nicht dem Eigentümer vorgelegt.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K6</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Wesentliche Verhandlung</w:t>
            </w:r>
          </w:p>
        </w:tc>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G7</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vor der Runde</w:t>
            </w:r>
          </w:p>
        </w:tc>
        <w:tc>
          <w:tcPr>
            <w:tcW w:type="dxa" w:w="3700"/>
            <w:shd w:fill="F7F9F9" w:color="auto" w:val="clear"/>
            <w:tcMar>
              <w:top w:type="dxa" w:w="70"/>
              <w:left w:type="dxa" w:w="100"/>
              <w:bottom w:type="dxa" w:w="70"/>
              <w:right w:type="dxa" w:w="100"/>
            </w:tcMar>
          </w:tcPr>
          <w:p>
            <w:pPr>
              <w:spacing w:after="0"/>
            </w:pPr>
            <w:r>
              <w:rPr>
                <w:b w:val="false"/>
                <w:bCs w:val="false"/>
                <w:color w:val="1A1A1A"/>
                <w:sz w:val="18"/>
                <w:szCs w:val="18"/>
              </w:rPr>
              <w:t xml:space="preserve">Ohne gedeckten Auftrag findet die Runde nicht statt.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K7</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Vertragsunterlagen</w:t>
            </w:r>
          </w:p>
        </w:tc>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18</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G9</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Rechtsberatung bei Sonderfällen</w:t>
            </w:r>
          </w:p>
        </w:tc>
        <w:tc>
          <w:tcPr>
            <w:tcW w:type="dxa" w:w="37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Offene gemeldete Abweichung verhindert Gate 9.</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K8</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Notariatsfreigabe</w:t>
            </w:r>
          </w:p>
        </w:tc>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17</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G8</w:t>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Vollständigkeitsbestätigung durch das …</w:t>
            </w:r>
          </w:p>
        </w:tc>
        <w:tc>
          <w:tcPr>
            <w:tcW w:type="dxa" w:w="3700"/>
            <w:shd w:fill="F7F9F9" w:color="auto" w:val="clear"/>
            <w:tcMar>
              <w:top w:type="dxa" w:w="70"/>
              <w:left w:type="dxa" w:w="100"/>
              <w:bottom w:type="dxa" w:w="70"/>
              <w:right w:type="dxa" w:w="100"/>
            </w:tcMar>
          </w:tcPr>
          <w:p>
            <w:pPr>
              <w:spacing w:after="0"/>
            </w:pPr>
            <w:r>
              <w:rPr>
                <w:b w:val="false"/>
                <w:bCs w:val="false"/>
                <w:color w:val="1A1A1A"/>
                <w:sz w:val="18"/>
                <w:szCs w:val="18"/>
              </w:rPr>
              <w:t xml:space="preserve">Ohne Bestätigung des Notariats wird kein Beurkundungstermin kommuniziert.</w:t>
            </w:r>
          </w:p>
        </w:tc>
      </w:tr>
      <w:tr>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K9</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w:t>
            </w:r>
          </w:p>
        </w:tc>
        <w:tc>
          <w:tcPr>
            <w:tcW w:type="dxa" w:w="500"/>
            <w:shd w:fill="FFFFFF"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G10</w:t>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prüft die Nachweise vor dem Termin</w:t>
            </w:r>
          </w:p>
        </w:tc>
        <w:tc>
          <w:tcPr>
            <w:tcW w:type="dxa" w:w="3700"/>
            <w:shd w:fill="FFFFFF" w:color="auto" w:val="clear"/>
            <w:tcMar>
              <w:top w:type="dxa" w:w="70"/>
              <w:left w:type="dxa" w:w="100"/>
              <w:bottom w:type="dxa" w:w="70"/>
              <w:right w:type="dxa" w:w="100"/>
            </w:tcMar>
          </w:tcPr>
          <w:p>
            <w:pPr>
              <w:spacing w:after="0"/>
            </w:pPr>
            <w:r>
              <w:rPr>
                <w:b w:val="false"/>
                <w:bCs w:val="false"/>
                <w:color w:val="1A1A1A"/>
                <w:sz w:val="18"/>
                <w:szCs w:val="18"/>
              </w:rPr>
              <w:t xml:space="preserve">Ohne bestätigte Eintragung findet keine Übergabe statt.</w:t>
            </w:r>
          </w:p>
        </w:tc>
      </w:tr>
      <w:tr>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K10</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Mandatsabschluss und Archivierung</w:t>
            </w:r>
          </w:p>
        </w:tc>
        <w:tc>
          <w:tcPr>
            <w:tcW w:type="dxa" w:w="500"/>
            <w:shd w:fill="F7F9F9" w:color="auto" w:val="clear"/>
            <w:tcMar>
              <w:top w:type="dxa" w:w="70"/>
              <w:left w:type="dxa" w:w="100"/>
              <w:bottom w:type="dxa" w:w="70"/>
              <w:right w:type="dxa" w:w="100"/>
            </w:tcMar>
          </w:tcPr>
          <w:p>
            <w:pPr>
              <w:spacing w:after="0"/>
            </w:pPr>
            <w:r>
              <w:rPr>
                <w:b w:val="false"/>
                <w:bCs w:val="false"/>
                <w:color w:val="1A1A1A"/>
                <w:sz w:val="18"/>
                <w:szCs w:val="18"/>
              </w:rPr>
              <w:t xml:space="preserve">20</w:t>
            </w:r>
          </w:p>
        </w:tc>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Compliance für das Compliance-Dossier</w:t>
            </w:r>
          </w:p>
        </w:tc>
        <w:tc>
          <w:tcPr>
            <w:tcW w:type="dxa" w:w="3700"/>
            <w:shd w:fill="F7F9F9" w:color="auto" w:val="clear"/>
            <w:tcMar>
              <w:top w:type="dxa" w:w="70"/>
              <w:left w:type="dxa" w:w="100"/>
              <w:bottom w:type="dxa" w:w="70"/>
              <w:right w:type="dxa" w:w="100"/>
            </w:tcMar>
          </w:tcPr>
          <w:p>
            <w:pPr>
              <w:spacing w:after="0"/>
            </w:pPr>
            <w:r>
              <w:rPr>
                <w:b w:val="false"/>
                <w:bCs w:val="false"/>
                <w:color w:val="1A1A1A"/>
                <w:sz w:val="18"/>
                <w:szCs w:val="18"/>
              </w:rPr>
              <w:t xml:space="preserve">Das Mandat gilt erst mit Abzeichnung als abgeschlossen.</w:t>
            </w:r>
          </w:p>
        </w:tc>
      </w:tr>
    </w:tbl>
    <w:p>
      <w:pPr>
        <w:pStyle w:val="Heading1"/>
        <w:pageBreakBefore/>
        <w:spacing w:after="180" w:before="0"/>
      </w:pPr>
      <w:r>
        <w:t xml:space="preserve">4 · Preissteuerung</w:t>
      </w:r>
    </w:p>
    <w:p>
      <w:pPr>
        <w:spacing w:after="120" w:before="0"/>
      </w:pPr>
      <w:r>
        <w:rPr>
          <w:color w:val="1A1A1A"/>
          <w:sz w:val="20"/>
          <w:szCs w:val="20"/>
        </w:rPr>
        <w:t xml:space="preserve">Kein Indikator wird allein interpretiert. Eine Preisreduktion ist nie die erste Massnahme und niemals eine Folge des Zeitablaufs – sie ist, was bleibt, wenn Darstellung, Zielgruppe und Kanal ausgeschlossen sind.</w:t>
      </w:r>
    </w:p>
    <w:p>
      <w:pPr>
        <w:spacing w:after="0"/>
      </w:pPr>
      <w:r>
        <w:t xml:space="preserve"/>
      </w:r>
    </w:p>
    <w:p>
      <w:pPr>
        <w:pStyle w:val="Heading2"/>
        <w:spacing w:after="120" w:before="280"/>
      </w:pPr>
      <w:r>
        <w:t xml:space="preserve">4.1 Die acht Situationen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700"/>
        <w:gridCol w:w="2500"/>
        <w:gridCol w:w="2850"/>
        <w:gridCol w:w="21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Situation</w:t>
            </w:r>
          </w:p>
        </w:tc>
        <w:tc>
          <w:tcPr>
            <w:tcW w:type="dxa" w:w="2500"/>
            <w:shd w:fill="0F5C6E" w:color="auto" w:val="clear"/>
            <w:tcMar>
              <w:top w:type="dxa" w:w="70"/>
              <w:left w:type="dxa" w:w="100"/>
              <w:bottom w:type="dxa" w:w="70"/>
              <w:right w:type="dxa" w:w="100"/>
            </w:tcMar>
          </w:tcPr>
          <w:p>
            <w:pPr>
              <w:spacing w:after="0"/>
            </w:pPr>
            <w:r>
              <w:rPr>
                <w:b/>
                <w:bCs/>
                <w:color w:val="FFFFFF"/>
                <w:sz w:val="18"/>
                <w:szCs w:val="18"/>
              </w:rPr>
              <w:t xml:space="preserve">Interpretation</w:t>
            </w:r>
          </w:p>
        </w:tc>
        <w:tc>
          <w:tcPr>
            <w:tcW w:type="dxa" w:w="2850"/>
            <w:shd w:fill="0F5C6E" w:color="auto" w:val="clear"/>
            <w:tcMar>
              <w:top w:type="dxa" w:w="70"/>
              <w:left w:type="dxa" w:w="100"/>
              <w:bottom w:type="dxa" w:w="70"/>
              <w:right w:type="dxa" w:w="100"/>
            </w:tcMar>
          </w:tcPr>
          <w:p>
            <w:pPr>
              <w:spacing w:after="0"/>
            </w:pPr>
            <w:r>
              <w:rPr>
                <w:b/>
                <w:bCs/>
                <w:color w:val="FFFFFF"/>
                <w:sz w:val="18"/>
                <w:szCs w:val="18"/>
              </w:rPr>
              <w:t xml:space="preserve">DANN</w:t>
            </w:r>
          </w:p>
        </w:tc>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NIE</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P1</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Wenige Anfragen, kaum Besichtigungen – über die gesamte …</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Das Objekt wird in der Trefferliste nicht geöffnet</w:t>
            </w:r>
          </w:p>
        </w:tc>
        <w:tc>
          <w:tcPr>
            <w:tcW w:type="dxa" w:w="2850"/>
            <w:shd w:fill="FFFFFF" w:color="auto" w:val="clear"/>
            <w:tcMar>
              <w:top w:type="dxa" w:w="70"/>
              <w:left w:type="dxa" w:w="100"/>
              <w:bottom w:type="dxa" w:w="70"/>
              <w:right w:type="dxa" w:w="100"/>
            </w:tcMar>
          </w:tcPr>
          <w:p>
            <w:pPr>
              <w:spacing w:after="0"/>
            </w:pPr>
            <w:r>
              <w:rPr>
                <w:b w:val="false"/>
                <w:bCs w:val="false"/>
                <w:color w:val="1A1A1A"/>
                <w:sz w:val="18"/>
                <w:szCs w:val="18"/>
              </w:rPr>
              <w:t xml:space="preserve">Zuerst Darstellung und Auffindbarkeit prüfen: Leitbild und Bildreihenfolge, Titel, Pflichtfelder und Suchfilter der Portale, Zimmerzahl und Flächenangaben, Kanalauswahl</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Preisreduktion, solange Darstellung und Auffindbarkeit nicht geprüft sind</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P2</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Viele Anfragen, aber kaum Besichtigungen</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Das Inserat verspricht etwas anderes als das Objekt, oder die Unterlagen klären etwas, das abschreckt: Lage, Zustand, …</w:t>
            </w:r>
          </w:p>
        </w:tc>
        <w:tc>
          <w:tcPr>
            <w:tcW w:type="dxa" w:w="2850"/>
            <w:shd w:fill="F7F9F9" w:color="auto" w:val="clear"/>
            <w:tcMar>
              <w:top w:type="dxa" w:w="70"/>
              <w:left w:type="dxa" w:w="100"/>
              <w:bottom w:type="dxa" w:w="70"/>
              <w:right w:type="dxa" w:w="100"/>
            </w:tcMar>
          </w:tcPr>
          <w:p>
            <w:pPr>
              <w:spacing w:after="0"/>
            </w:pPr>
            <w:r>
              <w:rPr>
                <w:b w:val="false"/>
                <w:bCs w:val="false"/>
                <w:color w:val="1A1A1A"/>
                <w:sz w:val="18"/>
                <w:szCs w:val="18"/>
              </w:rPr>
              <w:t xml:space="preserve">Absagegründe der Anfragenden strukturiert erheben</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Beschönigung der Unterlagen, um die Quote zu heben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P3</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Ausreichend Besichtigungen, keine Angebote</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Das Objekt überzeugt in der Besichtigung nicht zum verlangten Preis</w:t>
            </w:r>
          </w:p>
        </w:tc>
        <w:tc>
          <w:tcPr>
            <w:tcW w:type="dxa" w:w="2850"/>
            <w:shd w:fill="FFFFFF" w:color="auto" w:val="clear"/>
            <w:tcMar>
              <w:top w:type="dxa" w:w="70"/>
              <w:left w:type="dxa" w:w="100"/>
              <w:bottom w:type="dxa" w:w="70"/>
              <w:right w:type="dxa" w:w="100"/>
            </w:tcMar>
          </w:tcPr>
          <w:p>
            <w:pPr>
              <w:spacing w:after="0"/>
            </w:pPr>
            <w:r>
              <w:rPr>
                <w:b w:val="false"/>
                <w:bCs w:val="false"/>
                <w:color w:val="1A1A1A"/>
                <w:sz w:val="18"/>
                <w:szCs w:val="18"/>
              </w:rPr>
              <w:t xml:space="preserve">Absagegründe auswerten</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Sammelbesichtigungen, um Aktivität zu zeigen. Das erzeugt Zahlen ohne Substanz.</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P4</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Angebote kommen, aber deutlich unter dem Angebotspreis</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Markt hat einen Preis gebildet</w:t>
            </w:r>
          </w:p>
        </w:tc>
        <w:tc>
          <w:tcPr>
            <w:tcW w:type="dxa" w:w="2850"/>
            <w:shd w:fill="F7F9F9" w:color="auto" w:val="clear"/>
            <w:tcMar>
              <w:top w:type="dxa" w:w="70"/>
              <w:left w:type="dxa" w:w="100"/>
              <w:bottom w:type="dxa" w:w="70"/>
              <w:right w:type="dxa" w:w="100"/>
            </w:tcMar>
          </w:tcPr>
          <w:p>
            <w:pPr>
              <w:spacing w:after="0"/>
            </w:pPr>
            <w:r>
              <w:rPr>
                <w:b w:val="false"/>
                <w:bCs w:val="false"/>
                <w:color w:val="1A1A1A"/>
                <w:sz w:val="18"/>
                <w:szCs w:val="18"/>
              </w:rPr>
              <w:t xml:space="preserve">Dem Eigentümer das Band, die Finanzierungssicherheit und den Nettoerlös je Angebot vorlegen</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Angebote nicht vorenthalten, weil sie zu tief erscheinen. Jedes Angebot wird vorgelegt.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P5</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Mehrere Angebote gleichzeitig, teilweise über dem …</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Angebotspreis lag unter der Absetzbarkeit, oder die Nachfrage im Segment ist angespannt.</w:t>
            </w:r>
          </w:p>
        </w:tc>
        <w:tc>
          <w:tcPr>
            <w:tcW w:type="dxa" w:w="2850"/>
            <w:shd w:fill="FFFFFF" w:color="auto" w:val="clear"/>
            <w:tcMar>
              <w:top w:type="dxa" w:w="70"/>
              <w:left w:type="dxa" w:w="100"/>
              <w:bottom w:type="dxa" w:w="70"/>
              <w:right w:type="dxa" w:w="100"/>
            </w:tcMar>
          </w:tcPr>
          <w:p>
            <w:pPr>
              <w:spacing w:after="0"/>
            </w:pPr>
            <w:r>
              <w:rPr>
                <w:b w:val="false"/>
                <w:bCs w:val="false"/>
                <w:color w:val="1A1A1A"/>
                <w:sz w:val="18"/>
                <w:szCs w:val="18"/>
              </w:rPr>
              <w:t xml:space="preserve">Transparentes Verfahren mit gleicher Information und gleicher Frist für alle festlegen, vom Eigentümer beschliessen lassen und schriftlich kommunizieren</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Auktionsmechanik ohne vorherige Offenlegung gegenüber allen Beteiligten</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P6</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 Angebot, aber mit unsicherer Finanzierung</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 Angebot ohne belegte Finanzierung ist kein Angebot, sondern eine Absicht</w:t>
            </w:r>
          </w:p>
        </w:tc>
        <w:tc>
          <w:tcPr>
            <w:tcW w:type="dxa" w:w="285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Objektbezogene Bankbestätigung mit Frist verlangen. Vermarktung bis dahin nicht zurückstellen und Zweitinteressenten nicht absagen.</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Reservation und keine Rückstellung der Vermarktung auf eine Selbstauskunft hin.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P7</w:t>
            </w:r>
          </w:p>
        </w:tc>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Nachfrage bricht nach einer Preisreduktion nicht an</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Preis war nicht die bindende Ursache, oder die Reduktion war zu klein, um eine andere Suchfilterstufe zu erreichen.</w:t>
            </w:r>
          </w:p>
        </w:tc>
        <w:tc>
          <w:tcPr>
            <w:tcW w:type="dxa" w:w="285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zweite Reduktion in kurzem Abstand</w:t>
            </w:r>
          </w:p>
        </w:tc>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Reduktionskette in kurzen Abständen</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P8</w:t>
            </w:r>
          </w:p>
        </w:tc>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Marktumfeld verändert sich während der Vermarktung</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Grundlage der Preisstrategie hat sich geändert, unabhängig vom Objekt.</w:t>
            </w:r>
          </w:p>
        </w:tc>
        <w:tc>
          <w:tcPr>
            <w:tcW w:type="dxa" w:w="285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Marktanalyse aktualisieren und dem Eigentümer als eigenen Punkt vorlegen – getrennt von objektbezogenen Ursachen.</w:t>
            </w:r>
          </w:p>
        </w:tc>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Marktveränderung nicht als Begründung für eine Reduktion verwenden, ohne sie mit Zahlen zu belegen</w:t>
            </w:r>
          </w:p>
        </w:tc>
      </w:tr>
    </w:tbl>
    <w:p>
      <w:pPr>
        <w:spacing w:after="0"/>
      </w:pPr>
      <w:r>
        <w:t xml:space="preserve"/>
      </w:r>
    </w:p>
    <w:p>
      <w:pPr>
        <w:pStyle w:val="Heading2"/>
        <w:spacing w:after="120" w:before="280"/>
      </w:pPr>
      <w:r>
        <w:t xml:space="preserve">4.2 Ablauf einer Preisänderung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2150"/>
        <w:gridCol w:w="70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15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7000"/>
            <w:shd w:fill="0F5C6E" w:color="auto" w:val="clear"/>
            <w:tcMar>
              <w:top w:type="dxa" w:w="70"/>
              <w:left w:type="dxa" w:w="100"/>
              <w:bottom w:type="dxa" w:w="70"/>
              <w:right w:type="dxa" w:w="100"/>
            </w:tcMar>
          </w:tcPr>
          <w:p>
            <w:pPr>
              <w:spacing w:after="0"/>
            </w:pPr>
            <w:r>
              <w:rPr>
                <w:b/>
                <w:bCs/>
                <w:color w:val="FFFFFF"/>
                <w:sz w:val="18"/>
                <w:szCs w:val="18"/>
              </w:rPr>
              <w:t xml:space="preserve">Inhalt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2150"/>
            <w:shd w:fill="FFFFFF" w:color="auto" w:val="clear"/>
            <w:tcMar>
              <w:top w:type="dxa" w:w="70"/>
              <w:left w:type="dxa" w:w="100"/>
              <w:bottom w:type="dxa" w:w="70"/>
              <w:right w:type="dxa" w:w="100"/>
            </w:tcMar>
          </w:tcPr>
          <w:p>
            <w:pPr>
              <w:spacing w:after="0"/>
            </w:pPr>
            <w:r>
              <w:rPr>
                <w:b w:val="false"/>
                <w:bCs w:val="false"/>
                <w:color w:val="1A1A1A"/>
                <w:sz w:val="18"/>
                <w:szCs w:val="18"/>
              </w:rPr>
              <w:t xml:space="preserve">Indikatoren erheben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Vollständiger Indikatorensatz seit Marktstart, aus dem Controlling. Keine Auswahl einzelner Zahlen.</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2150"/>
            <w:shd w:fill="F7F9F9" w:color="auto" w:val="clear"/>
            <w:tcMar>
              <w:top w:type="dxa" w:w="70"/>
              <w:left w:type="dxa" w:w="100"/>
              <w:bottom w:type="dxa" w:w="70"/>
              <w:right w:type="dxa" w:w="100"/>
            </w:tcMar>
          </w:tcPr>
          <w:p>
            <w:pPr>
              <w:spacing w:after="0"/>
            </w:pPr>
            <w:r>
              <w:rPr>
                <w:b w:val="false"/>
                <w:bCs w:val="false"/>
                <w:color w:val="1A1A1A"/>
                <w:sz w:val="18"/>
                <w:szCs w:val="18"/>
              </w:rPr>
              <w:t xml:space="preserve">Ursachen analysieren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vier Ursachenfelder einzeln prüfen und ausschliessen: Preispositionierung, Darstellung, Zielgruppe und Kanal, Objektanforderungen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215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Handlungsmöglichkeiten darstellen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Je Möglichkeit die erwartete Wirkung, der Aufwand und das Risiko. Mindestens eine Möglichkeit ohne Preisänderung.</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2150"/>
            <w:shd w:fill="F7F9F9" w:color="auto" w:val="clear"/>
            <w:tcMar>
              <w:top w:type="dxa" w:w="70"/>
              <w:left w:type="dxa" w:w="100"/>
              <w:bottom w:type="dxa" w:w="70"/>
              <w:right w:type="dxa" w:w="100"/>
            </w:tcMar>
          </w:tcPr>
          <w:p>
            <w:pPr>
              <w:spacing w:after="0"/>
            </w:pPr>
            <w:r>
              <w:rPr>
                <w:b w:val="false"/>
                <w:bCs w:val="false"/>
                <w:color w:val="1A1A1A"/>
                <w:sz w:val="18"/>
                <w:szCs w:val="18"/>
              </w:rPr>
              <w:t xml:space="preserve">Nettoerlös rechnen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Je Variante der Nettoerlös mit identischen Annahmen. Bei einer Reduktion auch die Alternative «unverändert weiter» mit Zeitkosten.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2150"/>
            <w:shd w:fill="FFFFFF" w:color="auto" w:val="clear"/>
            <w:tcMar>
              <w:top w:type="dxa" w:w="70"/>
              <w:left w:type="dxa" w:w="100"/>
              <w:bottom w:type="dxa" w:w="70"/>
              <w:right w:type="dxa" w:w="100"/>
            </w:tcMar>
          </w:tcPr>
          <w:p>
            <w:pPr>
              <w:spacing w:after="0"/>
            </w:pPr>
            <w:r>
              <w:rPr>
                <w:b w:val="false"/>
                <w:bCs w:val="false"/>
                <w:color w:val="1A1A1A"/>
                <w:sz w:val="18"/>
                <w:szCs w:val="18"/>
              </w:rPr>
              <w:t xml:space="preserve">Vier-Augen-Prüfung</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prüft Analyse und Vorlage, bevor sie zum Eigentümer geht (Kontrollpunkt K3).</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215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Eigentümerentscheid einholen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Schriftlich, mit neuem Preis, Wirkungsdatum und Kenntnisnahme der Konsequenzen. Ohne Entscheid keine Änderung.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7</w:t>
            </w:r>
          </w:p>
        </w:tc>
        <w:tc>
          <w:tcPr>
            <w:tcW w:type="dxa" w:w="2150"/>
            <w:shd w:fill="FFFFFF" w:color="auto" w:val="clear"/>
            <w:tcMar>
              <w:top w:type="dxa" w:w="70"/>
              <w:left w:type="dxa" w:w="100"/>
              <w:bottom w:type="dxa" w:w="70"/>
              <w:right w:type="dxa" w:w="100"/>
            </w:tcMar>
          </w:tcPr>
          <w:p>
            <w:pPr>
              <w:spacing w:after="0"/>
            </w:pPr>
            <w:r>
              <w:rPr>
                <w:b w:val="false"/>
                <w:bCs w:val="false"/>
                <w:color w:val="1A1A1A"/>
                <w:sz w:val="18"/>
                <w:szCs w:val="18"/>
              </w:rPr>
              <w:t xml:space="preserve">Umsetzen</w:t>
            </w:r>
          </w:p>
        </w:tc>
        <w:tc>
          <w:tcPr>
            <w:tcW w:type="dxa" w:w="70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Kanäle gleichzeitig ändern, Preisstufe der Suchfilter beachten, Kontrollausdrucke erstellen.</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8</w:t>
            </w:r>
          </w:p>
        </w:tc>
        <w:tc>
          <w:tcPr>
            <w:tcW w:type="dxa" w:w="2150"/>
            <w:shd w:fill="F7F9F9" w:color="auto" w:val="clear"/>
            <w:tcMar>
              <w:top w:type="dxa" w:w="70"/>
              <w:left w:type="dxa" w:w="100"/>
              <w:bottom w:type="dxa" w:w="70"/>
              <w:right w:type="dxa" w:w="100"/>
            </w:tcMar>
          </w:tcPr>
          <w:p>
            <w:pPr>
              <w:spacing w:after="0"/>
            </w:pPr>
            <w:r>
              <w:rPr>
                <w:b w:val="false"/>
                <w:bCs w:val="false"/>
                <w:color w:val="1A1A1A"/>
                <w:sz w:val="18"/>
                <w:szCs w:val="18"/>
              </w:rPr>
              <w:t xml:space="preserve">Dokumentieren und messen</w:t>
            </w:r>
          </w:p>
        </w:tc>
        <w:tc>
          <w:tcPr>
            <w:tcW w:type="dxa" w:w="7000"/>
            <w:shd w:fill="F7F9F9" w:color="auto" w:val="clear"/>
            <w:tcMar>
              <w:top w:type="dxa" w:w="70"/>
              <w:left w:type="dxa" w:w="100"/>
              <w:bottom w:type="dxa" w:w="70"/>
              <w:right w:type="dxa" w:w="100"/>
            </w:tcMar>
          </w:tcPr>
          <w:p>
            <w:pPr>
              <w:spacing w:after="0"/>
            </w:pPr>
            <w:r>
              <w:rPr>
                <w:b w:val="false"/>
                <w:bCs w:val="false"/>
                <w:color w:val="1A1A1A"/>
                <w:sz w:val="18"/>
                <w:szCs w:val="18"/>
              </w:rPr>
              <w:t xml:space="preserve">Änderung mit Datum, Höhe, Begründung und Entscheidträger im Controlling erfassen</w:t>
            </w:r>
          </w:p>
        </w:tc>
      </w:tr>
    </w:tbl>
    <w:p>
      <w:pPr>
        <w:pStyle w:val="Heading2"/>
        <w:spacing w:after="120" w:before="280"/>
      </w:pPr>
      <w:r>
        <w:t xml:space="preserve">4.3 Die sechs Preisbegriffe</w:t>
      </w:r>
    </w:p>
    <w:p>
      <w:pPr>
        <w:spacing w:after="120" w:before="0"/>
      </w:pPr>
      <w:r>
        <w:rPr>
          <w:color w:val="1A1A1A"/>
          <w:sz w:val="20"/>
          <w:szCs w:val="20"/>
        </w:rPr>
        <w:t xml:space="preserve">Nach aussen geht ausschliesslich der strategische Angebotspreis.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5500"/>
        <w:gridCol w:w="19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Begriff</w:t>
            </w:r>
          </w:p>
        </w:tc>
        <w:tc>
          <w:tcPr>
            <w:tcW w:type="dxa" w:w="5500"/>
            <w:shd w:fill="0F5C6E" w:color="auto" w:val="clear"/>
            <w:tcMar>
              <w:top w:type="dxa" w:w="70"/>
              <w:left w:type="dxa" w:w="100"/>
              <w:bottom w:type="dxa" w:w="70"/>
              <w:right w:type="dxa" w:w="100"/>
            </w:tcMar>
          </w:tcPr>
          <w:p>
            <w:pPr>
              <w:spacing w:after="0"/>
            </w:pPr>
            <w:r>
              <w:rPr>
                <w:b/>
                <w:bCs/>
                <w:color w:val="FFFFFF"/>
                <w:sz w:val="18"/>
                <w:szCs w:val="18"/>
              </w:rPr>
              <w:t xml:space="preserve">Kurz</w:t>
            </w:r>
          </w:p>
        </w:tc>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Wer bestimmt</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Marktwert</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Wert, der bei einem Verkauf unter normalen Bedingungen zwischen unabhängigen Parteien mit üblicher Vermarktungsdauer am wahrscheinlichsten erzielt wird</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bzw. Bewertung, im Vier-Augen-Prinzip</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Realistischer Vermarktungspreis</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Spanne, in der das Objekt im aktuellen Marktumfeld tatsächlich absetzbar ist.</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mit Marktanalyse</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Strategischer Angebotspreis</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Preis, mit dem das Objekt veröffentlicht wird.</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entscheidet, Makler empfiehlt und …</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Zielpreis</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Preis, den die Verkäuferschaft im Verhandlungsergebnis anstrebt.</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Erwartbarer Transaktionspreis</w:t>
            </w:r>
          </w:p>
        </w:tc>
        <w:tc>
          <w:tcPr>
            <w:tcW w:type="dxa" w:w="55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Preis, mit dem nach aktuellem Verhandlungsstand und Angebotslage zu rechnen ist.</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laufend aktualisiert im Eigentümerreport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Mindestpreis / Eigentümergrenze</w:t>
            </w:r>
          </w:p>
        </w:tc>
        <w:tc>
          <w:tcPr>
            <w:tcW w:type="dxa" w:w="55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Betrag, unter dem die Verkäuferschaft nicht verkauft.</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w:t>
            </w:r>
          </w:p>
        </w:tc>
      </w:tr>
    </w:tbl>
    <w:p>
      <w:pPr>
        <w:pStyle w:val="Heading1"/>
        <w:pageBreakBefore/>
        <w:spacing w:after="180" w:before="0"/>
      </w:pPr>
      <w:r>
        <w:t xml:space="preserve">5 · GwG-Triage</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Quellenvorbehalt: beruht auf Fachpublikationen, nicht auf dem Verordnungstext. Die grundsätzliche Unterstellungsfrage klären Rechtsabteilung und SRO einmal und hinterlegen sie als Weisung. Bis dahin gilt vorsorglich Pfad B mit Dokumentationspflicht.</w:t>
            </w:r>
          </w:p>
          <w:p>
            <w:pPr>
              <w:spacing w:after="50"/>
            </w:pPr>
            <w:r>
              <w:rPr>
                <w:sz w:val="19"/>
                <w:szCs w:val="19"/>
              </w:rPr>
              <w:t xml:space="preserve">Abschluss der Triage bei der Käuferqualifikation (Phase 15), nicht bei der Mandatsannahme – die maassgebliche Ausnahme knüpft an die Nutzungsabsicht der Käuferschaft an.</w:t>
            </w:r>
          </w:p>
        </w:tc>
      </w:tr>
    </w:tbl>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550"/>
        <w:gridCol w:w="2750"/>
        <w:gridCol w:w="2800"/>
        <w:gridCol w:w="3500"/>
      </w:tblGrid>
      <w:tr>
        <w:trPr>
          <w:tblHeader/>
        </w:trPr>
        <w:tc>
          <w:tcPr>
            <w:tcW w:type="dxa" w:w="55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2750"/>
            <w:shd w:fill="0F5C6E" w:color="auto" w:val="clear"/>
            <w:tcMar>
              <w:top w:type="dxa" w:w="70"/>
              <w:left w:type="dxa" w:w="100"/>
              <w:bottom w:type="dxa" w:w="70"/>
              <w:right w:type="dxa" w:w="100"/>
            </w:tcMar>
          </w:tcPr>
          <w:p>
            <w:pPr>
              <w:spacing w:after="0"/>
            </w:pPr>
            <w:r>
              <w:rPr>
                <w:b/>
                <w:bCs/>
                <w:color w:val="FFFFFF"/>
                <w:sz w:val="18"/>
                <w:szCs w:val="18"/>
              </w:rPr>
              <w:t xml:space="preserve">Frage</w:t>
            </w:r>
          </w:p>
        </w:tc>
        <w:tc>
          <w:tcPr>
            <w:tcW w:type="dxa" w:w="2800"/>
            <w:shd w:fill="0F5C6E" w:color="auto" w:val="clear"/>
            <w:tcMar>
              <w:top w:type="dxa" w:w="70"/>
              <w:left w:type="dxa" w:w="100"/>
              <w:bottom w:type="dxa" w:w="70"/>
              <w:right w:type="dxa" w:w="100"/>
            </w:tcMar>
          </w:tcPr>
          <w:p>
            <w:pPr>
              <w:spacing w:after="0"/>
            </w:pPr>
            <w:r>
              <w:rPr>
                <w:b/>
                <w:bCs/>
                <w:color w:val="FFFFFF"/>
                <w:sz w:val="18"/>
                <w:szCs w:val="18"/>
              </w:rPr>
              <w:t xml:space="preserve">JA</w:t>
            </w:r>
          </w:p>
        </w:tc>
        <w:tc>
          <w:tcPr>
            <w:tcW w:type="dxa" w:w="3500"/>
            <w:shd w:fill="0F5C6E" w:color="auto" w:val="clear"/>
            <w:tcMar>
              <w:top w:type="dxa" w:w="70"/>
              <w:left w:type="dxa" w:w="100"/>
              <w:bottom w:type="dxa" w:w="70"/>
              <w:right w:type="dxa" w:w="100"/>
            </w:tcMar>
          </w:tcPr>
          <w:p>
            <w:pPr>
              <w:spacing w:after="0"/>
            </w:pPr>
            <w:r>
              <w:rPr>
                <w:b/>
                <w:bCs/>
                <w:color w:val="FFFFFF"/>
                <w:sz w:val="18"/>
                <w:szCs w:val="18"/>
              </w:rPr>
              <w:t xml:space="preserve">NEIN</w:t>
            </w:r>
          </w:p>
        </w:tc>
      </w:tr>
      <w:tr>
        <w:tc>
          <w:tcPr>
            <w:tcW w:type="dxa" w:w="55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2750"/>
            <w:shd w:fill="FFFFFF" w:color="auto" w:val="clear"/>
            <w:tcMar>
              <w:top w:type="dxa" w:w="70"/>
              <w:left w:type="dxa" w:w="100"/>
              <w:bottom w:type="dxa" w:w="70"/>
              <w:right w:type="dxa" w:w="100"/>
            </w:tcMar>
          </w:tcPr>
          <w:p>
            <w:pPr>
              <w:spacing w:after="0"/>
            </w:pPr>
            <w:r>
              <w:rPr>
                <w:b w:val="false"/>
                <w:bCs w:val="false"/>
                <w:color w:val="1A1A1A"/>
                <w:sz w:val="18"/>
                <w:szCs w:val="18"/>
              </w:rPr>
              <w:t xml:space="preserve">Hat das Unternehmen die Unterstellungsfrage grundsätzlich geklärt und als Weisung hinterlegt?</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Weiter mit Schritt 2 nach der internen Weisung.</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STOP für die Compliance-Beurteilung, nicht für das Mandat</w:t>
            </w:r>
          </w:p>
        </w:tc>
      </w:tr>
      <w:tr>
        <w:tc>
          <w:tcPr>
            <w:tcW w:type="dxa" w:w="55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2750"/>
            <w:shd w:fill="F7F9F9" w:color="auto" w:val="clear"/>
            <w:tcMar>
              <w:top w:type="dxa" w:w="70"/>
              <w:left w:type="dxa" w:w="100"/>
              <w:bottom w:type="dxa" w:w="70"/>
              <w:right w:type="dxa" w:w="100"/>
            </w:tcMar>
          </w:tcPr>
          <w:p>
            <w:pPr>
              <w:spacing w:after="0"/>
            </w:pPr>
            <w:r>
              <w:rPr>
                <w:b w:val="false"/>
                <w:bCs w:val="false"/>
                <w:color w:val="1A1A1A"/>
                <w:sz w:val="18"/>
                <w:szCs w:val="18"/>
              </w:rPr>
              <w:t xml:space="preserve">Ist das Geschäft ein Share Deal, also Übertragung von Anteilen an einer Immobiliengesellschaft?</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Pfad A: vollständige Sorgfaltspflichten annehmen</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Weiter mit Schritt 3.</w:t>
            </w:r>
          </w:p>
        </w:tc>
      </w:tr>
      <w:tr>
        <w:tc>
          <w:tcPr>
            <w:tcW w:type="dxa" w:w="55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2750"/>
            <w:shd w:fill="FFFFFF" w:color="auto" w:val="clear"/>
            <w:tcMar>
              <w:top w:type="dxa" w:w="70"/>
              <w:left w:type="dxa" w:w="100"/>
              <w:bottom w:type="dxa" w:w="70"/>
              <w:right w:type="dxa" w:w="100"/>
            </w:tcMar>
          </w:tcPr>
          <w:p>
            <w:pPr>
              <w:spacing w:after="0"/>
            </w:pPr>
            <w:r>
              <w:rPr>
                <w:b w:val="false"/>
                <w:bCs w:val="false"/>
                <w:color w:val="1A1A1A"/>
                <w:sz w:val="18"/>
                <w:szCs w:val="18"/>
              </w:rPr>
              <w:t xml:space="preserve">Ist die Verkäuferschaft oder die Käuferschaft eine juristische Person, eine Personengesellschaft, ein Trust oder eine Struktur mit …</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Pfad A. Zusätzlich TJPG-Bezug prüfen (Abschnitt C3).</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Weiter mit Schritt 4.</w:t>
            </w:r>
          </w:p>
        </w:tc>
      </w:tr>
      <w:tr>
        <w:tc>
          <w:tcPr>
            <w:tcW w:type="dxa" w:w="55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2750"/>
            <w:shd w:fill="F7F9F9" w:color="auto" w:val="clear"/>
            <w:tcMar>
              <w:top w:type="dxa" w:w="70"/>
              <w:left w:type="dxa" w:w="100"/>
              <w:bottom w:type="dxa" w:w="70"/>
              <w:right w:type="dxa" w:w="100"/>
            </w:tcMar>
          </w:tcPr>
          <w:p>
            <w:pPr>
              <w:spacing w:after="0"/>
            </w:pPr>
            <w:r>
              <w:rPr>
                <w:b w:val="false"/>
                <w:bCs w:val="false"/>
                <w:color w:val="1A1A1A"/>
                <w:sz w:val="18"/>
                <w:szCs w:val="18"/>
              </w:rPr>
              <w:t xml:space="preserve">Erwirbt die Käuferschaft die Liegenschaft zur eigenen Wohnnutzung in der Schweiz – oder als Ersatzliegenschaft im Sinne von Art</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Ausnahme X1 bzw. X2 kommt in Betracht. Nutzung im Käuferprofil dokumentieren und durch die Käuferschaft schriftlich …</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Erwerb zu Anlage-, Vermietungs- oder gewerblichen Zwecken: Ausnahme X1 greift nicht. Weiter mit Schritt 5.</w:t>
            </w:r>
          </w:p>
        </w:tc>
      </w:tr>
      <w:tr>
        <w:tc>
          <w:tcPr>
            <w:tcW w:type="dxa" w:w="55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2750"/>
            <w:shd w:fill="FFFFFF" w:color="auto" w:val="clear"/>
            <w:tcMar>
              <w:top w:type="dxa" w:w="70"/>
              <w:left w:type="dxa" w:w="100"/>
              <w:bottom w:type="dxa" w:w="70"/>
              <w:right w:type="dxa" w:w="100"/>
            </w:tcMar>
          </w:tcPr>
          <w:p>
            <w:pPr>
              <w:spacing w:after="0"/>
            </w:pPr>
            <w:r>
              <w:rPr>
                <w:b w:val="false"/>
                <w:bCs w:val="false"/>
                <w:color w:val="1A1A1A"/>
                <w:sz w:val="18"/>
                <w:szCs w:val="18"/>
              </w:rPr>
              <w:t xml:space="preserve">Liegt der Transaktionswert unter CHF 5 Mio</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Ausnahme X3 kommt in Betracht. Zahlungsweg im Dossier belegen. Danach Pfad B.</w:t>
            </w:r>
          </w:p>
        </w:tc>
        <w:tc>
          <w:tcPr>
            <w:tcW w:type="dxa" w:w="3500"/>
            <w:shd w:fill="FFFFFF" w:color="auto" w:val="clear"/>
            <w:tcMar>
              <w:top w:type="dxa" w:w="70"/>
              <w:left w:type="dxa" w:w="100"/>
              <w:bottom w:type="dxa" w:w="70"/>
              <w:right w:type="dxa" w:w="100"/>
            </w:tcMar>
          </w:tcPr>
          <w:p>
            <w:pPr>
              <w:spacing w:after="0"/>
            </w:pPr>
            <w:r>
              <w:rPr>
                <w:b w:val="false"/>
                <w:bCs w:val="false"/>
                <w:color w:val="1A1A1A"/>
                <w:sz w:val="18"/>
                <w:szCs w:val="18"/>
              </w:rPr>
              <w:t xml:space="preserve">Pfad A: vollständige Sorgfaltspflichten annehmen, Compliance beiziehen.</w:t>
            </w:r>
          </w:p>
        </w:tc>
      </w:tr>
      <w:tr>
        <w:tc>
          <w:tcPr>
            <w:tcW w:type="dxa" w:w="550"/>
            <w:shd w:fill="F7F9F9" w:color="auto" w:val="clear"/>
            <w:tcMar>
              <w:top w:type="dxa" w:w="70"/>
              <w:left w:type="dxa" w:w="100"/>
              <w:bottom w:type="dxa" w:w="70"/>
              <w:right w:type="dxa" w:w="100"/>
            </w:tcMar>
          </w:tcPr>
          <w:p>
            <w:pPr>
              <w:spacing w:after="0"/>
            </w:pPr>
            <w:r>
              <w:rPr>
                <w:b w:val="false"/>
                <w:bCs w:val="false"/>
                <w:color w:val="1A1A1A"/>
                <w:sz w:val="18"/>
                <w:szCs w:val="18"/>
              </w:rPr>
              <w:t xml:space="preserve">6</w:t>
            </w:r>
          </w:p>
        </w:tc>
        <w:tc>
          <w:tcPr>
            <w:tcW w:type="dxa" w:w="2750"/>
            <w:shd w:fill="F7F9F9" w:color="auto" w:val="clear"/>
            <w:tcMar>
              <w:top w:type="dxa" w:w="70"/>
              <w:left w:type="dxa" w:w="100"/>
              <w:bottom w:type="dxa" w:w="70"/>
              <w:right w:type="dxa" w:w="100"/>
            </w:tcMar>
          </w:tcPr>
          <w:p>
            <w:pPr>
              <w:spacing w:after="0"/>
            </w:pPr>
            <w:r>
              <w:rPr>
                <w:b w:val="false"/>
                <w:bCs w:val="false"/>
                <w:color w:val="1A1A1A"/>
                <w:sz w:val="18"/>
                <w:szCs w:val="18"/>
              </w:rPr>
              <w:t xml:space="preserve">Wird eine Zahlung ausserhalb des Bankwegs angeboten oder geleistet – Bargeld, Direktzahlung, Verrechnung, Zahlung durch einen Dritten?</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Unabhängig von jeder Ausnahme: Zahlung nicht annehmen, Vorgang sofort an Compliance, Mandat bis zur Klärung anhalten</w:t>
            </w:r>
          </w:p>
        </w:tc>
        <w:tc>
          <w:tcPr>
            <w:tcW w:type="dxa" w:w="3500"/>
            <w:shd w:fill="F7F9F9" w:color="auto" w:val="clear"/>
            <w:tcMar>
              <w:top w:type="dxa" w:w="70"/>
              <w:left w:type="dxa" w:w="100"/>
              <w:bottom w:type="dxa" w:w="70"/>
              <w:right w:type="dxa" w:w="100"/>
            </w:tcMar>
          </w:tcPr>
          <w:p>
            <w:pPr>
              <w:spacing w:after="0"/>
            </w:pPr>
            <w:r>
              <w:rPr>
                <w:b w:val="false"/>
                <w:bCs w:val="false"/>
                <w:color w:val="1A1A1A"/>
                <w:sz w:val="18"/>
                <w:szCs w:val="18"/>
              </w:rPr>
              <w:t xml:space="preserve">Triage abgeschlossen. Ergebnis mit Datum, Begründung und prüfender Person im Dossier ablegen.</w:t>
            </w:r>
          </w:p>
        </w:tc>
      </w:tr>
    </w:tbl>
    <w:p>
      <w:pPr>
        <w:spacing w:after="0"/>
      </w:pPr>
      <w:r>
        <w:t xml:space="preserve"/>
      </w:r>
    </w:p>
    <w:p>
      <w:pPr>
        <w:pStyle w:val="Heading2"/>
        <w:spacing w:after="120" w:before="280"/>
      </w:pPr>
      <w:r>
        <w:t xml:space="preserve">5.1 Die drei Pfade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700"/>
        <w:gridCol w:w="5600"/>
        <w:gridCol w:w="2300"/>
      </w:tblGrid>
      <w:tr>
        <w:trPr>
          <w:tblHeader/>
        </w:trPr>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Pfad</w:t>
            </w:r>
          </w:p>
        </w:tc>
        <w:tc>
          <w:tcPr>
            <w:tcW w:type="dxa" w:w="5600"/>
            <w:shd w:fill="0F5C6E" w:color="auto" w:val="clear"/>
            <w:tcMar>
              <w:top w:type="dxa" w:w="70"/>
              <w:left w:type="dxa" w:w="100"/>
              <w:bottom w:type="dxa" w:w="70"/>
              <w:right w:type="dxa" w:w="100"/>
            </w:tcMar>
          </w:tcPr>
          <w:p>
            <w:pPr>
              <w:spacing w:after="0"/>
            </w:pPr>
            <w:r>
              <w:rPr>
                <w:b/>
                <w:bCs/>
                <w:color w:val="FFFFFF"/>
                <w:sz w:val="18"/>
                <w:szCs w:val="18"/>
              </w:rPr>
              <w:t xml:space="preserve">Umfang in Kurzform</w:t>
            </w:r>
          </w:p>
        </w:tc>
        <w:tc>
          <w:tcPr>
            <w:tcW w:type="dxa" w:w="2300"/>
            <w:shd w:fill="0F5C6E" w:color="auto" w:val="clear"/>
            <w:tcMar>
              <w:top w:type="dxa" w:w="70"/>
              <w:left w:type="dxa" w:w="100"/>
              <w:bottom w:type="dxa" w:w="70"/>
              <w:right w:type="dxa" w:w="100"/>
            </w:tcMar>
          </w:tcPr>
          <w:p>
            <w:pPr>
              <w:spacing w:after="0"/>
            </w:pPr>
            <w:r>
              <w:rPr>
                <w:b/>
                <w:bCs/>
                <w:color w:val="FFFFFF"/>
                <w:sz w:val="18"/>
                <w:szCs w:val="18"/>
              </w:rPr>
              <w:t xml:space="preserve">Verantwortung</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Pfad A – unterstellt oder unklar</w:t>
            </w:r>
          </w:p>
        </w:tc>
        <w:tc>
          <w:tcPr>
            <w:tcW w:type="dxa" w:w="5600"/>
            <w:shd w:fill="FFFFFF" w:color="auto" w:val="clear"/>
            <w:tcMar>
              <w:top w:type="dxa" w:w="70"/>
              <w:left w:type="dxa" w:w="100"/>
              <w:bottom w:type="dxa" w:w="70"/>
              <w:right w:type="dxa" w:w="100"/>
            </w:tcMar>
          </w:tcPr>
          <w:p>
            <w:pPr>
              <w:spacing w:after="0"/>
            </w:pPr>
            <w:r>
              <w:rPr>
                <w:b w:val="false"/>
                <w:bCs w:val="false"/>
                <w:color w:val="1A1A1A"/>
                <w:sz w:val="18"/>
                <w:szCs w:val="18"/>
              </w:rPr>
              <w:t xml:space="preserve">Identifikation von Verkäufer- und Käuferschaft anhand amtlicher Ausweise mit Kopie</w:t>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erhebt, Compliance beurteilt und gibt frei</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Pfad B – Ausnahme greift voraussichtlich</w:t>
            </w:r>
          </w:p>
        </w:tc>
        <w:tc>
          <w:tcPr>
            <w:tcW w:type="dxa" w:w="5600"/>
            <w:shd w:fill="F7F9F9" w:color="auto" w:val="clear"/>
            <w:tcMar>
              <w:top w:type="dxa" w:w="70"/>
              <w:left w:type="dxa" w:w="100"/>
              <w:bottom w:type="dxa" w:w="70"/>
              <w:right w:type="dxa" w:w="100"/>
            </w:tcMar>
          </w:tcPr>
          <w:p>
            <w:pPr>
              <w:spacing w:after="0"/>
            </w:pPr>
            <w:r>
              <w:rPr>
                <w:b w:val="false"/>
                <w:bCs w:val="false"/>
                <w:color w:val="1A1A1A"/>
                <w:sz w:val="18"/>
                <w:szCs w:val="18"/>
              </w:rPr>
              <w:t xml:space="preserve">Reduzierter, aber nicht entfallender Umfang: Identifikation der Auftraggeber für die Vertragsabwicklung – das verlangt ohnehin das Notariat</w:t>
            </w:r>
          </w:p>
        </w:tc>
        <w:tc>
          <w:tcPr>
            <w:tcW w:type="dxa" w:w="23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führt und dokumentiert. Verkaufsleitung prüft im Vier-Augen-Prinzip vor Gate 8.</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Pfad C – Verdachtsfall</w:t>
            </w:r>
          </w:p>
        </w:tc>
        <w:tc>
          <w:tcPr>
            <w:tcW w:type="dxa" w:w="5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Auffälligkeiten nach der internen Weisung: Zahlungsangebote ausserhalb des Bankwegs, unerklärliche Mittelherkunft, Unwille zur Identifikation, wechselnde Käuferidentitäten, auffällige Preisgestaltung, Druck auf schnellen Abschluss ohne …</w:t>
            </w:r>
          </w:p>
        </w:tc>
        <w:tc>
          <w:tcPr>
            <w:tcW w:type="dxa" w:w="23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informiert unverzüglich Compliance und dokumentiert nur Tatsachen</w:t>
            </w:r>
          </w:p>
        </w:tc>
      </w:tr>
    </w:tbl>
    <w:p>
      <w:pPr>
        <w:pStyle w:val="Heading2"/>
        <w:spacing w:after="120" w:before="280"/>
      </w:pPr>
      <w:r>
        <w:t xml:space="preserve">5.2 Ausnahmen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2550"/>
        <w:gridCol w:w="66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550"/>
            <w:shd w:fill="0F5C6E" w:color="auto" w:val="clear"/>
            <w:tcMar>
              <w:top w:type="dxa" w:w="70"/>
              <w:left w:type="dxa" w:w="100"/>
              <w:bottom w:type="dxa" w:w="70"/>
              <w:right w:type="dxa" w:w="100"/>
            </w:tcMar>
          </w:tcPr>
          <w:p>
            <w:pPr>
              <w:spacing w:after="0"/>
            </w:pPr>
            <w:r>
              <w:rPr>
                <w:b/>
                <w:bCs/>
                <w:color w:val="FFFFFF"/>
                <w:sz w:val="18"/>
                <w:szCs w:val="18"/>
              </w:rPr>
              <w:t xml:space="preserve">Ausnahme</w:t>
            </w:r>
          </w:p>
        </w:tc>
        <w:tc>
          <w:tcPr>
            <w:tcW w:type="dxa" w:w="6600"/>
            <w:shd w:fill="0F5C6E" w:color="auto" w:val="clear"/>
            <w:tcMar>
              <w:top w:type="dxa" w:w="70"/>
              <w:left w:type="dxa" w:w="100"/>
              <w:bottom w:type="dxa" w:w="70"/>
              <w:right w:type="dxa" w:w="100"/>
            </w:tcMar>
          </w:tcPr>
          <w:p>
            <w:pPr>
              <w:spacing w:after="0"/>
            </w:pPr>
            <w:r>
              <w:rPr>
                <w:b/>
                <w:bCs/>
                <w:color w:val="FFFFFF"/>
                <w:sz w:val="18"/>
                <w:szCs w:val="18"/>
              </w:rPr>
              <w:t xml:space="preserve">Folge</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X1</w:t>
            </w:r>
          </w:p>
        </w:tc>
        <w:tc>
          <w:tcPr>
            <w:tcW w:type="dxa" w:w="255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 einer in der Schweiz selbst bewohnten Wohnliegenschaft</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Das ist der Regelfall dieses Handbuchs</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X2</w:t>
            </w:r>
          </w:p>
        </w:tc>
        <w:tc>
          <w:tcPr>
            <w:tcW w:type="dxa" w:w="2550"/>
            <w:shd w:fill="F7F9F9" w:color="auto" w:val="clear"/>
            <w:tcMar>
              <w:top w:type="dxa" w:w="70"/>
              <w:left w:type="dxa" w:w="100"/>
              <w:bottom w:type="dxa" w:w="70"/>
              <w:right w:type="dxa" w:w="100"/>
            </w:tcMar>
          </w:tcPr>
          <w:p>
            <w:pPr>
              <w:spacing w:after="0"/>
            </w:pPr>
            <w:r>
              <w:rPr>
                <w:b w:val="false"/>
                <w:bCs w:val="false"/>
                <w:color w:val="1A1A1A"/>
                <w:sz w:val="18"/>
                <w:szCs w:val="18"/>
              </w:rPr>
              <w:t xml:space="preserve">Ersatzliegenschaft im Sinne von Art. 12 Abs. 3 Bst. e StHG</w:t>
            </w:r>
          </w:p>
        </w:tc>
        <w:tc>
          <w:tcPr>
            <w:tcW w:type="dxa" w:w="6600"/>
            <w:shd w:fill="F7F9F9" w:color="auto" w:val="clear"/>
            <w:tcMar>
              <w:top w:type="dxa" w:w="70"/>
              <w:left w:type="dxa" w:w="100"/>
              <w:bottom w:type="dxa" w:w="70"/>
              <w:right w:type="dxa" w:w="100"/>
            </w:tcMar>
          </w:tcPr>
          <w:p>
            <w:pPr>
              <w:spacing w:after="0"/>
            </w:pPr>
            <w:r>
              <w:rPr>
                <w:b w:val="false"/>
                <w:bCs w:val="false"/>
                <w:color w:val="1A1A1A"/>
                <w:sz w:val="18"/>
                <w:szCs w:val="18"/>
              </w:rPr>
              <w:t xml:space="preserve">Praktisch relevant, wenn die Käuferschaft aus einem Verkauf einer selbstgenutzten Liegenschaft ersatzbeschafft.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X3</w:t>
            </w:r>
          </w:p>
        </w:tc>
        <w:tc>
          <w:tcPr>
            <w:tcW w:type="dxa" w:w="2550"/>
            <w:shd w:fill="FFFFFF" w:color="auto" w:val="clear"/>
            <w:tcMar>
              <w:top w:type="dxa" w:w="70"/>
              <w:left w:type="dxa" w:w="100"/>
              <w:bottom w:type="dxa" w:w="70"/>
              <w:right w:type="dxa" w:w="100"/>
            </w:tcMar>
          </w:tcPr>
          <w:p>
            <w:pPr>
              <w:spacing w:after="0"/>
            </w:pPr>
            <w:r>
              <w:rPr>
                <w:b w:val="false"/>
                <w:bCs w:val="false"/>
                <w:color w:val="1A1A1A"/>
                <w:sz w:val="18"/>
                <w:szCs w:val="18"/>
              </w:rPr>
              <w:t xml:space="preserve">Bagatellschwelle unter CHF 5 Mio. bei Abwicklung über einen unterstellten Finanzintermediär</w:t>
            </w:r>
          </w:p>
        </w:tc>
        <w:tc>
          <w:tcPr>
            <w:tcW w:type="dxa" w:w="6600"/>
            <w:shd w:fill="FFFFFF" w:color="auto" w:val="clear"/>
            <w:tcMar>
              <w:top w:type="dxa" w:w="70"/>
              <w:left w:type="dxa" w:w="100"/>
              <w:bottom w:type="dxa" w:w="70"/>
              <w:right w:type="dxa" w:w="100"/>
            </w:tcMar>
          </w:tcPr>
          <w:p>
            <w:pPr>
              <w:spacing w:after="0"/>
            </w:pPr>
            <w:r>
              <w:rPr>
                <w:b w:val="false"/>
                <w:bCs w:val="false"/>
                <w:color w:val="1A1A1A"/>
                <w:sz w:val="18"/>
                <w:szCs w:val="18"/>
              </w:rPr>
              <w:t xml:space="preserve">Greift zusätzlich zu X1</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X4</w:t>
            </w:r>
          </w:p>
        </w:tc>
        <w:tc>
          <w:tcPr>
            <w:tcW w:type="dxa" w:w="255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Mitwirkung an einer Finanztransaktion</w:t>
            </w:r>
          </w:p>
        </w:tc>
        <w:tc>
          <w:tcPr>
            <w:tcW w:type="dxa" w:w="66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Diese Ausnahme ist die unsicherste. Sie darf nicht als Gestaltungsmittel verwendet werden, um Pflichten zu vermeiden.</w:t>
            </w:r>
          </w:p>
        </w:tc>
      </w:tr>
    </w:tbl>
    <w:p>
      <w:pPr>
        <w:pStyle w:val="Heading1"/>
        <w:pageBreakBefore/>
        <w:spacing w:after="180" w:before="0"/>
      </w:pPr>
      <w:r>
        <w:t xml:space="preserve">6 · Sonderfall-Radar</w:t>
      </w:r>
    </w:p>
    <w:p>
      <w:pPr>
        <w:spacing w:after="120" w:before="0"/>
      </w:pPr>
      <w:r>
        <w:rPr>
          <w:color w:val="1A1A1A"/>
          <w:sz w:val="20"/>
          <w:szCs w:val="20"/>
        </w:rPr>
        <w:t xml:space="preserve">Signal erkennen, Fall zuordnen, Stop-Kriterium kennen. Neun Fälle werden im Erstgespräch erkannt. Abklärungsliste und Dokumente im Handbuch Teil J1 oder in Mappe 10.</w:t>
      </w:r>
    </w:p>
    <w:p>
      <w:pPr>
        <w:pStyle w:val="Heading3"/>
        <w:spacing w:after="100" w:before="220"/>
      </w:pPr>
      <w:r>
        <w:t xml:space="preserve">Eigentum und Verfügungsbefugnis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650"/>
        <w:gridCol w:w="400"/>
        <w:gridCol w:w="3350"/>
        <w:gridCol w:w="2900"/>
        <w:gridCol w:w="85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650"/>
            <w:shd w:fill="0F5C6E" w:color="auto" w:val="clear"/>
            <w:tcMar>
              <w:top w:type="dxa" w:w="70"/>
              <w:left w:type="dxa" w:w="100"/>
              <w:bottom w:type="dxa" w:w="70"/>
              <w:right w:type="dxa" w:w="100"/>
            </w:tcMar>
          </w:tcPr>
          <w:p>
            <w:pPr>
              <w:spacing w:after="0"/>
            </w:pPr>
            <w:r>
              <w:rPr>
                <w:b/>
                <w:bCs/>
                <w:color w:val="FFFFFF"/>
                <w:sz w:val="18"/>
                <w:szCs w:val="18"/>
              </w:rPr>
              <w:t xml:space="preserve">Fall</w:t>
            </w:r>
          </w:p>
        </w:tc>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Ph.</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Signal</w:t>
            </w:r>
          </w:p>
        </w:tc>
        <w:tc>
          <w:tcPr>
            <w:tcW w:type="dxa" w:w="2900"/>
            <w:shd w:fill="0F5C6E" w:color="auto" w:val="clear"/>
            <w:tcMar>
              <w:top w:type="dxa" w:w="70"/>
              <w:left w:type="dxa" w:w="100"/>
              <w:bottom w:type="dxa" w:w="70"/>
              <w:right w:type="dxa" w:w="100"/>
            </w:tcMar>
          </w:tcPr>
          <w:p>
            <w:pPr>
              <w:spacing w:after="0"/>
            </w:pPr>
            <w:r>
              <w:rPr>
                <w:b/>
                <w:bCs/>
                <w:color w:val="FFFFFF"/>
                <w:sz w:val="18"/>
                <w:szCs w:val="18"/>
              </w:rPr>
              <w:t xml:space="preserve">STOP</w:t>
            </w:r>
          </w:p>
        </w:tc>
        <w:tc>
          <w:tcPr>
            <w:tcW w:type="dxa" w:w="85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S1</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Erbengemeinschaft</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verstorben</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Nicht alle Erben wirken mit und es besteht keine Erbenvertretung.</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R13</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S2</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Mehrere Eigentümer im Mit- oder …</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weist mehrere Eigentümer mit oder ohne Quoten aus.</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Vorkaufsrecht besteht und der Ablauf ist nicht festgelegt.</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R2 R6 R13</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S3</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Scheidung oder Trennung</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Getrennte Adressen der Eigentümer; Gespräche laufen über Anwälte; Terminfragen bleiben unbeantwortet.</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gemeinsame Entscheidungsfähigkeit und keine gerichtliche Regelung.</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R14</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S4</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Wohnung der Familie</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 ist der Wohnsitz der Familie; nur ein Ehegatte ist Eigentümer.</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Zustimmung fehlt.</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R14</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S5</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Beistandschaft oder Vorsorgevollmacht</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wird vertreten; Hinweis auf Beistand, Betreuung oder Vorsorgeauftrag.</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Zustimmung der Behörde fehlt.</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R15</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S6</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Minderjährige Miteigentümer</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nennt eine minderjährige Person, häufig aus einem Erbgang.</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Erforderliche Zustimmung liegt nicht vor.</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R15</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S7</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Juristische Person als Eigentümerin</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nennt eine AG, GmbH, Stiftung, Genossenschaft oder einen Verein.</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Zeichnungsberechtigung ist nicht nachgewiesen.</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R37 R42</w:t>
            </w:r>
          </w:p>
        </w:tc>
      </w:tr>
    </w:tbl>
    <w:p>
      <w:pPr>
        <w:pStyle w:val="Heading3"/>
        <w:spacing w:after="100" w:before="220"/>
      </w:pPr>
      <w:r>
        <w:t xml:space="preserve">Objektart und Rechtsform des Objekts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650"/>
        <w:gridCol w:w="400"/>
        <w:gridCol w:w="3350"/>
        <w:gridCol w:w="2900"/>
        <w:gridCol w:w="85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650"/>
            <w:shd w:fill="0F5C6E" w:color="auto" w:val="clear"/>
            <w:tcMar>
              <w:top w:type="dxa" w:w="70"/>
              <w:left w:type="dxa" w:w="100"/>
              <w:bottom w:type="dxa" w:w="70"/>
              <w:right w:type="dxa" w:w="100"/>
            </w:tcMar>
          </w:tcPr>
          <w:p>
            <w:pPr>
              <w:spacing w:after="0"/>
            </w:pPr>
            <w:r>
              <w:rPr>
                <w:b/>
                <w:bCs/>
                <w:color w:val="FFFFFF"/>
                <w:sz w:val="18"/>
                <w:szCs w:val="18"/>
              </w:rPr>
              <w:t xml:space="preserve">Fall</w:t>
            </w:r>
          </w:p>
        </w:tc>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Ph.</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Signal</w:t>
            </w:r>
          </w:p>
        </w:tc>
        <w:tc>
          <w:tcPr>
            <w:tcW w:type="dxa" w:w="2900"/>
            <w:shd w:fill="0F5C6E" w:color="auto" w:val="clear"/>
            <w:tcMar>
              <w:top w:type="dxa" w:w="70"/>
              <w:left w:type="dxa" w:w="100"/>
              <w:bottom w:type="dxa" w:w="70"/>
              <w:right w:type="dxa" w:w="100"/>
            </w:tcMar>
          </w:tcPr>
          <w:p>
            <w:pPr>
              <w:spacing w:after="0"/>
            </w:pPr>
            <w:r>
              <w:rPr>
                <w:b/>
                <w:bCs/>
                <w:color w:val="FFFFFF"/>
                <w:sz w:val="18"/>
                <w:szCs w:val="18"/>
              </w:rPr>
              <w:t xml:space="preserve">STOP</w:t>
            </w:r>
          </w:p>
        </w:tc>
        <w:tc>
          <w:tcPr>
            <w:tcW w:type="dxa" w:w="85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S8</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Stockwerkeigentum</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 weist Sonderrecht und Quoten aus; Doppel- oder Reihenhaus als Stockwerkeinheit.</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Beschlossene, aber nicht finanzierte Grosssanierung ist nicht offengelegt.</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R7</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S9</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Baurecht</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weist ein selbständiges und dauerndes Baurecht aus.</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Zustimmung des Baurechtsgebers ist erforderlich und nicht geklärt.</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R5</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S10</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Vermietetes Einfamilienhaus oder …</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Mietverhältnis am Objekt oder an Teilen: Wohnung, Garage, Parkplatz.</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Mietverträge sind nicht vollständig auffindbar</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R8 R47</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S11</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Mehrfamilienhaus oder Renditeanteil</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Mehrere Wohneinheiten mit Mietertrag.</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belastbare Mietzinsaufstellung.</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R8 R37</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S12</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Landwirtschaftliches Grundstück oder …</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 ausserhalb der Bauzone; Bauernhaus; Hofparzelle; Wohnhaus mit Landanteil.</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Einordnung ist offen – keine Vermarktungsmassnahme.</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R36</w:t>
            </w:r>
          </w:p>
        </w:tc>
      </w:tr>
    </w:tbl>
    <w:p>
      <w:pPr>
        <w:pStyle w:val="Heading3"/>
        <w:spacing w:after="100" w:before="220"/>
      </w:pPr>
      <w:r>
        <w:t xml:space="preserve">Objektzustand und öffentliches Recht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650"/>
        <w:gridCol w:w="400"/>
        <w:gridCol w:w="3350"/>
        <w:gridCol w:w="2900"/>
        <w:gridCol w:w="85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650"/>
            <w:shd w:fill="0F5C6E" w:color="auto" w:val="clear"/>
            <w:tcMar>
              <w:top w:type="dxa" w:w="70"/>
              <w:left w:type="dxa" w:w="100"/>
              <w:bottom w:type="dxa" w:w="70"/>
              <w:right w:type="dxa" w:w="100"/>
            </w:tcMar>
          </w:tcPr>
          <w:p>
            <w:pPr>
              <w:spacing w:after="0"/>
            </w:pPr>
            <w:r>
              <w:rPr>
                <w:b/>
                <w:bCs/>
                <w:color w:val="FFFFFF"/>
                <w:sz w:val="18"/>
                <w:szCs w:val="18"/>
              </w:rPr>
              <w:t xml:space="preserve">Fall</w:t>
            </w:r>
          </w:p>
        </w:tc>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Ph.</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Signal</w:t>
            </w:r>
          </w:p>
        </w:tc>
        <w:tc>
          <w:tcPr>
            <w:tcW w:type="dxa" w:w="2900"/>
            <w:shd w:fill="0F5C6E" w:color="auto" w:val="clear"/>
            <w:tcMar>
              <w:top w:type="dxa" w:w="70"/>
              <w:left w:type="dxa" w:w="100"/>
              <w:bottom w:type="dxa" w:w="70"/>
              <w:right w:type="dxa" w:w="100"/>
            </w:tcMar>
          </w:tcPr>
          <w:p>
            <w:pPr>
              <w:spacing w:after="0"/>
            </w:pPr>
            <w:r>
              <w:rPr>
                <w:b/>
                <w:bCs/>
                <w:color w:val="FFFFFF"/>
                <w:sz w:val="18"/>
                <w:szCs w:val="18"/>
              </w:rPr>
              <w:t xml:space="preserve">STOP</w:t>
            </w:r>
          </w:p>
        </w:tc>
        <w:tc>
          <w:tcPr>
            <w:tcW w:type="dxa" w:w="85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S13</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Grundstück mit Eintrag im Kataster …</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Katasterauszug weist einen Eintrag aus; Hinweise auf ehemaliges Gewerbe, Öltank, Auffüllung.</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Pflichten aus dem Eintrag sind ungeklärt.</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R29</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S14</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Denkmalschutz, Inventareintrag, …</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Kantonales oder kommunales Inventar; Schutzzone; auffällig historische Bausubstanz.</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Schutzumfang ist unbekannt und wird trotzdem beworben.</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R45</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S15</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Illegale Umbauten</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4</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Abweichung zwischen Bauplänen und Bauzustand</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Bewilligungsstatus ist ungeklärt – kein Vermarktungsstart.</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R44 R10 R12</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S16</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Fehlende Baubewilligungen für …</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Bauakten unvollständig; Eigentümer kann Bewilligungen nicht beibringen.</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Behörde bestätigt den Bestand nicht und ein Risiko ist erkennbar.</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R44</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S17</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Naturgefahren</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Gefahrenkarte weist eine Gefährdung aus: Hochwasser, Rutschung, Sturz, Lawine.</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Gefährdung wird nicht offengelegt.</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R30</w:t>
            </w:r>
          </w:p>
        </w:tc>
      </w:tr>
    </w:tbl>
    <w:p>
      <w:pPr>
        <w:pStyle w:val="Heading3"/>
        <w:spacing w:after="100" w:before="220"/>
      </w:pPr>
      <w:r>
        <w:t xml:space="preserve">Käuferseite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650"/>
        <w:gridCol w:w="400"/>
        <w:gridCol w:w="3350"/>
        <w:gridCol w:w="2900"/>
        <w:gridCol w:w="85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650"/>
            <w:shd w:fill="0F5C6E" w:color="auto" w:val="clear"/>
            <w:tcMar>
              <w:top w:type="dxa" w:w="70"/>
              <w:left w:type="dxa" w:w="100"/>
              <w:bottom w:type="dxa" w:w="70"/>
              <w:right w:type="dxa" w:w="100"/>
            </w:tcMar>
          </w:tcPr>
          <w:p>
            <w:pPr>
              <w:spacing w:after="0"/>
            </w:pPr>
            <w:r>
              <w:rPr>
                <w:b/>
                <w:bCs/>
                <w:color w:val="FFFFFF"/>
                <w:sz w:val="18"/>
                <w:szCs w:val="18"/>
              </w:rPr>
              <w:t xml:space="preserve">Fall</w:t>
            </w:r>
          </w:p>
        </w:tc>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Ph.</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Signal</w:t>
            </w:r>
          </w:p>
        </w:tc>
        <w:tc>
          <w:tcPr>
            <w:tcW w:type="dxa" w:w="2900"/>
            <w:shd w:fill="0F5C6E" w:color="auto" w:val="clear"/>
            <w:tcMar>
              <w:top w:type="dxa" w:w="70"/>
              <w:left w:type="dxa" w:w="100"/>
              <w:bottom w:type="dxa" w:w="70"/>
              <w:right w:type="dxa" w:w="100"/>
            </w:tcMar>
          </w:tcPr>
          <w:p>
            <w:pPr>
              <w:spacing w:after="0"/>
            </w:pPr>
            <w:r>
              <w:rPr>
                <w:b/>
                <w:bCs/>
                <w:color w:val="FFFFFF"/>
                <w:sz w:val="18"/>
                <w:szCs w:val="18"/>
              </w:rPr>
              <w:t xml:space="preserve">STOP</w:t>
            </w:r>
          </w:p>
        </w:tc>
        <w:tc>
          <w:tcPr>
            <w:tcW w:type="dxa" w:w="85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S18</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Ausländischer Käufer</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Käuferprofil weist ausländische Staatsangehörigkeit oder Wohnsitz im Ausland aus.</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Bewilligungspflicht besteht und das Verfahren ist nicht eingeleitet – keine Reservation</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R34</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S19</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Bewilligungspflicht nach Lex Koller</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Abklärung nach S18 ergibt Bewilligungspflicht.</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Beurkundung ohne Bewilligung oder ohne entsprechende Bedingung.</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R34</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S20</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Zweitwohnung</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5</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Gemeinde mit Zweitwohnungsanteil über 20 Prozent; Anmerkung im Grundbuch.</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Nutzungsart ist unklar und wird trotzdem beworben.</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R35</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S21</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Käufer ohne gesicherte Finanzierung</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Nur Selbstauskunft; keine objektbezogene Bankbestätigung; Eigenmittel nicht belegt.</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6 ist nicht passiert – keine Reservation, keine Rückstellung der Vermarktung.</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R40 R39</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S22</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Kauf abhängig vom Verkauf einer anderen …</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Käuferprofil weist Eigentum mit Verkaufsbedarf aus.</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Bedingung ist unbefristet oder nicht im Angebot abgebildet.</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R40</w:t>
            </w:r>
          </w:p>
        </w:tc>
      </w:tr>
    </w:tbl>
    <w:p>
      <w:pPr>
        <w:pStyle w:val="Heading3"/>
        <w:spacing w:after="100" w:before="220"/>
      </w:pPr>
      <w:r>
        <w:t xml:space="preserve">Vermarktungssituation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650"/>
        <w:gridCol w:w="400"/>
        <w:gridCol w:w="3350"/>
        <w:gridCol w:w="2900"/>
        <w:gridCol w:w="85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650"/>
            <w:shd w:fill="0F5C6E" w:color="auto" w:val="clear"/>
            <w:tcMar>
              <w:top w:type="dxa" w:w="70"/>
              <w:left w:type="dxa" w:w="100"/>
              <w:bottom w:type="dxa" w:w="70"/>
              <w:right w:type="dxa" w:w="100"/>
            </w:tcMar>
          </w:tcPr>
          <w:p>
            <w:pPr>
              <w:spacing w:after="0"/>
            </w:pPr>
            <w:r>
              <w:rPr>
                <w:b/>
                <w:bCs/>
                <w:color w:val="FFFFFF"/>
                <w:sz w:val="18"/>
                <w:szCs w:val="18"/>
              </w:rPr>
              <w:t xml:space="preserve">Fall</w:t>
            </w:r>
          </w:p>
        </w:tc>
        <w:tc>
          <w:tcPr>
            <w:tcW w:type="dxa" w:w="400"/>
            <w:shd w:fill="0F5C6E" w:color="auto" w:val="clear"/>
            <w:tcMar>
              <w:top w:type="dxa" w:w="70"/>
              <w:left w:type="dxa" w:w="100"/>
              <w:bottom w:type="dxa" w:w="70"/>
              <w:right w:type="dxa" w:w="100"/>
            </w:tcMar>
          </w:tcPr>
          <w:p>
            <w:pPr>
              <w:spacing w:after="0"/>
            </w:pPr>
            <w:r>
              <w:rPr>
                <w:b/>
                <w:bCs/>
                <w:color w:val="FFFFFF"/>
                <w:sz w:val="18"/>
                <w:szCs w:val="18"/>
              </w:rPr>
              <w:t xml:space="preserve">Ph.</w:t>
            </w:r>
          </w:p>
        </w:tc>
        <w:tc>
          <w:tcPr>
            <w:tcW w:type="dxa" w:w="3350"/>
            <w:shd w:fill="0F5C6E" w:color="auto" w:val="clear"/>
            <w:tcMar>
              <w:top w:type="dxa" w:w="70"/>
              <w:left w:type="dxa" w:w="100"/>
              <w:bottom w:type="dxa" w:w="70"/>
              <w:right w:type="dxa" w:w="100"/>
            </w:tcMar>
          </w:tcPr>
          <w:p>
            <w:pPr>
              <w:spacing w:after="0"/>
            </w:pPr>
            <w:r>
              <w:rPr>
                <w:b/>
                <w:bCs/>
                <w:color w:val="FFFFFF"/>
                <w:sz w:val="18"/>
                <w:szCs w:val="18"/>
              </w:rPr>
              <w:t xml:space="preserve">Signal</w:t>
            </w:r>
          </w:p>
        </w:tc>
        <w:tc>
          <w:tcPr>
            <w:tcW w:type="dxa" w:w="2900"/>
            <w:shd w:fill="0F5C6E" w:color="auto" w:val="clear"/>
            <w:tcMar>
              <w:top w:type="dxa" w:w="70"/>
              <w:left w:type="dxa" w:w="100"/>
              <w:bottom w:type="dxa" w:w="70"/>
              <w:right w:type="dxa" w:w="100"/>
            </w:tcMar>
          </w:tcPr>
          <w:p>
            <w:pPr>
              <w:spacing w:after="0"/>
            </w:pPr>
            <w:r>
              <w:rPr>
                <w:b/>
                <w:bCs/>
                <w:color w:val="FFFFFF"/>
                <w:sz w:val="18"/>
                <w:szCs w:val="18"/>
              </w:rPr>
              <w:t xml:space="preserve">STOP</w:t>
            </w:r>
          </w:p>
        </w:tc>
        <w:tc>
          <w:tcPr>
            <w:tcW w:type="dxa" w:w="850"/>
            <w:shd w:fill="0F5C6E" w:color="auto" w:val="clear"/>
            <w:tcMar>
              <w:top w:type="dxa" w:w="70"/>
              <w:left w:type="dxa" w:w="100"/>
              <w:bottom w:type="dxa" w:w="70"/>
              <w:right w:type="dxa" w:w="100"/>
            </w:tcMar>
          </w:tcPr>
          <w:p>
            <w:pPr>
              <w:spacing w:after="0"/>
            </w:pPr>
            <w:r>
              <w:rPr>
                <w:b/>
                <w:bCs/>
                <w:color w:val="FFFFFF"/>
                <w:sz w:val="18"/>
                <w:szCs w:val="18"/>
              </w:rPr>
              <w:t xml:space="preserve">Reg.</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S23</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Mehrere Kaufinteressenten gleichzeitig</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 oder mehr verhandlungsfähige Angebote in kurzer Zeit.</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Verfahren ist nicht festgelegt oder wird nicht allen gleich mitgeteilt.</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R39</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S24</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Diskreter Verkauf</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verlangt Diskretion: Nachbarschaft, Trennung, Geschäftslage, Prominenz.</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erwartet Marktpreis und Marktgeschwindigkeit bei gleichzeitigem Reichweitenverzicht</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S25</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Off-Market-Verkauf</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 ausschliesslich über Datenbank und Netzwerk, ohne öffentliche Sichtbarkeit.</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Off-Market ohne schriftlichen Entscheid des Eigentümers.</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S26</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Zeitkritischer Verkauf</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An ein Ereignis gebundener Termin: gekauftes Ersatzobjekt, auslaufende Finanzierung, Erbteilung, behördliche Frist</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 ist nicht erreichbar und der Eigentümer lehnt jede Anpassung ab.</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S27</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Gescheiterter Verkaufsversuch in der …</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3</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 war bereits am Markt: frühere Inserate, Eigentümer nennt früheren Makler.</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Nachwirkungsanspruch eines Vormaklers ist ungeklärt.</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R17 R18</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S28</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mit unrealistischer …</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9</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Preisvorstellung liegt deutlich über der Wertspanne</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 lehnt jeden Anpassungsmechanismus ab und verlangt einen Preis deutlich über der Spanne</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S29</w:t>
            </w:r>
          </w:p>
        </w:tc>
        <w:tc>
          <w:tcPr>
            <w:tcW w:type="dxa" w:w="1650"/>
            <w:shd w:fill="FFFFFF" w:color="auto" w:val="clear"/>
            <w:tcMar>
              <w:top w:type="dxa" w:w="70"/>
              <w:left w:type="dxa" w:w="100"/>
              <w:bottom w:type="dxa" w:w="70"/>
              <w:right w:type="dxa" w:w="100"/>
            </w:tcMar>
          </w:tcPr>
          <w:p>
            <w:pPr>
              <w:spacing w:after="0"/>
            </w:pPr>
            <w:r>
              <w:rPr>
                <w:b w:val="false"/>
                <w:bCs w:val="false"/>
                <w:color w:val="1A1A1A"/>
                <w:sz w:val="18"/>
                <w:szCs w:val="18"/>
              </w:rPr>
              <w:t xml:space="preserve">Mehrere Makler oder Konkurrenzmandat</w:t>
            </w:r>
          </w:p>
        </w:tc>
        <w:tc>
          <w:tcPr>
            <w:tcW w:type="dxa" w:w="400"/>
            <w:shd w:fill="FFFFFF"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335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nennt weitere Makler; Objekt erscheint bei einem Mitbewerber.</w:t>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Laufendes Exklusivmandat eines Dritten.</w:t>
            </w:r>
          </w:p>
        </w:tc>
        <w:tc>
          <w:tcPr>
            <w:tcW w:type="dxa" w:w="850"/>
            <w:shd w:fill="FFFFFF" w:color="auto" w:val="clear"/>
            <w:tcMar>
              <w:top w:type="dxa" w:w="70"/>
              <w:left w:type="dxa" w:w="100"/>
              <w:bottom w:type="dxa" w:w="70"/>
              <w:right w:type="dxa" w:w="100"/>
            </w:tcMar>
          </w:tcPr>
          <w:p>
            <w:pPr>
              <w:spacing w:after="0"/>
            </w:pPr>
            <w:r>
              <w:rPr>
                <w:b w:val="false"/>
                <w:bCs w:val="false"/>
                <w:color w:val="1A1A1A"/>
                <w:sz w:val="18"/>
                <w:szCs w:val="18"/>
              </w:rPr>
              <w:t xml:space="preserve">R17 R18</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S30</w:t>
            </w:r>
          </w:p>
        </w:tc>
        <w:tc>
          <w:tcPr>
            <w:tcW w:type="dxa" w:w="1650"/>
            <w:shd w:fill="F7F9F9" w:color="auto" w:val="clear"/>
            <w:tcMar>
              <w:top w:type="dxa" w:w="70"/>
              <w:left w:type="dxa" w:w="100"/>
              <w:bottom w:type="dxa" w:w="70"/>
              <w:right w:type="dxa" w:w="100"/>
            </w:tcMar>
          </w:tcPr>
          <w:p>
            <w:pPr>
              <w:spacing w:after="0"/>
            </w:pPr>
            <w:r>
              <w:rPr>
                <w:b w:val="false"/>
                <w:bCs w:val="false"/>
                <w:color w:val="1A1A1A"/>
                <w:sz w:val="18"/>
                <w:szCs w:val="18"/>
              </w:rPr>
              <w:t xml:space="preserve">Interessenkonflikt</w:t>
            </w:r>
          </w:p>
        </w:tc>
        <w:tc>
          <w:tcPr>
            <w:tcW w:type="dxa" w:w="400"/>
            <w:shd w:fill="F7F9F9" w:color="auto" w:val="clear"/>
            <w:tcMar>
              <w:top w:type="dxa" w:w="70"/>
              <w:left w:type="dxa" w:w="100"/>
              <w:bottom w:type="dxa" w:w="70"/>
              <w:right w:type="dxa" w:w="100"/>
            </w:tcMar>
          </w:tcPr>
          <w:p>
            <w:pPr>
              <w:spacing w:after="0"/>
            </w:pPr>
            <w:r>
              <w:rPr>
                <w:b w:val="false"/>
                <w:bCs w:val="false"/>
                <w:color w:val="1A1A1A"/>
                <w:sz w:val="18"/>
                <w:szCs w:val="18"/>
              </w:rPr>
              <w:t xml:space="preserve">2</w:t>
            </w:r>
          </w:p>
        </w:tc>
        <w:tc>
          <w:tcPr>
            <w:tcW w:type="dxa" w:w="335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Eigene Kaufabsicht, Kauf durch nahestehende Person oder Mitarbeitende</w:t>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Konflikt ist nicht offengelegt oder eine Partei stimmt nicht zu.</w:t>
            </w:r>
          </w:p>
        </w:tc>
        <w:tc>
          <w:tcPr>
            <w:tcW w:type="dxa" w:w="850"/>
            <w:shd w:fill="F7F9F9" w:color="auto" w:val="clear"/>
            <w:tcMar>
              <w:top w:type="dxa" w:w="70"/>
              <w:left w:type="dxa" w:w="100"/>
              <w:bottom w:type="dxa" w:w="70"/>
              <w:right w:type="dxa" w:w="100"/>
            </w:tcMar>
          </w:tcPr>
          <w:p>
            <w:pPr>
              <w:spacing w:after="0"/>
            </w:pPr>
            <w:r>
              <w:rPr>
                <w:b w:val="false"/>
                <w:bCs w:val="false"/>
                <w:color w:val="1A1A1A"/>
                <w:sz w:val="18"/>
                <w:szCs w:val="18"/>
              </w:rPr>
              <w:t xml:space="preserve">R19 R43</w:t>
            </w:r>
          </w:p>
        </w:tc>
      </w:tr>
    </w:tbl>
    <w:p>
      <w:pPr>
        <w:pStyle w:val="Heading1"/>
        <w:pageBreakBefore/>
        <w:spacing w:after="180" w:before="0"/>
      </w:pPr>
      <w:r>
        <w:t xml:space="preserve">7 · Störfall-Radar</w:t>
      </w:r>
    </w:p>
    <w:p>
      <w:pPr>
        <w:spacing w:after="120" w:before="0"/>
      </w:pPr>
      <w:r>
        <w:rPr>
          <w:color w:val="1A1A1A"/>
          <w:sz w:val="20"/>
          <w:szCs w:val="20"/>
        </w:rPr>
        <w:t xml:space="preserve">Ein Fehler wird gemeldet, nicht verwaltet. Meldung an die Verkaufsleitung am gleichen Tag, unabhängig davon, ob eine Lösung schon gefunden ist. Nichts rückdatieren, überschreiben oder aus dem CRM entfernen. Vollständiger Ablauf im Handbuch Teil J2.</w:t>
      </w:r>
    </w:p>
    <w:p>
      <w:pPr>
        <w:pStyle w:val="Heading3"/>
        <w:spacing w:after="100" w:before="220"/>
      </w:pPr>
      <w:r>
        <w:t xml:space="preserve">Fehler in veröffentlichten Angaben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750"/>
        <w:gridCol w:w="3300"/>
        <w:gridCol w:w="1400"/>
        <w:gridCol w:w="27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50"/>
            <w:shd w:fill="0F5C6E" w:color="auto" w:val="clear"/>
            <w:tcMar>
              <w:top w:type="dxa" w:w="70"/>
              <w:left w:type="dxa" w:w="100"/>
              <w:bottom w:type="dxa" w:w="70"/>
              <w:right w:type="dxa" w:w="100"/>
            </w:tcMar>
          </w:tcPr>
          <w:p>
            <w:pPr>
              <w:spacing w:after="0"/>
            </w:pPr>
            <w:r>
              <w:rPr>
                <w:b/>
                <w:bCs/>
                <w:color w:val="FFFFFF"/>
                <w:sz w:val="18"/>
                <w:szCs w:val="18"/>
              </w:rPr>
              <w:t xml:space="preserve">Störfall</w:t>
            </w:r>
          </w:p>
        </w:tc>
        <w:tc>
          <w:tcPr>
            <w:tcW w:type="dxa" w:w="3300"/>
            <w:shd w:fill="0F5C6E" w:color="auto" w:val="clear"/>
            <w:tcMar>
              <w:top w:type="dxa" w:w="70"/>
              <w:left w:type="dxa" w:w="100"/>
              <w:bottom w:type="dxa" w:w="70"/>
              <w:right w:type="dxa" w:w="100"/>
            </w:tcMar>
          </w:tcPr>
          <w:p>
            <w:pPr>
              <w:spacing w:after="0"/>
            </w:pPr>
            <w:r>
              <w:rPr>
                <w:b/>
                <w:bCs/>
                <w:color w:val="FFFFFF"/>
                <w:sz w:val="18"/>
                <w:szCs w:val="18"/>
              </w:rPr>
              <w:t xml:space="preserve">Sofortmassnahme</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Wer führt</w:t>
            </w:r>
          </w:p>
        </w:tc>
        <w:tc>
          <w:tcPr>
            <w:tcW w:type="dxa" w:w="2700"/>
            <w:shd w:fill="0F5C6E" w:color="auto" w:val="clear"/>
            <w:tcMar>
              <w:top w:type="dxa" w:w="70"/>
              <w:left w:type="dxa" w:w="100"/>
              <w:bottom w:type="dxa" w:w="70"/>
              <w:right w:type="dxa" w:w="100"/>
            </w:tcMar>
          </w:tcPr>
          <w:p>
            <w:pPr>
              <w:spacing w:after="0"/>
            </w:pPr>
            <w:r>
              <w:rPr>
                <w:b/>
                <w:bCs/>
                <w:color w:val="FFFFFF"/>
                <w:sz w:val="18"/>
                <w:szCs w:val="18"/>
              </w:rPr>
              <w:t xml:space="preserve">Rechtsprüfung nötig, wenn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T1</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Falscher Preis veröffentlicht</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Inserat auf allen Kanälen innerhalb einer Stunde offline nehmen oder korrigieren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 informiert</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auf Basis des falschen Preises ein Angebot eingegangen ist oder eine Zusage gemacht wurde</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T2</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Falsche Fläche veröffentlicht</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Angabe auf allen Kanälen und im Dossier korrigieren. Quelle und Berechnungsnorm prüfen und nachziehen.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zwingend: Flächenangaben sind zusicherungsrelevant (R9, R12)</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T3</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Falsche Eigentümerangabe</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 korrigieren; prüfen, ob daraus eine falsche Aussage zur Verfügungsbefugnis entstanden ist.</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Vertragsentwürfe oder Reservationen die falsche Angabe enthalten.</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T4</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Falsches Foto veröffentlicht</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Bild unverzüglich entfernen. Bei fremdem Objekt oder erkennbaren Personen: sofort offline, nicht nur ersetzen.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bei erkennbaren Personen, Nachbargrundstücken, Kennzeichen oder fremden Bildrechten (R39).</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T5</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Falsche Information im Inserat oder …</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Angabe korrigieren; prüfen, ob sie zusicherungsrelevant ist: Baujahr, Sanierung, Energie, Bewilligung, Dienstbarkeit, Potenzial.</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bei jeder zusicherungsrelevanten Angabe (R9, R10).</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T6</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Bereits veröffentlichte Information muss …</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Umfang der Verbreitung feststellen: Kanäle, Dossierversand, Newsletter, Screenshots bei Interessenten.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führt</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gibt den Korrekturtext frei, wenn die Angabe zusicherungsrelevant war.</w:t>
            </w:r>
          </w:p>
        </w:tc>
      </w:tr>
    </w:tbl>
    <w:p>
      <w:pPr>
        <w:pStyle w:val="Heading3"/>
        <w:spacing w:after="100" w:before="220"/>
      </w:pPr>
      <w:r>
        <w:t xml:space="preserve">Ausfall auf der Käuferseite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750"/>
        <w:gridCol w:w="3300"/>
        <w:gridCol w:w="1400"/>
        <w:gridCol w:w="27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50"/>
            <w:shd w:fill="0F5C6E" w:color="auto" w:val="clear"/>
            <w:tcMar>
              <w:top w:type="dxa" w:w="70"/>
              <w:left w:type="dxa" w:w="100"/>
              <w:bottom w:type="dxa" w:w="70"/>
              <w:right w:type="dxa" w:w="100"/>
            </w:tcMar>
          </w:tcPr>
          <w:p>
            <w:pPr>
              <w:spacing w:after="0"/>
            </w:pPr>
            <w:r>
              <w:rPr>
                <w:b/>
                <w:bCs/>
                <w:color w:val="FFFFFF"/>
                <w:sz w:val="18"/>
                <w:szCs w:val="18"/>
              </w:rPr>
              <w:t xml:space="preserve">Störfall</w:t>
            </w:r>
          </w:p>
        </w:tc>
        <w:tc>
          <w:tcPr>
            <w:tcW w:type="dxa" w:w="3300"/>
            <w:shd w:fill="0F5C6E" w:color="auto" w:val="clear"/>
            <w:tcMar>
              <w:top w:type="dxa" w:w="70"/>
              <w:left w:type="dxa" w:w="100"/>
              <w:bottom w:type="dxa" w:w="70"/>
              <w:right w:type="dxa" w:w="100"/>
            </w:tcMar>
          </w:tcPr>
          <w:p>
            <w:pPr>
              <w:spacing w:after="0"/>
            </w:pPr>
            <w:r>
              <w:rPr>
                <w:b/>
                <w:bCs/>
                <w:color w:val="FFFFFF"/>
                <w:sz w:val="18"/>
                <w:szCs w:val="18"/>
              </w:rPr>
              <w:t xml:space="preserve">Sofortmassnahme</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Wer führt</w:t>
            </w:r>
          </w:p>
        </w:tc>
        <w:tc>
          <w:tcPr>
            <w:tcW w:type="dxa" w:w="2700"/>
            <w:shd w:fill="0F5C6E" w:color="auto" w:val="clear"/>
            <w:tcMar>
              <w:top w:type="dxa" w:w="70"/>
              <w:left w:type="dxa" w:w="100"/>
              <w:bottom w:type="dxa" w:w="70"/>
              <w:right w:type="dxa" w:w="100"/>
            </w:tcMar>
          </w:tcPr>
          <w:p>
            <w:pPr>
              <w:spacing w:after="0"/>
            </w:pPr>
            <w:r>
              <w:rPr>
                <w:b/>
                <w:bCs/>
                <w:color w:val="FFFFFF"/>
                <w:sz w:val="18"/>
                <w:szCs w:val="18"/>
              </w:rPr>
              <w:t xml:space="preserve">Rechtsprüfung nötig, wenn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T7</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 zieht sich zurück</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Rückzug schriftlich bestätigen lassen, mit Datum und Begründung. Vermarktung unverzüglich wieder aufnehmen.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nur, wenn eine Anzahlung geleistet wurde oder eine Konventionalstrafe behauptet wird</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T8</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Finanzierung des Käufers scheitert</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Schriftliche Bestätigung der Bank oder des Käufers einholen. Frist für eine Alternativfinanzierung setzen oder das Geschäft beenden.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wenn der Vertrag bereits beurkundet ist – dann ist der Käufer gebunden und es geht um Verzug, nicht um Rücktritt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T9</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 Käufer machen gleichzeitig Angebote</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Rückmeldung an einen der beiden, bevor das Verfahren festgelegt ist. Eingangszeitpunkte protokollieren.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Verkaufsleitung entscheidet über das Verfahren</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ein Bietverfahren durchgeführt wird oder Gleichbehandlung bestritten wird.</w:t>
            </w:r>
          </w:p>
        </w:tc>
      </w:tr>
    </w:tbl>
    <w:p>
      <w:pPr>
        <w:pStyle w:val="Heading3"/>
        <w:spacing w:after="100" w:before="220"/>
      </w:pPr>
      <w:r>
        <w:t xml:space="preserve">Ausfall auf der Eigentümerseite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750"/>
        <w:gridCol w:w="3300"/>
        <w:gridCol w:w="1400"/>
        <w:gridCol w:w="27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50"/>
            <w:shd w:fill="0F5C6E" w:color="auto" w:val="clear"/>
            <w:tcMar>
              <w:top w:type="dxa" w:w="70"/>
              <w:left w:type="dxa" w:w="100"/>
              <w:bottom w:type="dxa" w:w="70"/>
              <w:right w:type="dxa" w:w="100"/>
            </w:tcMar>
          </w:tcPr>
          <w:p>
            <w:pPr>
              <w:spacing w:after="0"/>
            </w:pPr>
            <w:r>
              <w:rPr>
                <w:b/>
                <w:bCs/>
                <w:color w:val="FFFFFF"/>
                <w:sz w:val="18"/>
                <w:szCs w:val="18"/>
              </w:rPr>
              <w:t xml:space="preserve">Störfall</w:t>
            </w:r>
          </w:p>
        </w:tc>
        <w:tc>
          <w:tcPr>
            <w:tcW w:type="dxa" w:w="3300"/>
            <w:shd w:fill="0F5C6E" w:color="auto" w:val="clear"/>
            <w:tcMar>
              <w:top w:type="dxa" w:w="70"/>
              <w:left w:type="dxa" w:w="100"/>
              <w:bottom w:type="dxa" w:w="70"/>
              <w:right w:type="dxa" w:w="100"/>
            </w:tcMar>
          </w:tcPr>
          <w:p>
            <w:pPr>
              <w:spacing w:after="0"/>
            </w:pPr>
            <w:r>
              <w:rPr>
                <w:b/>
                <w:bCs/>
                <w:color w:val="FFFFFF"/>
                <w:sz w:val="18"/>
                <w:szCs w:val="18"/>
              </w:rPr>
              <w:t xml:space="preserve">Sofortmassnahme</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Wer führt</w:t>
            </w:r>
          </w:p>
        </w:tc>
        <w:tc>
          <w:tcPr>
            <w:tcW w:type="dxa" w:w="2700"/>
            <w:shd w:fill="0F5C6E" w:color="auto" w:val="clear"/>
            <w:tcMar>
              <w:top w:type="dxa" w:w="70"/>
              <w:left w:type="dxa" w:w="100"/>
              <w:bottom w:type="dxa" w:w="70"/>
              <w:right w:type="dxa" w:w="100"/>
            </w:tcMar>
          </w:tcPr>
          <w:p>
            <w:pPr>
              <w:spacing w:after="0"/>
            </w:pPr>
            <w:r>
              <w:rPr>
                <w:b/>
                <w:bCs/>
                <w:color w:val="FFFFFF"/>
                <w:sz w:val="18"/>
                <w:szCs w:val="18"/>
              </w:rPr>
              <w:t xml:space="preserve">Rechtsprüfung nötig, wenn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T10</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Eigentümer ändert seine Meinung</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Änderungswunsch schriftlich erfassen: Preis, Termin, Verkaufsabsicht, Vermarktungsform. Keine mündliche Umsetzung.</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 bei Rückzug</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bereits Zusagen gegenüber Interessenten bestehen oder eine Reservation ausgestellt ist</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T11</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Streit zwischen Eigentümern</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Kommunikation strikt gleichlautend an alle; keine Partei ergreifen; keine Entscheide von einer Teilgruppe annehmen.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Verkaufsleitung übernimmt die Führung</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zwingend. Prüfung, ob eine Vertretung oder ein gerichtlicher Schritt nötig ist.</w:t>
            </w:r>
          </w:p>
        </w:tc>
      </w:tr>
    </w:tbl>
    <w:p>
      <w:pPr>
        <w:pStyle w:val="Heading3"/>
        <w:spacing w:after="100" w:before="220"/>
      </w:pPr>
      <w:r>
        <w:t xml:space="preserve">Abwicklung und Unterlagen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750"/>
        <w:gridCol w:w="3300"/>
        <w:gridCol w:w="1400"/>
        <w:gridCol w:w="27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50"/>
            <w:shd w:fill="0F5C6E" w:color="auto" w:val="clear"/>
            <w:tcMar>
              <w:top w:type="dxa" w:w="70"/>
              <w:left w:type="dxa" w:w="100"/>
              <w:bottom w:type="dxa" w:w="70"/>
              <w:right w:type="dxa" w:w="100"/>
            </w:tcMar>
          </w:tcPr>
          <w:p>
            <w:pPr>
              <w:spacing w:after="0"/>
            </w:pPr>
            <w:r>
              <w:rPr>
                <w:b/>
                <w:bCs/>
                <w:color w:val="FFFFFF"/>
                <w:sz w:val="18"/>
                <w:szCs w:val="18"/>
              </w:rPr>
              <w:t xml:space="preserve">Störfall</w:t>
            </w:r>
          </w:p>
        </w:tc>
        <w:tc>
          <w:tcPr>
            <w:tcW w:type="dxa" w:w="3300"/>
            <w:shd w:fill="0F5C6E" w:color="auto" w:val="clear"/>
            <w:tcMar>
              <w:top w:type="dxa" w:w="70"/>
              <w:left w:type="dxa" w:w="100"/>
              <w:bottom w:type="dxa" w:w="70"/>
              <w:right w:type="dxa" w:w="100"/>
            </w:tcMar>
          </w:tcPr>
          <w:p>
            <w:pPr>
              <w:spacing w:after="0"/>
            </w:pPr>
            <w:r>
              <w:rPr>
                <w:b/>
                <w:bCs/>
                <w:color w:val="FFFFFF"/>
                <w:sz w:val="18"/>
                <w:szCs w:val="18"/>
              </w:rPr>
              <w:t xml:space="preserve">Sofortmassnahme</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Wer führt</w:t>
            </w:r>
          </w:p>
        </w:tc>
        <w:tc>
          <w:tcPr>
            <w:tcW w:type="dxa" w:w="2700"/>
            <w:shd w:fill="0F5C6E" w:color="auto" w:val="clear"/>
            <w:tcMar>
              <w:top w:type="dxa" w:w="70"/>
              <w:left w:type="dxa" w:w="100"/>
              <w:bottom w:type="dxa" w:w="70"/>
              <w:right w:type="dxa" w:w="100"/>
            </w:tcMar>
          </w:tcPr>
          <w:p>
            <w:pPr>
              <w:spacing w:after="0"/>
            </w:pPr>
            <w:r>
              <w:rPr>
                <w:b/>
                <w:bCs/>
                <w:color w:val="FFFFFF"/>
                <w:sz w:val="18"/>
                <w:szCs w:val="18"/>
              </w:rPr>
              <w:t xml:space="preserve">Rechtsprüfung nötig, wenn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T12</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Notariatstermin platzt</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 feststellen: Person, Unterlage, Finanzierung, Bewilligung, Form der Vollmacht. Neuen Termin nur nach behobener Ursache vereinbaren.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koordiniert; Notariat führt</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wenn Fristen aus dem Vertrag oder der Reservation betroffen sind.</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T13</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Unterlagen fehlen kurz vor der Beurkundung</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Fehlende Unterlage benennen und die schnellste Bezugsquelle aktivieren; Notariat über den Stand informieren, bevor es nachfragt.</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nur, wenn die Unterlage eine Voraussetzung der Verfügungsbefugnis betrifft.</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T14</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Unbekannte Dienstbarkeit wird entdeckt</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Beleg beim Grundbuchamt beziehen; Inhalt, Berechtigten und praktische Auswirkung bestimmen. Vermarktungsaussagen prüfen, die ihr widersprechen.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Rechtsberatung</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Rechtsberatung zwingend</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T15</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Mangel wird nach Vermarktungsstart bekannt</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Mangel in die Mängelliste aufnehmen und vom Eigentümer bestätigen lassen. Dossier ergänzen, bevor weitere Besichtigungen stattfinden.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Verkaufsleitung</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zwingend</w:t>
            </w:r>
          </w:p>
        </w:tc>
      </w:tr>
    </w:tbl>
    <w:p>
      <w:pPr>
        <w:pStyle w:val="Heading3"/>
        <w:spacing w:after="100" w:before="220"/>
      </w:pPr>
      <w:r>
        <w:t xml:space="preserve">Compliance und Verhalten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50"/>
        <w:gridCol w:w="1750"/>
        <w:gridCol w:w="3300"/>
        <w:gridCol w:w="1400"/>
        <w:gridCol w:w="2700"/>
      </w:tblGrid>
      <w:tr>
        <w:trPr>
          <w:tblHeader/>
        </w:trPr>
        <w:tc>
          <w:tcPr>
            <w:tcW w:type="dxa" w:w="45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750"/>
            <w:shd w:fill="0F5C6E" w:color="auto" w:val="clear"/>
            <w:tcMar>
              <w:top w:type="dxa" w:w="70"/>
              <w:left w:type="dxa" w:w="100"/>
              <w:bottom w:type="dxa" w:w="70"/>
              <w:right w:type="dxa" w:w="100"/>
            </w:tcMar>
          </w:tcPr>
          <w:p>
            <w:pPr>
              <w:spacing w:after="0"/>
            </w:pPr>
            <w:r>
              <w:rPr>
                <w:b/>
                <w:bCs/>
                <w:color w:val="FFFFFF"/>
                <w:sz w:val="18"/>
                <w:szCs w:val="18"/>
              </w:rPr>
              <w:t xml:space="preserve">Störfall</w:t>
            </w:r>
          </w:p>
        </w:tc>
        <w:tc>
          <w:tcPr>
            <w:tcW w:type="dxa" w:w="3300"/>
            <w:shd w:fill="0F5C6E" w:color="auto" w:val="clear"/>
            <w:tcMar>
              <w:top w:type="dxa" w:w="70"/>
              <w:left w:type="dxa" w:w="100"/>
              <w:bottom w:type="dxa" w:w="70"/>
              <w:right w:type="dxa" w:w="100"/>
            </w:tcMar>
          </w:tcPr>
          <w:p>
            <w:pPr>
              <w:spacing w:after="0"/>
            </w:pPr>
            <w:r>
              <w:rPr>
                <w:b/>
                <w:bCs/>
                <w:color w:val="FFFFFF"/>
                <w:sz w:val="18"/>
                <w:szCs w:val="18"/>
              </w:rPr>
              <w:t xml:space="preserve">Sofortmassnahme</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Wer führt</w:t>
            </w:r>
          </w:p>
        </w:tc>
        <w:tc>
          <w:tcPr>
            <w:tcW w:type="dxa" w:w="2700"/>
            <w:shd w:fill="0F5C6E" w:color="auto" w:val="clear"/>
            <w:tcMar>
              <w:top w:type="dxa" w:w="70"/>
              <w:left w:type="dxa" w:w="100"/>
              <w:bottom w:type="dxa" w:w="70"/>
              <w:right w:type="dxa" w:w="100"/>
            </w:tcMar>
          </w:tcPr>
          <w:p>
            <w:pPr>
              <w:spacing w:after="0"/>
            </w:pPr>
            <w:r>
              <w:rPr>
                <w:b/>
                <w:bCs/>
                <w:color w:val="FFFFFF"/>
                <w:sz w:val="18"/>
                <w:szCs w:val="18"/>
              </w:rPr>
              <w:t xml:space="preserve">Rechtsprüfung nötig, wenn</w:t>
            </w:r>
          </w:p>
        </w:tc>
      </w:tr>
      <w:tr>
        <w:tc>
          <w:tcPr>
            <w:tcW w:type="dxa" w:w="450"/>
            <w:shd w:fill="FFFFFF" w:color="auto" w:val="clear"/>
            <w:tcMar>
              <w:top w:type="dxa" w:w="70"/>
              <w:left w:type="dxa" w:w="100"/>
              <w:bottom w:type="dxa" w:w="70"/>
              <w:right w:type="dxa" w:w="100"/>
            </w:tcMar>
          </w:tcPr>
          <w:p>
            <w:pPr>
              <w:spacing w:after="0"/>
            </w:pPr>
            <w:r>
              <w:rPr>
                <w:b w:val="false"/>
                <w:bCs w:val="false"/>
                <w:color w:val="1A1A1A"/>
                <w:sz w:val="18"/>
                <w:szCs w:val="18"/>
              </w:rPr>
              <w:t xml:space="preserve">T16</w:t>
            </w:r>
          </w:p>
        </w:tc>
        <w:tc>
          <w:tcPr>
            <w:tcW w:type="dxa" w:w="1750"/>
            <w:shd w:fill="FFFFFF" w:color="auto" w:val="clear"/>
            <w:tcMar>
              <w:top w:type="dxa" w:w="70"/>
              <w:left w:type="dxa" w:w="100"/>
              <w:bottom w:type="dxa" w:w="70"/>
              <w:right w:type="dxa" w:w="100"/>
            </w:tcMar>
          </w:tcPr>
          <w:p>
            <w:pPr>
              <w:spacing w:after="0"/>
            </w:pPr>
            <w:r>
              <w:rPr>
                <w:b w:val="false"/>
                <w:bCs w:val="false"/>
                <w:color w:val="1A1A1A"/>
                <w:sz w:val="18"/>
                <w:szCs w:val="18"/>
              </w:rPr>
              <w:t xml:space="preserve">Datenschutzverletzung</w:t>
            </w:r>
          </w:p>
        </w:tc>
        <w:tc>
          <w:tcPr>
            <w:tcW w:type="dxa" w:w="3300"/>
            <w:shd w:fill="FFFFFF" w:color="auto" w:val="clear"/>
            <w:tcMar>
              <w:top w:type="dxa" w:w="70"/>
              <w:left w:type="dxa" w:w="100"/>
              <w:bottom w:type="dxa" w:w="70"/>
              <w:right w:type="dxa" w:w="100"/>
            </w:tcMar>
          </w:tcPr>
          <w:p>
            <w:pPr>
              <w:spacing w:after="0"/>
            </w:pPr>
            <w:r>
              <w:rPr>
                <w:b w:val="false"/>
                <w:bCs w:val="false"/>
                <w:color w:val="1A1A1A"/>
                <w:sz w:val="18"/>
                <w:szCs w:val="18"/>
              </w:rPr>
              <w:t xml:space="preserve">Vorgang stoppen: Fehlversand zurückziehen, Zugriff sperren, Datei entfernen</w:t>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 meldet unverzüglich der internen Stelle</w:t>
            </w:r>
          </w:p>
        </w:tc>
        <w:tc>
          <w:tcPr>
            <w:tcW w:type="dxa" w:w="2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Beurteilung durch die interne Stelle, ob eine Meldung an den Eidgenössischen Datenschutz- und Öffentlichkeitsbeauftragten erforderlich ist</w:t>
            </w:r>
          </w:p>
        </w:tc>
      </w:tr>
      <w:tr>
        <w:tc>
          <w:tcPr>
            <w:tcW w:type="dxa" w:w="450"/>
            <w:shd w:fill="F7F9F9" w:color="auto" w:val="clear"/>
            <w:tcMar>
              <w:top w:type="dxa" w:w="70"/>
              <w:left w:type="dxa" w:w="100"/>
              <w:bottom w:type="dxa" w:w="70"/>
              <w:right w:type="dxa" w:w="100"/>
            </w:tcMar>
          </w:tcPr>
          <w:p>
            <w:pPr>
              <w:spacing w:after="0"/>
            </w:pPr>
            <w:r>
              <w:rPr>
                <w:b w:val="false"/>
                <w:bCs w:val="false"/>
                <w:color w:val="1A1A1A"/>
                <w:sz w:val="18"/>
                <w:szCs w:val="18"/>
              </w:rPr>
              <w:t xml:space="preserve">T17</w:t>
            </w:r>
          </w:p>
        </w:tc>
        <w:tc>
          <w:tcPr>
            <w:tcW w:type="dxa" w:w="1750"/>
            <w:shd w:fill="F7F9F9" w:color="auto" w:val="clear"/>
            <w:tcMar>
              <w:top w:type="dxa" w:w="70"/>
              <w:left w:type="dxa" w:w="100"/>
              <w:bottom w:type="dxa" w:w="70"/>
              <w:right w:type="dxa" w:w="100"/>
            </w:tcMar>
          </w:tcPr>
          <w:p>
            <w:pPr>
              <w:spacing w:after="0"/>
            </w:pPr>
            <w:r>
              <w:rPr>
                <w:b w:val="false"/>
                <w:bCs w:val="false"/>
                <w:color w:val="1A1A1A"/>
                <w:sz w:val="18"/>
                <w:szCs w:val="18"/>
              </w:rPr>
              <w:t xml:space="preserve">Falsche Kommunikation durch den Makler</w:t>
            </w:r>
          </w:p>
        </w:tc>
        <w:tc>
          <w:tcPr>
            <w:tcW w:type="dxa" w:w="33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Aussage nicht wiederholen und nicht verteidigen</w:t>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Makler meldet sofort der Verkaufsleitung</w:t>
            </w:r>
          </w:p>
        </w:tc>
        <w:tc>
          <w:tcPr>
            <w:tcW w:type="dxa" w:w="2700"/>
            <w:shd w:fill="F7F9F9" w:color="auto" w:val="clear"/>
            <w:tcMar>
              <w:top w:type="dxa" w:w="70"/>
              <w:left w:type="dxa" w:w="100"/>
              <w:bottom w:type="dxa" w:w="70"/>
              <w:right w:type="dxa" w:w="100"/>
            </w:tcMar>
          </w:tcPr>
          <w:p>
            <w:pPr>
              <w:spacing w:after="0"/>
            </w:pPr>
            <w:r>
              <w:rPr>
                <w:b w:val="false"/>
                <w:bCs w:val="false"/>
                <w:color w:val="1A1A1A"/>
                <w:sz w:val="18"/>
                <w:szCs w:val="18"/>
              </w:rPr>
              <w:t xml:space="preserve">Rechtsberatung, wenn die Aussage eine Zusicherung, eine Rechtsauskunft oder eine Aussage zu Steuern, …</w:t>
            </w:r>
          </w:p>
        </w:tc>
      </w:tr>
    </w:tbl>
    <w:p>
      <w:pPr>
        <w:pStyle w:val="Heading1"/>
        <w:pageBreakBefore/>
        <w:spacing w:after="180" w:before="0"/>
      </w:pPr>
      <w:r>
        <w:t xml:space="preserve">8 · Die roten Linien</w:t>
      </w:r>
    </w:p>
    <w:p>
      <w:pPr>
        <w:spacing w:after="120" w:before="0"/>
      </w:pPr>
      <w:r>
        <w:rPr>
          <w:color w:val="1A1A1A"/>
          <w:sz w:val="20"/>
          <w:szCs w:val="20"/>
        </w:rPr>
        <w:t xml:space="preserve">Dreissig Sätze. Jeder hat eine Fundstelle und einen Grund. Wer diese Seite kennt, vermeidet die Fehler, die im Nachhinein nicht mehr korrigierbar sind.</w:t>
      </w:r>
    </w:p>
    <w:p>
      <w:pPr>
        <w:spacing w:after="0"/>
      </w:pPr>
      <w:r>
        <w:t xml:space="preserve"/>
      </w:r>
    </w:p>
    <w:p>
      <w:pPr>
        <w:pStyle w:val="Heading3"/>
        <w:spacing w:after="100" w:before="220"/>
      </w:pPr>
      <w:r>
        <w:t xml:space="preserve">Vor dem Mandat</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200"/>
        <w:gridCol w:w="1500"/>
        <w:gridCol w:w="3900"/>
      </w:tblGrid>
      <w:tr>
        <w:trPr>
          <w:tblHeader/>
        </w:trPr>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Nie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Fundstelle</w:t>
            </w:r>
          </w:p>
        </w:tc>
        <w:tc>
          <w:tcPr>
            <w:tcW w:type="dxa" w:w="3900"/>
            <w:shd w:fill="0F5C6E" w:color="auto" w:val="clear"/>
            <w:tcMar>
              <w:top w:type="dxa" w:w="70"/>
              <w:left w:type="dxa" w:w="100"/>
              <w:bottom w:type="dxa" w:w="70"/>
              <w:right w:type="dxa" w:w="100"/>
            </w:tcMar>
          </w:tcPr>
          <w:p>
            <w:pPr>
              <w:spacing w:after="0"/>
            </w:pPr>
            <w:r>
              <w:rPr>
                <w:b/>
                <w:bCs/>
                <w:color w:val="FFFFFF"/>
                <w:sz w:val="18"/>
                <w:szCs w:val="18"/>
              </w:rPr>
              <w:t xml:space="preserve">Weshalb</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Vermarktungskosten, bevor Gate 1 freigegeben ist.</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1</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Aufwand verloren, wenn das Objekt in der vorgesehenen Form nicht verkäuflich ist.</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 Mandat ohne Unterschrift jedes Verfügungsberechtigten.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2 · R13 R14</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Verkauf scheitert sonst kurz vor der Beurkundung.</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Preisnennung und keine Bandbreite vor Objektaufnahme und Bewertung.</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Phase 2 · Teil D1</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Eine früh genannte Zahl lässt sich nicht zurücknehmen.</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Vertragsvorlage nie verändert verwenden.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2</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Veränderte Klauseln sind nicht geprüft und im Streitfall nicht durchsetzbar.</w:t>
            </w:r>
          </w:p>
        </w:tc>
      </w:tr>
    </w:tbl>
    <w:p>
      <w:pPr>
        <w:pStyle w:val="Heading3"/>
        <w:spacing w:after="100" w:before="220"/>
      </w:pPr>
      <w:r>
        <w:t xml:space="preserve">Angaben und Vermarktung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200"/>
        <w:gridCol w:w="1500"/>
        <w:gridCol w:w="3900"/>
      </w:tblGrid>
      <w:tr>
        <w:trPr>
          <w:tblHeader/>
        </w:trPr>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Nie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Fundstelle</w:t>
            </w:r>
          </w:p>
        </w:tc>
        <w:tc>
          <w:tcPr>
            <w:tcW w:type="dxa" w:w="3900"/>
            <w:shd w:fill="0F5C6E" w:color="auto" w:val="clear"/>
            <w:tcMar>
              <w:top w:type="dxa" w:w="70"/>
              <w:left w:type="dxa" w:w="100"/>
              <w:bottom w:type="dxa" w:w="70"/>
              <w:right w:type="dxa" w:w="100"/>
            </w:tcMar>
          </w:tcPr>
          <w:p>
            <w:pPr>
              <w:spacing w:after="0"/>
            </w:pPr>
            <w:r>
              <w:rPr>
                <w:b/>
                <w:bCs/>
                <w:color w:val="FFFFFF"/>
                <w:sz w:val="18"/>
                <w:szCs w:val="18"/>
              </w:rPr>
              <w:t xml:space="preserve">Weshalb</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Angabe ohne belegte Quelle – in Bewertung, Dossier und jedem Kanal.</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4 · R9</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Jede Angabe kann als zugesicherte Eigenschaft gelten.</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Flächen nie schätzen. Grundstück aus dem Grundbuchauszug, Wohnfläche aus dem Plan mit Norm.</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R12</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Flächenangaben sind zusicherungsrelevant.</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Nicht bewilligte Fläche nie als Wohnfläche ausweisen oder als Potenzial bewerben.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R44 · S15</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Unzutreffende Zusicherung und Wiederherstellungsrisiko beim Käufer.</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Ausbaupotenzial nur mit schriftlicher behördlicher Bestätigung.</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R27</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Vermutetes Potenzial ist nicht bewertbar und nicht bewerbbar.</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Energieangabe ohne vorliegenden GEAK.</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R33</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Ohne Nachweis ist die Effizienzangabe eine Behauptung.</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Veröffentlichung ohne schriftliche Eigentümerfreigabe und abgezeichnete Release-Checkliste.</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4 · K2</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Fehler in veröffentlichten Angaben sind nur mit Korrekturaufwand und Vertrauensverlust behebbar</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Bekannte Mängel nie verschweigen – auch behobene gehören in die Liste.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R10 · T15</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Wegbedingung der Gewährleistung trägt nur bei vollständiger Offenlegung.</w:t>
            </w:r>
          </w:p>
        </w:tc>
      </w:tr>
    </w:tbl>
    <w:p>
      <w:pPr>
        <w:pStyle w:val="Heading3"/>
        <w:spacing w:after="100" w:before="220"/>
      </w:pPr>
      <w:r>
        <w:t xml:space="preserve">Käufer und Verhandlung</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200"/>
        <w:gridCol w:w="1500"/>
        <w:gridCol w:w="3900"/>
      </w:tblGrid>
      <w:tr>
        <w:trPr>
          <w:tblHeader/>
        </w:trPr>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Nie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Fundstelle</w:t>
            </w:r>
          </w:p>
        </w:tc>
        <w:tc>
          <w:tcPr>
            <w:tcW w:type="dxa" w:w="3900"/>
            <w:shd w:fill="0F5C6E" w:color="auto" w:val="clear"/>
            <w:tcMar>
              <w:top w:type="dxa" w:w="70"/>
              <w:left w:type="dxa" w:w="100"/>
              <w:bottom w:type="dxa" w:w="70"/>
              <w:right w:type="dxa" w:w="100"/>
            </w:tcMar>
          </w:tcPr>
          <w:p>
            <w:pPr>
              <w:spacing w:after="0"/>
            </w:pPr>
            <w:r>
              <w:rPr>
                <w:b/>
                <w:bCs/>
                <w:color w:val="FFFFFF"/>
                <w:sz w:val="18"/>
                <w:szCs w:val="18"/>
              </w:rPr>
              <w:t xml:space="preserve">Weshalb</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Reservation und keine Rückstellung der Vermarktung auf eine Selbstauskunft hin.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6 · P6 · S21 · R40</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teuerste vermeidbare Fehler: Wochen verloren, Zweitinteressenten abgewandert.</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Erwerbsrechtliche Zulässigkeit vor der Terminvergabe klären, nicht beim Angebot.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R34–R36 · S18</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Sonst werden Erwartungen geweckt, die nicht erfüllbar sind.</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Nie ohne schriftlichen Verhandlungsauftrag verhandeln.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Gate 7</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Vollmachtüberschreitung und Haftung.</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Mindestpreis und Rückzugslinie nie nennen, nie andeuten, nie durch Verhalten erkennbar machen.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E6</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Verhandlungsposition unwiederbringlich verloren.</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Angebotsbeträge Dritter nie offenlegen.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S23 · R39</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Vertrauensbruch und Datenschutzverstoss.</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Zusage zu Gewährleistung, Bauzulässigkeit, Steuerfolgen oder Finanzierung.</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A2 · R9</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Solche Aussagen sind Zusicherungen, für die der Makler haftet.</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Zweitplatzierte bis zur Beurkundung halten, nicht absagen.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Funnelstufe 7 · T7</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Reservationen platzen; eine gehaltene Alternative spart Wochen.</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Jedes Angebot dem Eigentümer vorlegen – auch das, das aussichtslos erscheint.</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E4</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Auswahl ist nicht die Aufgabe des Maklers.</w:t>
            </w:r>
          </w:p>
        </w:tc>
      </w:tr>
    </w:tbl>
    <w:p>
      <w:pPr>
        <w:pStyle w:val="Heading3"/>
        <w:spacing w:after="100" w:before="220"/>
      </w:pPr>
      <w:r>
        <w:t xml:space="preserve">Preis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200"/>
        <w:gridCol w:w="1500"/>
        <w:gridCol w:w="3900"/>
      </w:tblGrid>
      <w:tr>
        <w:trPr>
          <w:tblHeader/>
        </w:trPr>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Nie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Fundstelle</w:t>
            </w:r>
          </w:p>
        </w:tc>
        <w:tc>
          <w:tcPr>
            <w:tcW w:type="dxa" w:w="3900"/>
            <w:shd w:fill="0F5C6E" w:color="auto" w:val="clear"/>
            <w:tcMar>
              <w:top w:type="dxa" w:w="70"/>
              <w:left w:type="dxa" w:w="100"/>
              <w:bottom w:type="dxa" w:w="70"/>
              <w:right w:type="dxa" w:w="100"/>
            </w:tcMar>
          </w:tcPr>
          <w:p>
            <w:pPr>
              <w:spacing w:after="0"/>
            </w:pPr>
            <w:r>
              <w:rPr>
                <w:b/>
                <w:bCs/>
                <w:color w:val="FFFFFF"/>
                <w:sz w:val="18"/>
                <w:szCs w:val="18"/>
              </w:rPr>
              <w:t xml:space="preserve">Weshalb</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Preisreduktion ohne dokumentierte Ursachenanalyse.</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P1–P8 · K3</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Zeitablauf ist kein Indikator für die Ursache.</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Reduktionskette in kurzen Abständen.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P7</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Signalisiert Not und zerstört die Verhandlungsposition endgültig.</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Preisänderung ohne schriftlichen Eigentümerentscheid.</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 C9</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Makler empfiehlt, der Eigentümer entscheidet.</w:t>
            </w:r>
          </w:p>
        </w:tc>
      </w:tr>
    </w:tbl>
    <w:p>
      <w:pPr>
        <w:pStyle w:val="Heading3"/>
        <w:spacing w:after="100" w:before="220"/>
      </w:pPr>
      <w:r>
        <w:t xml:space="preserve">Geld, Recht, Abschluss</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4200"/>
        <w:gridCol w:w="1500"/>
        <w:gridCol w:w="3900"/>
      </w:tblGrid>
      <w:tr>
        <w:trPr>
          <w:tblHeader/>
        </w:trPr>
        <w:tc>
          <w:tcPr>
            <w:tcW w:type="dxa" w:w="4200"/>
            <w:shd w:fill="0F5C6E" w:color="auto" w:val="clear"/>
            <w:tcMar>
              <w:top w:type="dxa" w:w="70"/>
              <w:left w:type="dxa" w:w="100"/>
              <w:bottom w:type="dxa" w:w="70"/>
              <w:right w:type="dxa" w:w="100"/>
            </w:tcMar>
          </w:tcPr>
          <w:p>
            <w:pPr>
              <w:spacing w:after="0"/>
            </w:pPr>
            <w:r>
              <w:rPr>
                <w:b/>
                <w:bCs/>
                <w:color w:val="FFFFFF"/>
                <w:sz w:val="18"/>
                <w:szCs w:val="18"/>
              </w:rPr>
              <w:t xml:space="preserve">Nie</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Fundstelle</w:t>
            </w:r>
          </w:p>
        </w:tc>
        <w:tc>
          <w:tcPr>
            <w:tcW w:type="dxa" w:w="3900"/>
            <w:shd w:fill="0F5C6E" w:color="auto" w:val="clear"/>
            <w:tcMar>
              <w:top w:type="dxa" w:w="70"/>
              <w:left w:type="dxa" w:w="100"/>
              <w:bottom w:type="dxa" w:w="70"/>
              <w:right w:type="dxa" w:w="100"/>
            </w:tcMar>
          </w:tcPr>
          <w:p>
            <w:pPr>
              <w:spacing w:after="0"/>
            </w:pPr>
            <w:r>
              <w:rPr>
                <w:b/>
                <w:bCs/>
                <w:color w:val="FFFFFF"/>
                <w:sz w:val="18"/>
                <w:szCs w:val="18"/>
              </w:rPr>
              <w:t xml:space="preserve">Weshalb</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Keine Barzahlung im Zusammenhang mit dem Objekt – auch nicht für Inventar.</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R38</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Unabhängig von jeder Schwelle: Unternehmensgrundsatz</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Zahlung auf ein Konto des Maklers.</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R38 · Teil H1</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Ausschliesslich über Notariat oder Bankkonto.</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Reservationsbestätigung nie um Kaufverpflichtung, Konventionalstrafe oder Verfallsklausel ergänzen.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R2 · Gate 8</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Wäre ein formungültiger Vorvertrag und nicht durchsetzbar.</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Übergabe vor bestätigter Eintragung im Grundbuch.</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 10 · R3</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Käufer ist bis dahin nicht Eigentümer.</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vermietetem Objekt keine Besichtigung ohne rechtzeitige Ankündigung an den Mieter.</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R47 · S10</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Duldungspflicht besteht, freies Zutrittsrecht nicht.</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Keine eigene Rechtsauskunft und keine Vertragsredaktion.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A2</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Gehört zum Notariat oder zur Rechtsberatung der Partei.</w:t>
            </w:r>
          </w:p>
        </w:tc>
      </w:tr>
      <w:tr>
        <w:tc>
          <w:tcPr>
            <w:tcW w:type="dxa" w:w="4200"/>
            <w:shd w:fill="FFFFFF" w:color="auto" w:val="clear"/>
            <w:tcMar>
              <w:top w:type="dxa" w:w="70"/>
              <w:left w:type="dxa" w:w="100"/>
              <w:bottom w:type="dxa" w:w="70"/>
              <w:right w:type="dxa" w:w="100"/>
            </w:tcMar>
          </w:tcPr>
          <w:p>
            <w:pPr>
              <w:spacing w:after="0"/>
            </w:pPr>
            <w:r>
              <w:rPr>
                <w:b w:val="false"/>
                <w:bCs w:val="false"/>
                <w:color w:val="1A1A1A"/>
                <w:sz w:val="18"/>
                <w:szCs w:val="18"/>
              </w:rPr>
              <w:t xml:space="preserve">Bei eigener Kaufabsicht oder Kauf durch Nahestehende: Mandat abgeben.</w:t>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S30 · R19 R43</w:t>
            </w:r>
          </w:p>
        </w:tc>
        <w:tc>
          <w:tcPr>
            <w:tcW w:type="dxa" w:w="3900"/>
            <w:shd w:fill="FFFFFF" w:color="auto" w:val="clear"/>
            <w:tcMar>
              <w:top w:type="dxa" w:w="70"/>
              <w:left w:type="dxa" w:w="100"/>
              <w:bottom w:type="dxa" w:w="70"/>
              <w:right w:type="dxa" w:w="100"/>
            </w:tcMar>
          </w:tcPr>
          <w:p>
            <w:pPr>
              <w:spacing w:after="0"/>
            </w:pPr>
            <w:r>
              <w:rPr>
                <w:b w:val="false"/>
                <w:bCs w:val="false"/>
                <w:color w:val="1A1A1A"/>
                <w:sz w:val="18"/>
                <w:szCs w:val="18"/>
              </w:rPr>
              <w:t xml:space="preserve">Interessenkonflikt; Lohnanspruch kann verwirken.</w:t>
            </w:r>
          </w:p>
        </w:tc>
      </w:tr>
      <w:tr>
        <w:tc>
          <w:tcPr>
            <w:tcW w:type="dxa" w:w="4200"/>
            <w:shd w:fill="F7F9F9" w:color="auto" w:val="clear"/>
            <w:tcMar>
              <w:top w:type="dxa" w:w="70"/>
              <w:left w:type="dxa" w:w="100"/>
              <w:bottom w:type="dxa" w:w="70"/>
              <w:right w:type="dxa" w:w="100"/>
            </w:tcMar>
          </w:tcPr>
          <w:p>
            <w:pPr>
              <w:spacing w:after="0"/>
            </w:pPr>
            <w:r>
              <w:rPr>
                <w:b w:val="false"/>
                <w:bCs w:val="false"/>
                <w:color w:val="1A1A1A"/>
                <w:sz w:val="18"/>
                <w:szCs w:val="18"/>
              </w:rPr>
              <w:t xml:space="preserve">Fehler am gleichen Tag melden – auch ohne Lösung. Nichts rückdatieren oder überschreiben.</w:t>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Teil J2</w:t>
            </w:r>
          </w:p>
        </w:tc>
        <w:tc>
          <w:tcPr>
            <w:tcW w:type="dxa" w:w="39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 verwalteter Fehler wird zum Haftungsfall.</w:t>
            </w:r>
          </w:p>
        </w:tc>
      </w:tr>
    </w:tbl>
    <w:p>
      <w:pPr>
        <w:pStyle w:val="Heading1"/>
        <w:pageBreakBefore/>
        <w:spacing w:after="180" w:before="0"/>
      </w:pPr>
      <w:r>
        <w:t xml:space="preserve">9 · Wo steht was</w:t>
      </w:r>
    </w:p>
    <w:p>
      <w:pPr>
        <w:spacing w:after="120" w:before="0"/>
      </w:pPr>
      <w:r>
        <w:rPr>
          <w:color w:val="1A1A1A"/>
          <w:sz w:val="20"/>
          <w:szCs w:val="20"/>
        </w:rPr>
        <w:t xml:space="preserve">Die Kurzfassung führt den Prozess. Für Abklärungslisten, Volltexte, Begründungen und Rechtsgrundlagen gilt diese Verweistabelle.</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100"/>
        <w:gridCol w:w="2500"/>
        <w:gridCol w:w="4000"/>
      </w:tblGrid>
      <w:tr>
        <w:trPr>
          <w:tblHeader/>
        </w:trPr>
        <w:tc>
          <w:tcPr>
            <w:tcW w:type="dxa" w:w="3100"/>
            <w:shd w:fill="0F5C6E" w:color="auto" w:val="clear"/>
            <w:tcMar>
              <w:top w:type="dxa" w:w="70"/>
              <w:left w:type="dxa" w:w="100"/>
              <w:bottom w:type="dxa" w:w="70"/>
              <w:right w:type="dxa" w:w="100"/>
            </w:tcMar>
          </w:tcPr>
          <w:p>
            <w:pPr>
              <w:spacing w:after="0"/>
            </w:pPr>
            <w:r>
              <w:rPr>
                <w:b/>
                <w:bCs/>
                <w:color w:val="FFFFFF"/>
                <w:sz w:val="18"/>
                <w:szCs w:val="18"/>
              </w:rPr>
              <w:t xml:space="preserve">Thema</w:t>
            </w:r>
          </w:p>
        </w:tc>
        <w:tc>
          <w:tcPr>
            <w:tcW w:type="dxa" w:w="2500"/>
            <w:shd w:fill="0F5C6E" w:color="auto" w:val="clear"/>
            <w:tcMar>
              <w:top w:type="dxa" w:w="70"/>
              <w:left w:type="dxa" w:w="100"/>
              <w:bottom w:type="dxa" w:w="70"/>
              <w:right w:type="dxa" w:w="100"/>
            </w:tcMar>
          </w:tcPr>
          <w:p>
            <w:pPr>
              <w:spacing w:after="0"/>
            </w:pPr>
            <w:r>
              <w:rPr>
                <w:b/>
                <w:bCs/>
                <w:color w:val="FFFFFF"/>
                <w:sz w:val="18"/>
                <w:szCs w:val="18"/>
              </w:rPr>
              <w:t xml:space="preserve">Fundstelle</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Was dort steht</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Prozess, Phasen im Detail</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B2</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18 Felder je Phase, einschliesslich Risiken und Dokumentationspflicht</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Gate-Kriterien im Volltext</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B1</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Kriterien, Nachweis, Eskalation ausformuliert</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Bewertungsmethoden und Plausibilitätsprüfungen</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C2–C4</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Einsatz, Vorgehen, Grenzen je Methode</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Baurechtsobjekt bewerten</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C5</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Kein Landwert, Zins als Belastung, Restlaufzeit</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Bewertungsbericht, Aufbau</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C6 · Mappe 08</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20 Abschnitte mit Annahmen und Vorbehalten</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Erstgesprächsleitfaden</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D1 · Formular F1</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45 Fragen mit Begründung und Folge</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Maklermandat, Struktur</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D3</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24 Ziffern mit Prüfkennzeichnung</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Eigentümerreports V1–V14</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D5 · Dokument 05</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Anlass, Zweck, Inhalt, einzuholender Entscheid</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Käuferprofil, Pflichtfelder je Stufe</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E2 · Formular F2</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30 Felder mit Angabe, ab welcher Stufe sie vorliegen müssen</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Angebotsvergleich, 19 Kriterien</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E5 · Formular F5</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Matrix mit Nettoerlös und Abschlusssicherheit</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Verhandlungsvorbereitung und Protokoll</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E6 · Formular F6</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11 Vorbereitungspunkte, 10 Protokollfelder</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Vermarktungsstufen und Kanäle</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F1–F2</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Acht Stufen, neun Kanäle mit Erfolgsmessung</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Verkaufsdossier, 23 Abschnitte</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F3 · Dokument 04</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Inhalt je Abschnitt</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Release-Checkliste</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F4</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25 Positionen vor der Veröffentlichung</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Fotografie: Pflichtaufnahmen, Ausschlussliste, Reihenfolge</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F6</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Mit Vorbereitungsliste für den Eigentümer</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Normebenen und Rechtsstand</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G1–G2</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Was Bundesrecht ist und was je Kanton zu klären ist</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GwG: Anknüpfung, Ausnahmen, Pfade</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G3–G5</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Mit Quellenvorbehalt</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TJPG, PEP, Datenschutz, Aufbewahrung</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G6–G9</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Aufbewahrungsfristen je Kategorie</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Kostenfolgen bei Abbruch</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G10</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Honorar, Aufwandersatz, Notariatskosten</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Notariat: vor und nach der Beurkundung</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H2–H3 · Formular F9</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17 bzw. 12 Positionen</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Übergabeprotokoll</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H4 · Formular F11</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11 Blöcke, 64 Felder</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CRM: Objektpipeline und Tagesliste</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I1–I3 · Mappe 06</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17 Status, 12 Tageslistenkategorien</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Dokumentenarchitektur und Vertraulichkeit</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I4–I8</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15 Kategorien, 10 Metadatenfelder</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Vier-Augen-Kontrollpunkte im Detail</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I9</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Prüfgegenstand, Nachweis, Folge je Punkt</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Sonderfälle mit Abklärungsliste</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J1 · Mappe 10</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30 Fälle mit sieben Feldern</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Störfälle mit vollem Ablauf</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J2 · Mappe 10</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17 Fälle von Sofortmassnahme bis Wiederaufnahme</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Dokumenten-Checkliste A–E</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K3 · Mappe 02</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92 Positionen mit Stufe und Bezugsquelle</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Objektaufnahme</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Mappe 07</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16 Blöcke, 182 Felder – dort wird gearbeitet</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Rechtsregister R1–R47</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Handbuch Teil K6 · Mappe 02</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Grundlage, Normebene, Kerninhalt, Praxis</w:t>
            </w:r>
          </w:p>
        </w:tc>
      </w:tr>
      <w:tr>
        <w:tc>
          <w:tcPr>
            <w:tcW w:type="dxa" w:w="3100"/>
            <w:shd w:fill="F7F9F9" w:color="auto" w:val="clear"/>
            <w:tcMar>
              <w:top w:type="dxa" w:w="70"/>
              <w:left w:type="dxa" w:w="100"/>
              <w:bottom w:type="dxa" w:w="70"/>
              <w:right w:type="dxa" w:w="100"/>
            </w:tcMar>
          </w:tcPr>
          <w:p>
            <w:pPr>
              <w:spacing w:after="0"/>
            </w:pPr>
            <w:r>
              <w:rPr>
                <w:b w:val="false"/>
                <w:bCs w:val="false"/>
                <w:color w:val="1A1A1A"/>
                <w:sz w:val="18"/>
                <w:szCs w:val="18"/>
              </w:rPr>
              <w:t xml:space="preserve">Kantonale Klärungsliste</w:t>
            </w:r>
          </w:p>
        </w:tc>
        <w:tc>
          <w:tcPr>
            <w:tcW w:type="dxa" w:w="25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Handbuch Teil A7</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19 Themen mit zuständiger Stelle</w:t>
            </w:r>
          </w:p>
        </w:tc>
      </w:tr>
      <w:tr>
        <w:tc>
          <w:tcPr>
            <w:tcW w:type="dxa" w:w="3100"/>
            <w:shd w:fill="FFFFFF" w:color="auto" w:val="clear"/>
            <w:tcMar>
              <w:top w:type="dxa" w:w="70"/>
              <w:left w:type="dxa" w:w="100"/>
              <w:bottom w:type="dxa" w:w="70"/>
              <w:right w:type="dxa" w:w="100"/>
            </w:tcMar>
          </w:tcPr>
          <w:p>
            <w:pPr>
              <w:spacing w:after="0"/>
            </w:pPr>
            <w:r>
              <w:rPr>
                <w:b w:val="false"/>
                <w:bCs w:val="false"/>
                <w:color w:val="1A1A1A"/>
                <w:sz w:val="18"/>
                <w:szCs w:val="18"/>
              </w:rPr>
              <w:t xml:space="preserve">Was gegenüber Version 1 geändert wurde</w:t>
            </w:r>
          </w:p>
        </w:tc>
        <w:tc>
          <w:tcPr>
            <w:tcW w:type="dxa" w:w="250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 00</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Audit, Falltests, Schlussaudit, Restrisiken</w:t>
            </w:r>
          </w:p>
        </w:tc>
      </w:tr>
    </w:tbl>
    <w:p>
      <w:pPr>
        <w:spacing w:after="0"/>
      </w:pPr>
      <w:r>
        <w:t xml:space="preserve"/>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Arbeitsmappen im Tagesgeschäft</w:t>
            </w:r>
          </w:p>
          <w:p>
            <w:pPr>
              <w:spacing w:after="50"/>
            </w:pPr>
            <w:r>
              <w:rPr>
                <w:sz w:val="19"/>
                <w:szCs w:val="19"/>
              </w:rPr>
              <w:t xml:space="preserve">Mappe 02 – Phasen, Gates, Stop-Kriterien, Dokumentencheckliste, Kontrollen, Register</w:t>
            </w:r>
          </w:p>
          <w:p>
            <w:pPr>
              <w:spacing w:after="50"/>
            </w:pPr>
            <w:r>
              <w:rPr>
                <w:sz w:val="19"/>
                <w:szCs w:val="19"/>
              </w:rPr>
              <w:t xml:space="preserve">Mappe 06 – Interessenten und Funnel, Besichtigungen, Angebote, Preisindikatoren und Preislogik, Objektpipeline, Controlling</w:t>
            </w:r>
          </w:p>
          <w:p>
            <w:pPr>
              <w:spacing w:after="50"/>
            </w:pPr>
            <w:r>
              <w:rPr>
                <w:sz w:val="19"/>
                <w:szCs w:val="19"/>
              </w:rPr>
              <w:t xml:space="preserve">Mappe 07 – Objektaufnahme, Raumliste, Mängelliste, offene Punkte</w:t>
            </w:r>
          </w:p>
          <w:p>
            <w:pPr>
              <w:spacing w:after="50"/>
            </w:pPr>
            <w:r>
              <w:rPr>
                <w:sz w:val="19"/>
                <w:szCs w:val="19"/>
              </w:rPr>
              <w:t xml:space="preserve">Mappe 08 – Bewertung mit Vergleichs-, Real- und Ertragswert, Sanierungsbedarf, Nettoerlös</w:t>
            </w:r>
          </w:p>
          <w:p>
            <w:pPr>
              <w:spacing w:after="50"/>
            </w:pPr>
            <w:r>
              <w:rPr>
                <w:sz w:val="19"/>
                <w:szCs w:val="19"/>
              </w:rPr>
              <w:t xml:space="preserve">Mappe 09 – Abschlusscheckliste, Kennzahlen, Schlüssel und Zählerstände</w:t>
            </w:r>
          </w:p>
          <w:p>
            <w:pPr>
              <w:spacing w:after="50"/>
            </w:pPr>
            <w:r>
              <w:rPr>
                <w:sz w:val="19"/>
                <w:szCs w:val="19"/>
              </w:rPr>
              <w:t xml:space="preserve">Mappe 10 – Sonderfälle und Störfälle zum Abarbeiten</w:t>
            </w:r>
          </w:p>
          <w:p>
            <w:pPr>
              <w:spacing w:after="50"/>
            </w:pPr>
            <w:r>
              <w:rPr>
                <w:sz w:val="19"/>
                <w:szCs w:val="19"/>
              </w:rPr>
              <w:t xml:space="preserve">Dokument 03 – Formulare F1 bis F13 · Dokument 04 – Verkaufsdossier · Dokument 05 – Kommunikationsvorlagen</w:t>
            </w:r>
          </w:p>
        </w:tc>
      </w:tr>
    </w:tbl>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D5" w:sz="4" w:space="6"/>
      </w:pBdr>
      <w:tabs>
        <w:tab w:val="right" w:pos="9600"/>
      </w:tabs>
    </w:pPr>
    <w:r>
      <w:rPr>
        <w:color w:val="85939C"/>
        <w:sz w:val="16"/>
        <w:szCs w:val="16"/>
      </w:rPr>
      <w:t xml:space="preserve">Kurzfassung Praxis · Version 2.0 · Fassung vom 18. September 2026</w:t>
    </w:r>
    <w:r>
      <w:rPr>
        <w:sz w:val="16"/>
        <w:szCs w:val="16"/>
      </w:rPr>
      <w:t xml:space="preserve">	</w:t>
    </w:r>
    <w:r>
      <w:rPr>
        <w:color w:val="85939C"/>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0F5C6E"/>
      <w:sz w:val="30"/>
      <w:szCs w:val="30"/>
    </w:rPr>
  </w:style>
  <w:style w:type="paragraph" w:styleId="Heading2">
    <w:name w:val="Heading 2"/>
    <w:basedOn w:val="Normal"/>
    <w:next w:val="Normal"/>
    <w:qFormat/>
    <w:pPr>
      <w:spacing w:after="120" w:before="280"/>
    </w:pPr>
    <w:rPr>
      <w:rFonts w:ascii="Calibri" w:cs="Calibri" w:eastAsia="Calibri" w:hAnsi="Calibri"/>
      <w:b/>
      <w:bCs/>
      <w:color w:val="0B4655"/>
      <w:sz w:val="25"/>
      <w:szCs w:val="25"/>
    </w:rPr>
  </w:style>
  <w:style w:type="paragraph" w:styleId="Heading3">
    <w:name w:val="Heading 3"/>
    <w:basedOn w:val="Normal"/>
    <w:next w:val="Normal"/>
    <w:qFormat/>
    <w:pPr>
      <w:spacing w:after="100" w:before="220"/>
    </w:pPr>
    <w:rPr>
      <w:rFonts w:ascii="Calibri" w:cs="Calibri" w:eastAsia="Calibri" w:hAnsi="Calibri"/>
      <w:b/>
      <w:bCs/>
      <w:color w:val="0B4655"/>
      <w:sz w:val="22"/>
      <w:szCs w:val="22"/>
    </w:rPr>
  </w:style>
  <w:style w:type="paragraph" w:styleId="Heading4">
    <w:name w:val="Heading 4"/>
    <w:basedOn w:val="Normal"/>
    <w:next w:val="Normal"/>
    <w:qFormat/>
    <w:pPr>
      <w:spacing w:after="80" w:before="180"/>
    </w:pPr>
    <w:rPr>
      <w:rFonts w:ascii="Calibri" w:cs="Calibri" w:eastAsia="Calibri" w:hAnsi="Calibri"/>
      <w:b/>
      <w:bCs/>
      <w:color w:val="5A6B76"/>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2026-09-22T12:28:55.011Z</dcterms:created>
  <dcterms:modified xsi:type="dcterms:W3CDTF">2026-09-22T12:28:55.011Z</dcterms:modified>
</cp:coreProperties>
</file>

<file path=docProps/custom.xml><?xml version="1.0" encoding="utf-8"?>
<Properties xmlns="http://schemas.openxmlformats.org/officeDocument/2006/custom-properties" xmlns:vt="http://schemas.openxmlformats.org/officeDocument/2006/docPropsVTypes"/>
</file>