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5C6E"/>
          <w:sz w:val="48"/>
          <w:szCs w:val="48"/>
        </w:rPr>
        <w:t xml:space="preserve">Off-Market</w:t>
      </w:r>
    </w:p>
    <w:p>
      <w:pPr>
        <w:spacing w:after="60"/>
      </w:pPr>
      <w:r>
        <w:rPr>
          <w:color w:val="5A6B76"/>
          <w:sz w:val="30"/>
          <w:szCs w:val="30"/>
        </w:rPr>
        <w:t xml:space="preserve">Regeln, Beilagen und Freigabe</w:t>
      </w:r>
    </w:p>
    <w:p>
      <w:pPr>
        <w:spacing w:after="240"/>
      </w:pPr>
      <w:r>
        <w:rPr>
          <w:color w:val="5A6B76"/>
          <w:sz w:val="24"/>
          <w:szCs w:val="24"/>
        </w:rPr>
        <w:t xml:space="preserve">Internes Begleitdokument zur Handout-Vorlage · Vermarktungsstufe 3 · Sonderfall S25</w:t>
      </w:r>
    </w:p>
    <w:p>
      <w:pPr>
        <w:pBdr>
          <w:bottom w:val="single" w:color="C6D0D5" w:sz="6" w:space="8"/>
        </w:pBdr>
        <w:spacing w:after="320"/>
      </w:pPr>
      <w:r>
        <w:rPr>
          <w:color w:val="85939C"/>
          <w:sz w:val="19"/>
          <w:szCs w:val="19"/>
        </w:rPr>
        <w:t xml:space="preserve">Version 2.0 · Fassung vom 18. September 2026 · INTERN – nicht weitergeben</w:t>
      </w:r>
    </w:p>
    <w:tbl>
      <w:tblPr>
        <w:tblW w:type="dxa" w:w="9600"/>
        <w:tblBorders>
          <w:top w:val="single" w:color="0F5C6E" w:sz="4"/>
          <w:left w:val="single" w:color="0F5C6E" w:sz="18"/>
          <w:bottom w:val="single" w:color="0F5C6E" w:sz="4"/>
          <w:right w:val="single" w:color="0F5C6E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shd w:fill="EDF1F2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0B4655"/>
                <w:sz w:val="19"/>
                <w:szCs w:val="19"/>
              </w:rPr>
              <w:t xml:space="preserve">Die beiden Dateien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Dokument 12 «Off-Market-Handout, Vorlage» enthält ausschliesslich das zweiseitige Handout. Es wird je Objekt ausgefüllt und geht nach aussen. Es trägt bewusst keinen internen Dokumentnamen und keine fremde Seitenzahl in der Fusszeile.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Dieses Dokument 13 enthält alles Übrige: Regeln zum Inhalt, Ablauf, Vertraulichkeitserklärung, Verteilerprotokoll und die Freigabe vor der ersten Abgabe. Es bleibt intern.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Reihenfolge im Einsatz: erst Teil 4 (Freigabe) abarbeiten, dann Dokument 12 ausfüllen, dann abgeben und in Teil 3 (Verteilerprotokoll) erfassen.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600"/>
        <w:tblBorders>
          <w:top w:val="single" w:color="0F5C6E" w:sz="4"/>
          <w:left w:val="single" w:color="0F5C6E" w:sz="18"/>
          <w:bottom w:val="single" w:color="0F5C6E" w:sz="4"/>
          <w:right w:val="single" w:color="0F5C6E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shd w:fill="EDF1F2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0B4655"/>
                <w:sz w:val="19"/>
                <w:szCs w:val="19"/>
              </w:rPr>
              <w:t xml:space="preserve">Was das Handout ist – und was nicht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Es ist die erste Stufe eines zweistufigen Verfahrens: Handout, dann Vertraulichkeitserklärung, dann Datenraum. Es weckt Interesse und ermöglicht eine erste Einschätzung, ohne das Objekt identifizierbar zu machen.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Es ist kein Verkaufsdossier. Das vollständige Dossier mit Grundbuchauszug, Plänen, Bewilligungen und Mängelliste folgt erst nach Qualifizierung und unterzeichneter Vertraulichkeitserklärung.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Es ist kein Angebot im Rechtssinne und begründet keine Bindung. Verbindlich wird ein Kauf ausschliesslich durch öffentliche Beurkundung (R1).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600"/>
        <w:tblBorders>
          <w:top w:val="single" w:color="8A6A1F" w:sz="4"/>
          <w:left w:val="single" w:color="8A6A1F" w:sz="18"/>
          <w:bottom w:val="single" w:color="8A6A1F" w:sz="4"/>
          <w:right w:val="single" w:color="8A6A1F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shd w:fill="FBF3E2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8C2F2F"/>
                <w:sz w:val="19"/>
                <w:szCs w:val="19"/>
              </w:rPr>
              <w:t xml:space="preserve">Rechtliche Prüfung durch Notariat / Rechtsberatung erforderlich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Diskretion reduziert die Offenlegungspflicht nicht. Bekannte Mängel, Belastungen und Nutzungsbeschränkungen sind auch off-market offenzulegen; die Wegbedingung der Gewährleistung im Kaufvertrag trägt nur bei vollständiger Offenlegung (Art. 199 OR, R10).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Die Vertraulichkeitserklärung in Teil B ist eine Strukturvorgabe, kein freigegebener Vertragstext. Sie ist vor der ersten Verwendung durch die Rechtsberatung zu prüfen; das gilt besonders für Ziffer 9 (Folgen einer Verletzung).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Off-Market setzt einen schriftlichen Entscheid des Eigentümers voraus, in dem er den Reichweitenverzicht und dessen Folge für Preis oder Dauer zur Kenntnis nimmt. Ohne diesen Entscheid wird nicht off-market vermarktet (Sonderfall S25).</w:t>
            </w:r>
          </w:p>
        </w:tc>
      </w:tr>
    </w:tbl>
    <w:p>
      <w:pPr>
        <w:pStyle w:val="Heading1"/>
        <w:pageBreakBefore/>
        <w:spacing w:after="180" w:before="0"/>
      </w:pPr>
      <w:r>
        <w:t xml:space="preserve">1 · Was ins Handout gehört und was nicht</w:t>
      </w:r>
    </w:p>
    <w:p>
      <w:pPr>
        <w:pStyle w:val="Heading2"/>
        <w:spacing w:after="120" w:before="280"/>
      </w:pPr>
      <w:r>
        <w:t xml:space="preserve">1.1 Was nie hineingehört</w:t>
      </w:r>
    </w:p>
    <w:tbl>
      <w:tblPr>
        <w:tblW w:type="dxa" w:w="960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2100"/>
        <w:gridCol w:w="4100"/>
        <w:gridCol w:w="3400"/>
      </w:tblGrid>
      <w:tr>
        <w:trPr>
          <w:tblHeader/>
        </w:trPr>
        <w:tc>
          <w:tcPr>
            <w:tcW w:type="dxa" w:w="21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Nie</w:t>
            </w:r>
          </w:p>
        </w:tc>
        <w:tc>
          <w:tcPr>
            <w:tcW w:type="dxa" w:w="41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Weshalb</w:t>
            </w:r>
          </w:p>
        </w:tc>
        <w:tc>
          <w:tcPr>
            <w:tcW w:type="dxa" w:w="34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Stattdessen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Genaue Adresse</w:t>
            </w:r>
          </w:p>
        </w:tc>
        <w:tc>
          <w:tcPr>
            <w:tcW w:type="dxa" w:w="4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Mit Strasse und Hausnummer ist das Objekt in Minuten identifiziert – über Kartendienste, Grundbuchauskunft und Nachbarschaft. Damit ist die Diskretion aufgehoben, für die der Eigentümer auf Reichweite verzichtet.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Gemeinde oder Quartier, Ausrichtung, Erschliessungsgüte. «Rechtsufriges Seeufergebiet, Gemeinde mit rund 4 000 Einwohnern.»</w:t>
            </w:r>
          </w:p>
        </w:tc>
      </w:tr>
      <w:tr>
        <w:tc>
          <w:tcPr>
            <w:tcW w:type="dxa" w:w="2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Aussenaufnahme, die das Objekt erkennbar macht</w:t>
            </w:r>
          </w:p>
        </w:tc>
        <w:tc>
          <w:tcPr>
            <w:tcW w:type="dxa" w:w="4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Ein Bild der Fassade oder der Umgebung identifiziert das Objekt so zuverlässig wie die Adresse.</w:t>
            </w:r>
          </w:p>
        </w:tc>
        <w:tc>
          <w:tcPr>
            <w:tcW w:type="dxa" w:w="3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Innenaufnahmen ohne Blick nach draussen, Detailaufnahmen, Grundrissschema ohne Nordbezug – oder bewusst gar keine Bilder.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Parzellennummer, Grundbuchblatt, Katasterplan</w:t>
            </w:r>
          </w:p>
        </w:tc>
        <w:tc>
          <w:tcPr>
            <w:tcW w:type="dxa" w:w="4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Führt direkt zur Adresse.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Nur die Grundstücksfläche als Zahl.</w:t>
            </w:r>
          </w:p>
        </w:tc>
      </w:tr>
      <w:tr>
        <w:tc>
          <w:tcPr>
            <w:tcW w:type="dxa" w:w="2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Name der Eigentümerschaft</w:t>
            </w:r>
          </w:p>
        </w:tc>
        <w:tc>
          <w:tcPr>
            <w:tcW w:type="dxa" w:w="4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Der häufigste Grund für Diskretion ist die Person, nicht das Objekt.</w:t>
            </w:r>
          </w:p>
        </w:tc>
        <w:tc>
          <w:tcPr>
            <w:tcW w:type="dxa" w:w="3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Keine Angabe. Auch nicht «Erbengemeinschaft» oder «infolge Trennung» – das ist im Umfeld oft eindeutig.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Verkaufsgrund</w:t>
            </w:r>
          </w:p>
        </w:tc>
        <w:tc>
          <w:tcPr>
            <w:tcW w:type="dxa" w:w="4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Trennung, Nachlass, Geschäftslage oder Zeitdruck schwächen die Verhandlungsposition und verletzen die Vertraulichkeit gegenüber dem Eigentümer.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Gar nichts. Wird gefragt: «Der Eigentümer hat sich für einen diskreten Verkauf entschieden.»</w:t>
            </w:r>
          </w:p>
        </w:tc>
      </w:tr>
      <w:tr>
        <w:tc>
          <w:tcPr>
            <w:tcW w:type="dxa" w:w="2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Mindestpreis, Rückzugslinie, Nettoerlösüberlegungen</w:t>
            </w:r>
          </w:p>
        </w:tc>
        <w:tc>
          <w:tcPr>
            <w:tcW w:type="dxa" w:w="4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Streng intern; ihre Kenntnis beendet jede Verhandlung zugunsten der Gegenseite.</w:t>
            </w:r>
          </w:p>
        </w:tc>
        <w:tc>
          <w:tcPr>
            <w:tcW w:type="dxa" w:w="3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Angebotspreis oder «Preisvorstellung auf Anfrage» nach Entscheid des Eigentümers.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Interna aus Bewertung und Strategie</w:t>
            </w:r>
          </w:p>
        </w:tc>
        <w:tc>
          <w:tcPr>
            <w:tcW w:type="dxa" w:w="4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Bewertungsbericht, Wertspanne, Marktanalyse und Strategieprotokoll sind interne Dokumente.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Eckdaten und Kurzbeschreibung – mehr braucht die erste Stufe nicht.</w:t>
            </w:r>
          </w:p>
        </w:tc>
      </w:tr>
      <w:tr>
        <w:tc>
          <w:tcPr>
            <w:tcW w:type="dxa" w:w="2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Andere Interessenten und ihre Angebote</w:t>
            </w:r>
          </w:p>
        </w:tc>
        <w:tc>
          <w:tcPr>
            <w:tcW w:type="dxa" w:w="4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Datenschutzverstoss und Vertrauensbruch (R39).</w:t>
            </w:r>
          </w:p>
        </w:tc>
        <w:tc>
          <w:tcPr>
            <w:tcW w:type="dxa" w:w="3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Wenn zutreffend und sachlich nötig: «Es liegen weitere Interessenbekundungen vor.» Keine Zahlen, keine Namen.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Finanzierungsunterlagen Dritter</w:t>
            </w:r>
          </w:p>
        </w:tc>
        <w:tc>
          <w:tcPr>
            <w:tcW w:type="dxa" w:w="4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Streng vertraulich und zweckgebunden (R39).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Nie.</w:t>
            </w:r>
          </w:p>
        </w:tc>
      </w:tr>
      <w:tr>
        <w:tc>
          <w:tcPr>
            <w:tcW w:type="dxa" w:w="2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Unterlagen des Datenraums</w:t>
            </w:r>
          </w:p>
        </w:tc>
        <w:tc>
          <w:tcPr>
            <w:tcW w:type="dxa" w:w="4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Grundbuchauszug, Baupläne, Mängelliste und Bewilligungen gehören in die zweite Stufe – nach Qualifizierung und Vertraulichkeitserklärung.</w:t>
            </w:r>
          </w:p>
        </w:tc>
        <w:tc>
          <w:tcPr>
            <w:tcW w:type="dxa" w:w="3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Im Handout nur der Hinweis, dass diese Unterlagen nach Unterzeichnung der Vertraulichkeitserklärung zugänglich sind.</w:t>
            </w:r>
          </w:p>
        </w:tc>
      </w:tr>
    </w:tbl>
    <w:p>
      <w:pPr>
        <w:pStyle w:val="Heading2"/>
        <w:spacing w:after="120" w:before="280"/>
      </w:pPr>
      <w:r>
        <w:t xml:space="preserve">1.2 Was trotz Diskretion hineingehört</w:t>
      </w:r>
    </w:p>
    <w:p>
      <w:pPr>
        <w:spacing w:after="120" w:before="0"/>
      </w:pPr>
      <w:r>
        <w:rPr>
          <w:color w:val="1A1A1A"/>
          <w:sz w:val="20"/>
          <w:szCs w:val="20"/>
        </w:rPr>
        <w:t xml:space="preserve">Off-Market reduziert die Reichweite, nicht die Offenlegung. Der häufigste Fehler ist, das Handout so schlank zu halten, dass die unangenehmen Punkte erst bei der Besichtigung auftauchen.</w:t>
      </w:r>
    </w:p>
    <w:tbl>
      <w:tblPr>
        <w:tblW w:type="dxa" w:w="960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Gehört hinein</w:t>
            </w:r>
          </w:p>
        </w:tc>
        <w:tc>
          <w:tcPr>
            <w:tcW w:type="dxa" w:w="66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Weshalb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Baujahr und Zustand ohne Beschönigung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Wer den Zustand erst nach der Besichtigung erfährt, bricht ab – der Termin war umsonst und die Diskretion einmal mehr aufgebraucht.</w:t>
            </w:r>
          </w:p>
        </w:tc>
      </w:tr>
      <w:tr>
        <w:tc>
          <w:tcPr>
            <w:tcW w:type="dxa" w:w="30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Erheblicher Sanierungsbedarf, bauteilweise benannt</w:t>
            </w:r>
          </w:p>
        </w:tc>
        <w:tc>
          <w:tcPr>
            <w:tcW w:type="dxa" w:w="6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Off-Market verkleinert den Interessentenkreis. Ein Abbruch kostet hier mehr als bei offener Vermarktung, weil kein Zulauf nachkommt.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Wesentliche Belastungen und Beschränkungen dem Grundsatz nach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Baurecht, Dienstbarkeiten mit Nutzungswirkung, Nutzungsbeschränkungen, Mietverhältnisse. Ohne Belegangabe, aber benannt (R5, R8).</w:t>
            </w:r>
          </w:p>
        </w:tc>
      </w:tr>
      <w:tr>
        <w:tc>
          <w:tcPr>
            <w:tcW w:type="dxa" w:w="30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Nutzungsart und Verfügbarkeit</w:t>
            </w:r>
          </w:p>
        </w:tc>
        <w:tc>
          <w:tcPr>
            <w:tcW w:type="dxa" w:w="6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Selbstnutzung, Vermietung, Zweitwohnungsstatus – bestimmt, ob der Interessent überhaupt erwerben kann (R35).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Hinweis auf den Stand der Unterlagen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Ob Grundbuchauszug, Baubewilligungen und GEAK vorliegen, sagt dem Interessenten, wie schnell es gehen kann.</w:t>
            </w:r>
          </w:p>
        </w:tc>
      </w:tr>
    </w:tbl>
    <w:p>
      <w:pPr>
        <w:pStyle w:val="Heading2"/>
        <w:spacing w:after="120" w:before="280"/>
      </w:pPr>
      <w:r>
        <w:t xml:space="preserve">1.3 Preisangabe</w:t>
      </w:r>
    </w:p>
    <w:tbl>
      <w:tblPr>
        <w:tblW w:type="dxa" w:w="960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2400"/>
        <w:gridCol w:w="3600"/>
        <w:gridCol w:w="3600"/>
      </w:tblGrid>
      <w:tr>
        <w:trPr>
          <w:tblHeader/>
        </w:trPr>
        <w:tc>
          <w:tcPr>
            <w:tcW w:type="dxa" w:w="24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Variante</w:t>
            </w:r>
          </w:p>
        </w:tc>
        <w:tc>
          <w:tcPr>
            <w:tcW w:type="dxa" w:w="36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Wann</w:t>
            </w:r>
          </w:p>
        </w:tc>
        <w:tc>
          <w:tcPr>
            <w:tcW w:type="dxa" w:w="36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Folge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Angebotspreis genannt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Wenn die Preisvorstellung marktnah ist und der Kreis der Angesprochenen klein und qualifiziert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Schnellste Selektion. Der Interessent weiss sofort, ob es passt. Empfohlener Regelfall.</w:t>
            </w:r>
          </w:p>
        </w:tc>
      </w:tr>
      <w:tr>
        <w:tc>
          <w:tcPr>
            <w:tcW w:type="dxa" w:w="2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Preisvorstellung auf Anfrage</w:t>
            </w:r>
          </w:p>
        </w:tc>
        <w:tc>
          <w:tcPr>
            <w:tcW w:type="dxa" w:w="3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Wenn die Preisfindung noch offen ist oder der Eigentümer die Zahl nicht in Umlauf haben will</w:t>
            </w:r>
          </w:p>
        </w:tc>
        <w:tc>
          <w:tcPr>
            <w:tcW w:type="dxa" w:w="3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Erzeugt eine zusätzliche Kontaktstufe und damit Kontrolle – kostet aber Tempo und selektiert schlechter.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Preisrahmen als Spanne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Bei Objekten, deren Wert stark von der Nutzung des Käufers abhängt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Nur mit schriftlichem Entscheid des Eigentümers. Die Spanne wird sonst zur Untergrenze.</w:t>
            </w:r>
          </w:p>
        </w:tc>
      </w:tr>
    </w:tbl>
    <w:tbl>
      <w:tblPr>
        <w:tblW w:type="dxa" w:w="9600"/>
        <w:tblBorders>
          <w:top w:val="single" w:color="8A6A1F" w:sz="4"/>
          <w:left w:val="single" w:color="8A6A1F" w:sz="18"/>
          <w:bottom w:val="single" w:color="8A6A1F" w:sz="4"/>
          <w:right w:val="single" w:color="8A6A1F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shd w:fill="FBF3E2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8C2F2F"/>
                <w:sz w:val="19"/>
                <w:szCs w:val="19"/>
              </w:rPr>
              <w:t xml:space="preserve">Rechtliche Prüfung durch Notariat / Rechtsberatung erforderlich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Der Mindestpreis und die Rückzugslinie erscheinen in keiner Variante. Sie sind streng vertraulich und gehen aus keinem Dokument nach aussen.</w:t>
            </w:r>
          </w:p>
        </w:tc>
      </w:tr>
    </w:tbl>
    <w:p>
      <w:pPr>
        <w:pStyle w:val="Heading1"/>
        <w:pageBreakBefore/>
        <w:spacing w:after="180" w:before="0"/>
      </w:pPr>
      <w:r>
        <w:t xml:space="preserve">2 · Ablauf in zwei Stufen</w:t>
      </w:r>
    </w:p>
    <w:tbl>
      <w:tblPr>
        <w:tblW w:type="dxa" w:w="960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450"/>
        <w:gridCol w:w="1600"/>
        <w:gridCol w:w="5150"/>
        <w:gridCol w:w="1300"/>
        <w:gridCol w:w="1100"/>
      </w:tblGrid>
      <w:tr>
        <w:trPr>
          <w:tblHeader/>
        </w:trPr>
        <w:tc>
          <w:tcPr>
            <w:tcW w:type="dxa" w:w="45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6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515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13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Durch</w:t>
            </w:r>
          </w:p>
        </w:tc>
        <w:tc>
          <w:tcPr>
            <w:tcW w:type="dxa" w:w="11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4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Auswahl</w:t>
            </w:r>
          </w:p>
        </w:tc>
        <w:tc>
          <w:tcPr>
            <w:tcW w:type="dxa" w:w="51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Interessenten aus der eigenen Datenbank und dem Netzwerk, deren Suchprofil zum Objekt passt und deren Finanzierungsrahmen plausibel ist. Auswahlkriterien dokumentieren (R39).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Makler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Ansprache</w:t>
            </w:r>
          </w:p>
        </w:tc>
        <w:tc>
          <w:tcPr>
            <w:tcW w:type="dxa" w:w="51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Persönlich oder telefonisch, nicht per Sammelversand. Objekttyp, grobe Lage, Preisrahmen. Noch kein Handout.</w:t>
            </w:r>
          </w:p>
        </w:tc>
        <w:tc>
          <w:tcPr>
            <w:tcW w:type="dxa" w:w="13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Makler</w:t>
            </w:r>
          </w:p>
        </w:tc>
        <w:tc>
          <w:tcPr>
            <w:tcW w:type="dxa" w:w="1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Vertraulichkeitserklärung</w:t>
            </w:r>
          </w:p>
        </w:tc>
        <w:tc>
          <w:tcPr>
            <w:tcW w:type="dxa" w:w="51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Vor der Abgabe des Handouts unterzeichnen lassen. Sie ist der einzige Schutz, den ein Handout hat, sobald es das Haus verlässt.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Interessent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Handout abgeben</w:t>
            </w:r>
          </w:p>
        </w:tc>
        <w:tc>
          <w:tcPr>
            <w:tcW w:type="dxa" w:w="51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Personalisiert, mit Versionsnummer und Datum. Eingang im Verteilerprotokoll erfassen.</w:t>
            </w:r>
          </w:p>
        </w:tc>
        <w:tc>
          <w:tcPr>
            <w:tcW w:type="dxa" w:w="13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Makler</w:t>
            </w:r>
          </w:p>
        </w:tc>
        <w:tc>
          <w:tcPr>
            <w:tcW w:type="dxa" w:w="1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Qualifizierung</w:t>
            </w:r>
          </w:p>
        </w:tc>
        <w:tc>
          <w:tcPr>
            <w:tcW w:type="dxa" w:w="51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Käuferprofil nach Formular F2 erheben; Funnelstufe setzen. Erwerbsrechtliche Zulässigkeit klären (R34).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Makler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Datenraum öffnen</w:t>
            </w:r>
          </w:p>
        </w:tc>
        <w:tc>
          <w:tcPr>
            <w:tcW w:type="dxa" w:w="51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Ab Funnelstufe 3: vollständige Objektunterlagen einschliesslich Mängelliste gegen Empfangsbestätigung.</w:t>
            </w:r>
          </w:p>
        </w:tc>
        <w:tc>
          <w:tcPr>
            <w:tcW w:type="dxa" w:w="13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Makler</w:t>
            </w:r>
          </w:p>
        </w:tc>
        <w:tc>
          <w:tcPr>
            <w:tcW w:type="dxa" w:w="1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Besichtigung</w:t>
            </w:r>
          </w:p>
        </w:tc>
        <w:tc>
          <w:tcPr>
            <w:tcW w:type="dxa" w:w="51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Einzeltermin, ohne Schild, ohne Markierung. Bei vermietetem Objekt Ankündigung an den Mieter (R47).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Makler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Angebot</w:t>
            </w:r>
          </w:p>
        </w:tc>
        <w:tc>
          <w:tcPr>
            <w:tcW w:type="dxa" w:w="51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Schriftlich mit objektbezogener Finanzierungsbestätigung. Ab hier gilt der reguläre Prozess.</w:t>
            </w:r>
          </w:p>
        </w:tc>
        <w:tc>
          <w:tcPr>
            <w:tcW w:type="dxa" w:w="13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Interessent</w:t>
            </w:r>
          </w:p>
        </w:tc>
        <w:tc>
          <w:tcPr>
            <w:tcW w:type="dxa" w:w="1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GATE 6</w:t>
            </w:r>
          </w:p>
        </w:tc>
      </w:tr>
    </w:tbl>
    <w:tbl>
      <w:tblPr>
        <w:tblW w:type="dxa" w:w="9600"/>
        <w:tblBorders>
          <w:top w:val="single" w:color="0F5C6E" w:sz="4"/>
          <w:left w:val="single" w:color="0F5C6E" w:sz="18"/>
          <w:bottom w:val="single" w:color="0F5C6E" w:sz="4"/>
          <w:right w:val="single" w:color="0F5C6E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shd w:fill="EDF1F2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0B4655"/>
                <w:sz w:val="19"/>
                <w:szCs w:val="19"/>
              </w:rPr>
              <w:t xml:space="preserve">Die Trennlinie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Vor der Vertraulichkeitserklärung: Objekttyp, grobe Lage, Eckdaten, Preisrahmen.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Nach der Vertraulichkeitserklärung: Adresse, Grundbuchauszug, Pläne, Bewilligungen, Mängelliste, GEAK.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Wer diese Linie verwischt, hat entweder die Diskretion aufgegeben oder die Offenlegung verzögert. Beides schadet.</w:t>
            </w:r>
          </w:p>
        </w:tc>
      </w:tr>
    </w:tbl>
    <w:p>
      <w:pPr>
        <w:pStyle w:val="Heading2"/>
        <w:spacing w:after="120" w:before="280"/>
      </w:pPr>
      <w:r>
        <w:t xml:space="preserve">2.1 Vertraulichkeitserklärung</w:t>
      </w:r>
    </w:p>
    <w:tbl>
      <w:tblPr>
        <w:tblW w:type="dxa" w:w="9600"/>
        <w:tblBorders>
          <w:top w:val="single" w:color="8A6A1F" w:sz="4"/>
          <w:left w:val="single" w:color="8A6A1F" w:sz="18"/>
          <w:bottom w:val="single" w:color="8A6A1F" w:sz="4"/>
          <w:right w:val="single" w:color="8A6A1F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shd w:fill="FBF3E2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8C2F2F"/>
                <w:sz w:val="19"/>
                <w:szCs w:val="19"/>
              </w:rPr>
              <w:t xml:space="preserve">Rechtliche Prüfung durch Notariat / Rechtsberatung erforderlich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RECHTLICHE PRÜFUNG ERFORDERLICH. Strukturvorgabe, kein Vertragstext. Vor der ersten Verwendung durch die Rechtsberatung freigeben und danach unverändert einsetzen.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Ziffer 9 ist gesondert zu prüfen: Die Formulierung entscheidet darüber, ob die Folgen einer Verletzung durchsetzbar sind.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Die Erklärung darf keine Verpflichtung zum Kauf und kein Erwerbsrecht begründen – sonst stellt sich die Frage eines formbedürftigen Vorvertrags (Art. 216 Abs. 2 OR, R2).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60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450"/>
        <w:gridCol w:w="2150"/>
        <w:gridCol w:w="7000"/>
      </w:tblGrid>
      <w:tr>
        <w:trPr>
          <w:tblHeader/>
        </w:trPr>
        <w:tc>
          <w:tcPr>
            <w:tcW w:type="dxa" w:w="45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Zi.</w:t>
            </w:r>
          </w:p>
        </w:tc>
        <w:tc>
          <w:tcPr>
            <w:tcW w:type="dxa" w:w="215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Gegenstand</w:t>
            </w:r>
          </w:p>
        </w:tc>
        <w:tc>
          <w:tcPr>
            <w:tcW w:type="dxa" w:w="70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Was zu regeln ist</w:t>
            </w:r>
          </w:p>
        </w:tc>
      </w:tr>
      <w:tr>
        <w:tc>
          <w:tcPr>
            <w:tcW w:type="dxa" w:w="4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1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Parteien</w:t>
            </w:r>
          </w:p>
        </w:tc>
        <w:tc>
          <w:tcPr>
            <w:tcW w:type="dxa" w:w="7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Interessent mit vollem Namen, Geburtsdatum und Adresse; bei juristischen Personen Firma, Sitz und zeichnungsberechtigte Person. Der Makler als Empfänger der Erklärung, handelnd im Auftrag der Eigentümerschaft.</w:t>
            </w:r>
          </w:p>
        </w:tc>
      </w:tr>
      <w:tr>
        <w:tc>
          <w:tcPr>
            <w:tcW w:type="dxa" w:w="4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1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Gegenstand</w:t>
            </w:r>
          </w:p>
        </w:tc>
        <w:tc>
          <w:tcPr>
            <w:tcW w:type="dxa" w:w="70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Sämtliche Informationen über ein näher bezeichnetes Objekt, das dem Interessenten im Rahmen eines diskreten Verkaufsprozesses zugänglich gemacht wird – ohne das Objekt in der Erklärung selbst zu identifizieren. Bezeichnung über eine Objektnummer.</w:t>
            </w:r>
          </w:p>
        </w:tc>
      </w:tr>
      <w:tr>
        <w:tc>
          <w:tcPr>
            <w:tcW w:type="dxa" w:w="4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1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Vertraulichkeit</w:t>
            </w:r>
          </w:p>
        </w:tc>
        <w:tc>
          <w:tcPr>
            <w:tcW w:type="dxa" w:w="7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Verpflichtung, die Informationen weder Dritten zugänglich zu machen noch für andere Zwecke als die Prüfung eines eigenen Erwerbs zu verwenden. Einschluss der Tatsache, dass das Objekt überhaupt zum Verkauf steht.</w:t>
            </w:r>
          </w:p>
        </w:tc>
      </w:tr>
      <w:tr>
        <w:tc>
          <w:tcPr>
            <w:tcW w:type="dxa" w:w="4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1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Zulässiger Empfängerkreis</w:t>
            </w:r>
          </w:p>
        </w:tc>
        <w:tc>
          <w:tcPr>
            <w:tcW w:type="dxa" w:w="70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Namentlich zu benennen: mitentscheidende Personen, finanzierende Bank, beigezogene Berater. Jeder Empfänger ist auf dieselbe Vertraulichkeit zu verpflichten.</w:t>
            </w:r>
          </w:p>
        </w:tc>
      </w:tr>
      <w:tr>
        <w:tc>
          <w:tcPr>
            <w:tcW w:type="dxa" w:w="4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1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Verbot der Ansprache</w:t>
            </w:r>
          </w:p>
        </w:tc>
        <w:tc>
          <w:tcPr>
            <w:tcW w:type="dxa" w:w="7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Keine direkte Kontaktaufnahme mit der Eigentümerschaft, mit Mietern oder mit der Nachbarschaft. Alle Anfragen ausschliesslich über den Makler.</w:t>
            </w:r>
          </w:p>
        </w:tc>
      </w:tr>
      <w:tr>
        <w:tc>
          <w:tcPr>
            <w:tcW w:type="dxa" w:w="4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1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Keine Weitergabe von Unterlagen</w:t>
            </w:r>
          </w:p>
        </w:tc>
        <w:tc>
          <w:tcPr>
            <w:tcW w:type="dxa" w:w="70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Handout und Unterlagen des Datenraums dürfen nicht kopiert, weitergeleitet oder veröffentlicht werden. Rückgabe oder Löschung nach Abschluss der Prüfung.</w:t>
            </w:r>
          </w:p>
        </w:tc>
      </w:tr>
      <w:tr>
        <w:tc>
          <w:tcPr>
            <w:tcW w:type="dxa" w:w="4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1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Keine Verpflichtung</w:t>
            </w:r>
          </w:p>
        </w:tc>
        <w:tc>
          <w:tcPr>
            <w:tcW w:type="dxa" w:w="7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Ausdrückliche Feststellung: Die Erklärung begründet keine Verpflichtung zum Kauf und kein Recht auf Erwerb. Ein Kaufvertrag über ein Grundstück kommt ausschliesslich durch öffentliche Beurkundung zustande (Art. 216 Abs. 1 OR).</w:t>
            </w:r>
          </w:p>
        </w:tc>
      </w:tr>
      <w:tr>
        <w:tc>
          <w:tcPr>
            <w:tcW w:type="dxa" w:w="4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1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Dauer</w:t>
            </w:r>
          </w:p>
        </w:tc>
        <w:tc>
          <w:tcPr>
            <w:tcW w:type="dxa" w:w="70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Geltungsdauer der Verpflichtung, auch für den Fall, dass kein Erwerb zustande kommt.</w:t>
            </w:r>
          </w:p>
        </w:tc>
      </w:tr>
      <w:tr>
        <w:tc>
          <w:tcPr>
            <w:tcW w:type="dxa" w:w="4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1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Folgen einer Verletzung</w:t>
            </w:r>
          </w:p>
        </w:tc>
        <w:tc>
          <w:tcPr>
            <w:tcW w:type="dxa" w:w="7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Rechtsfolgen einer Verletzung. Ob und in welcher Höhe eine Konventionalstrafe vereinbart wird, ist durch die Rechtsberatung zu bestimmen – die Formulierung entscheidet über die Durchsetzbarkeit.</w:t>
            </w:r>
          </w:p>
        </w:tc>
      </w:tr>
      <w:tr>
        <w:tc>
          <w:tcPr>
            <w:tcW w:type="dxa" w:w="4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1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Datenschutz</w:t>
            </w:r>
          </w:p>
        </w:tc>
        <w:tc>
          <w:tcPr>
            <w:tcW w:type="dxa" w:w="70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Zweck der Bearbeitung der Interessentendaten, Empfängerkreis, Aufbewahrung und Löschfrist (R39).</w:t>
            </w:r>
          </w:p>
        </w:tc>
      </w:tr>
      <w:tr>
        <w:tc>
          <w:tcPr>
            <w:tcW w:type="dxa" w:w="4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21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Schlussbestimmungen</w:t>
            </w:r>
          </w:p>
        </w:tc>
        <w:tc>
          <w:tcPr>
            <w:tcW w:type="dxa" w:w="7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Anwendbares Recht, Gerichtsstand, Schriftform, Ort, Datum, Unterschrift aller Interessenten.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600"/>
        <w:tblBorders>
          <w:top w:val="single" w:color="1F6B4A" w:sz="4"/>
          <w:left w:val="single" w:color="1F6B4A" w:sz="18"/>
          <w:bottom w:val="single" w:color="1F6B4A" w:sz="4"/>
          <w:right w:val="single" w:color="1F6B4A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shd w:fill="EAF3EE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1F6B4A"/>
                <w:sz w:val="19"/>
                <w:szCs w:val="19"/>
              </w:rPr>
              <w:t xml:space="preserve">Zwei Punkte aus der Praxis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Die Erklärung bezeichnet das Objekt nicht. Sie verweist auf eine Objektnummer. Sonst ist das Dokument, das die Vertraulichkeit sichern soll, selbst die Indiskretion – etwa wenn es bei der Bank des Interessenten abgelegt wird.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Der zulässige Empfängerkreis wird namentlich erfasst, nicht pauschal erlaubt. «Meine Berater» ist keine Eingrenzung. Wer später im Umlauf auftaucht, muss auf dem Formular stehen.</w:t>
            </w:r>
          </w:p>
        </w:tc>
      </w:tr>
    </w:tbl>
    <w:p>
      <w:pPr>
        <w:pStyle w:val="Heading1"/>
        <w:pageBreakBefore/>
        <w:spacing w:after="180" w:before="0"/>
      </w:pPr>
      <w:r>
        <w:t xml:space="preserve">3 · Verteilerprotokoll</w:t>
      </w:r>
    </w:p>
    <w:p>
      <w:pPr>
        <w:spacing w:after="120" w:before="0"/>
      </w:pPr>
      <w:r>
        <w:rPr>
          <w:color w:val="1A1A1A"/>
          <w:sz w:val="20"/>
          <w:szCs w:val="20"/>
        </w:rPr>
        <w:t xml:space="preserve">Je Objekt zu führen. Es erfüllt zwei Zwecke gleichzeitig, und der zweite wird regelmässig unterschätzt.</w:t>
      </w:r>
    </w:p>
    <w:tbl>
      <w:tblPr>
        <w:tblW w:type="dxa" w:w="9600"/>
        <w:tblBorders>
          <w:top w:val="single" w:color="0F5C6E" w:sz="4"/>
          <w:left w:val="single" w:color="0F5C6E" w:sz="18"/>
          <w:bottom w:val="single" w:color="0F5C6E" w:sz="4"/>
          <w:right w:val="single" w:color="0F5C6E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shd w:fill="EDF1F2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0B4655"/>
                <w:sz w:val="19"/>
                <w:szCs w:val="19"/>
              </w:rPr>
              <w:t xml:space="preserve">Wozu das Protokoll dient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Erstens Kontrolle: Off-Market lebt davon, dass bekannt ist, wer was in welcher Fassung hat. Muss eine Angabe korrigiert werden, ist der Verteiler die Voraussetzung dafür, dass die Korrektur alle erreicht (Störfall T6).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Zweitens Provisionsschutz: Das Protokoll ist der Nachweis, wem die Gelegenheit zum Abschluss nachgewiesen wurde – mit Datum. Bei Nachweismäkelei und bei einer Nachwirkungsklausel ist genau das die Beweisfrage (R17, R18). Off-market wiegt das schwerer als bei offener Vermarktung, weil kein Inserat den Nachweis stützt.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Drittens Datenschutz: Empfänger, Zweck und Löschfrist sind dokumentiert (R39).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60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400"/>
        <w:gridCol w:w="750"/>
        <w:gridCol w:w="1400"/>
        <w:gridCol w:w="1200"/>
        <w:gridCol w:w="700"/>
        <w:gridCol w:w="900"/>
        <w:gridCol w:w="900"/>
        <w:gridCol w:w="850"/>
        <w:gridCol w:w="850"/>
        <w:gridCol w:w="950"/>
        <w:gridCol w:w="700"/>
      </w:tblGrid>
      <w:tr>
        <w:trPr>
          <w:tblHeader/>
        </w:trPr>
        <w:tc>
          <w:tcPr>
            <w:tcW w:type="dxa" w:w="4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75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Datum</w:t>
            </w:r>
          </w:p>
        </w:tc>
        <w:tc>
          <w:tcPr>
            <w:tcW w:type="dxa" w:w="14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Empfänger</w:t>
            </w:r>
          </w:p>
        </w:tc>
        <w:tc>
          <w:tcPr>
            <w:tcW w:type="dxa" w:w="12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Firma / Rolle</w:t>
            </w:r>
          </w:p>
        </w:tc>
        <w:tc>
          <w:tcPr>
            <w:tcW w:type="dxa" w:w="7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Kanal</w:t>
            </w:r>
          </w:p>
        </w:tc>
        <w:tc>
          <w:tcPr>
            <w:tcW w:type="dxa" w:w="9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NDA unterzeichnet</w:t>
            </w:r>
          </w:p>
        </w:tc>
        <w:tc>
          <w:tcPr>
            <w:tcW w:type="dxa" w:w="9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Handout-Version</w:t>
            </w:r>
          </w:p>
        </w:tc>
        <w:tc>
          <w:tcPr>
            <w:tcW w:type="dxa" w:w="85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Datenraum ab</w:t>
            </w:r>
          </w:p>
        </w:tc>
        <w:tc>
          <w:tcPr>
            <w:tcW w:type="dxa" w:w="85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Funnelstufe</w:t>
            </w:r>
          </w:p>
        </w:tc>
        <w:tc>
          <w:tcPr>
            <w:tcW w:type="dxa" w:w="95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Rückmeldung</w:t>
            </w:r>
          </w:p>
        </w:tc>
        <w:tc>
          <w:tcPr>
            <w:tcW w:type="dxa" w:w="7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Löschfrist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4"/>
        <w:spacing w:after="80" w:before="180"/>
      </w:pPr>
      <w:r>
        <w:t xml:space="preserve">Pflichtregeln für das Protokoll</w:t>
      </w:r>
    </w:p>
    <w:p>
      <w:pPr>
        <w:tabs>
          <w:tab w:val="left" w:pos="260"/>
        </w:tabs>
        <w:spacing w:after="60"/>
        <w:ind w:left="260" w:hanging="260"/>
      </w:pPr>
      <w:r>
        <w:rPr>
          <w:color w:val="0F5C6E"/>
          <w:sz w:val="20"/>
          <w:szCs w:val="20"/>
        </w:rPr>
        <w:t xml:space="preserve">–	</w:t>
      </w:r>
      <w:r>
        <w:rPr>
          <w:color w:val="1A1A1A"/>
          <w:sz w:val="20"/>
          <w:szCs w:val="20"/>
        </w:rPr>
        <w:t xml:space="preserve">Jede Abgabe wird erfasst – auch die mündliche Ansprache ohne Handout, mit Vermerk «nur Ansprache».</w:t>
      </w:r>
    </w:p>
    <w:p>
      <w:pPr>
        <w:tabs>
          <w:tab w:val="left" w:pos="260"/>
        </w:tabs>
        <w:spacing w:after="60"/>
        <w:ind w:left="260" w:hanging="260"/>
      </w:pPr>
      <w:r>
        <w:rPr>
          <w:color w:val="0F5C6E"/>
          <w:sz w:val="20"/>
          <w:szCs w:val="20"/>
        </w:rPr>
        <w:t xml:space="preserve">–	</w:t>
      </w:r>
      <w:r>
        <w:rPr>
          <w:color w:val="1A1A1A"/>
          <w:sz w:val="20"/>
          <w:szCs w:val="20"/>
        </w:rPr>
        <w:t xml:space="preserve">Die Handout-Version wird mitgeführt. Wird das Handout geändert, erhält es eine neue Versionsnummer und alle bisherigen Empfänger die neue Fassung.</w:t>
      </w:r>
    </w:p>
    <w:p>
      <w:pPr>
        <w:tabs>
          <w:tab w:val="left" w:pos="260"/>
        </w:tabs>
        <w:spacing w:after="60"/>
        <w:ind w:left="260" w:hanging="260"/>
      </w:pPr>
      <w:r>
        <w:rPr>
          <w:color w:val="0F5C6E"/>
          <w:sz w:val="20"/>
          <w:szCs w:val="20"/>
        </w:rPr>
        <w:t xml:space="preserve">–	</w:t>
      </w:r>
      <w:r>
        <w:rPr>
          <w:color w:val="1A1A1A"/>
          <w:sz w:val="20"/>
          <w:szCs w:val="20"/>
        </w:rPr>
        <w:t xml:space="preserve">Kein Datenraumzugang ohne unterzeichnete Vertraulichkeitserklärung und ohne Eintrag in dieser Liste.</w:t>
      </w:r>
    </w:p>
    <w:p>
      <w:pPr>
        <w:tabs>
          <w:tab w:val="left" w:pos="260"/>
        </w:tabs>
        <w:spacing w:after="60"/>
        <w:ind w:left="260" w:hanging="260"/>
      </w:pPr>
      <w:r>
        <w:rPr>
          <w:color w:val="0F5C6E"/>
          <w:sz w:val="20"/>
          <w:szCs w:val="20"/>
        </w:rPr>
        <w:t xml:space="preserve">–	</w:t>
      </w:r>
      <w:r>
        <w:rPr>
          <w:color w:val="1A1A1A"/>
          <w:sz w:val="20"/>
          <w:szCs w:val="20"/>
        </w:rPr>
        <w:t xml:space="preserve">Nicht weiterverfolgte Interessenten werden nach Ablauf der Löschfrist gelöscht; der Eintrag über den Nachweis bleibt, soweit er für den Provisionsnachweis erforderlich ist (R39).</w:t>
      </w:r>
    </w:p>
    <w:p>
      <w:pPr>
        <w:pStyle w:val="Heading1"/>
        <w:pageBreakBefore/>
        <w:spacing w:after="180" w:before="0"/>
      </w:pPr>
      <w:r>
        <w:t xml:space="preserve">4 · Freigabe vor der ersten Abgabe</w:t>
      </w:r>
    </w:p>
    <w:p>
      <w:pPr>
        <w:spacing w:after="120" w:before="0"/>
      </w:pPr>
      <w:r>
        <w:rPr>
          <w:color w:val="1A1A1A"/>
          <w:sz w:val="20"/>
          <w:szCs w:val="20"/>
        </w:rPr>
        <w:t xml:space="preserve">Einmal je Objekt abzuarbeiten, danach je Version zu wiederholen. Entspricht Kontrollpunkt K2 in verkürzter Form.</w:t>
      </w:r>
    </w:p>
    <w:p>
      <w:pPr>
        <w:tabs>
          <w:tab w:val="left" w:pos="300"/>
        </w:tabs>
        <w:spacing w:after="70"/>
        <w:ind w:left="300" w:hanging="300"/>
      </w:pPr>
      <w:r>
        <w:rPr>
          <w:color w:val="0F5C6E"/>
          <w:sz w:val="22"/>
          <w:szCs w:val="22"/>
        </w:rPr>
        <w:t xml:space="preserve">☐	</w:t>
      </w:r>
      <w:r>
        <w:rPr>
          <w:color w:val="1A1A1A"/>
          <w:sz w:val="20"/>
          <w:szCs w:val="20"/>
        </w:rPr>
        <w:t xml:space="preserve">Schriftlicher Entscheid des Eigentümers für die Off-Market-Vermarktung liegt vor, mit Kenntnisnahme der Reichweitenfolge (S25)</w:t>
      </w:r>
    </w:p>
    <w:p>
      <w:pPr>
        <w:tabs>
          <w:tab w:val="left" w:pos="300"/>
        </w:tabs>
        <w:spacing w:after="70"/>
        <w:ind w:left="300" w:hanging="300"/>
      </w:pPr>
      <w:r>
        <w:rPr>
          <w:color w:val="0F5C6E"/>
          <w:sz w:val="22"/>
          <w:szCs w:val="22"/>
        </w:rPr>
        <w:t xml:space="preserve">☐	</w:t>
      </w:r>
      <w:r>
        <w:rPr>
          <w:color w:val="1A1A1A"/>
          <w:sz w:val="20"/>
          <w:szCs w:val="20"/>
        </w:rPr>
        <w:t xml:space="preserve">Gate 1 ist freigegeben – die Verkäuflichkeit ist geklärt</w:t>
      </w:r>
    </w:p>
    <w:p>
      <w:pPr>
        <w:tabs>
          <w:tab w:val="left" w:pos="300"/>
        </w:tabs>
        <w:spacing w:after="70"/>
        <w:ind w:left="300" w:hanging="300"/>
      </w:pPr>
      <w:r>
        <w:rPr>
          <w:color w:val="0F5C6E"/>
          <w:sz w:val="22"/>
          <w:szCs w:val="22"/>
        </w:rPr>
        <w:t xml:space="preserve">☐	</w:t>
      </w:r>
      <w:r>
        <w:rPr>
          <w:color w:val="1A1A1A"/>
          <w:sz w:val="20"/>
          <w:szCs w:val="20"/>
        </w:rPr>
        <w:t xml:space="preserve">Gate 2 ist freigegeben – Mandat unterzeichnet, Triage dokumentiert</w:t>
      </w:r>
    </w:p>
    <w:p>
      <w:pPr>
        <w:tabs>
          <w:tab w:val="left" w:pos="300"/>
        </w:tabs>
        <w:spacing w:after="70"/>
        <w:ind w:left="300" w:hanging="300"/>
      </w:pPr>
      <w:r>
        <w:rPr>
          <w:color w:val="0F5C6E"/>
          <w:sz w:val="22"/>
          <w:szCs w:val="22"/>
        </w:rPr>
        <w:t xml:space="preserve">☐	</w:t>
      </w:r>
      <w:r>
        <w:rPr>
          <w:color w:val="1A1A1A"/>
          <w:sz w:val="20"/>
          <w:szCs w:val="20"/>
        </w:rPr>
        <w:t xml:space="preserve">Preisentscheid liegt schriftlich vor; Variante der Preisangabe ist bestimmt (1.3)</w:t>
      </w:r>
    </w:p>
    <w:p>
      <w:pPr>
        <w:tabs>
          <w:tab w:val="left" w:pos="300"/>
        </w:tabs>
        <w:spacing w:after="70"/>
        <w:ind w:left="300" w:hanging="300"/>
      </w:pPr>
      <w:r>
        <w:rPr>
          <w:color w:val="0F5C6E"/>
          <w:sz w:val="22"/>
          <w:szCs w:val="22"/>
        </w:rPr>
        <w:t xml:space="preserve">☐	</w:t>
      </w:r>
      <w:r>
        <w:rPr>
          <w:color w:val="1A1A1A"/>
          <w:sz w:val="20"/>
          <w:szCs w:val="20"/>
        </w:rPr>
        <w:t xml:space="preserve">Handout enthält keine Angabe aus der Tabu-Liste 1.1</w:t>
      </w:r>
    </w:p>
    <w:p>
      <w:pPr>
        <w:tabs>
          <w:tab w:val="left" w:pos="300"/>
        </w:tabs>
        <w:spacing w:after="70"/>
        <w:ind w:left="300" w:hanging="300"/>
      </w:pPr>
      <w:r>
        <w:rPr>
          <w:color w:val="0F5C6E"/>
          <w:sz w:val="22"/>
          <w:szCs w:val="22"/>
        </w:rPr>
        <w:t xml:space="preserve">☐	</w:t>
      </w:r>
      <w:r>
        <w:rPr>
          <w:color w:val="1A1A1A"/>
          <w:sz w:val="20"/>
          <w:szCs w:val="20"/>
        </w:rPr>
        <w:t xml:space="preserve">Handout enthält alle Punkte aus 1.2, insbesondere den Abschnitt «Was Sie wissen sollten»</w:t>
      </w:r>
    </w:p>
    <w:p>
      <w:pPr>
        <w:tabs>
          <w:tab w:val="left" w:pos="300"/>
        </w:tabs>
        <w:spacing w:after="70"/>
        <w:ind w:left="300" w:hanging="300"/>
      </w:pPr>
      <w:r>
        <w:rPr>
          <w:color w:val="0F5C6E"/>
          <w:sz w:val="22"/>
          <w:szCs w:val="22"/>
        </w:rPr>
        <w:t xml:space="preserve">☐	</w:t>
      </w:r>
      <w:r>
        <w:rPr>
          <w:color w:val="1A1A1A"/>
          <w:sz w:val="20"/>
          <w:szCs w:val="20"/>
        </w:rPr>
        <w:t xml:space="preserve">Jede Zahl im Handout ist gegen ihre Quelle geprüft (R9, R12)</w:t>
      </w:r>
    </w:p>
    <w:p>
      <w:pPr>
        <w:tabs>
          <w:tab w:val="left" w:pos="300"/>
        </w:tabs>
        <w:spacing w:after="70"/>
        <w:ind w:left="300" w:hanging="300"/>
      </w:pPr>
      <w:r>
        <w:rPr>
          <w:color w:val="0F5C6E"/>
          <w:sz w:val="22"/>
          <w:szCs w:val="22"/>
        </w:rPr>
        <w:t xml:space="preserve">☐	</w:t>
      </w:r>
      <w:r>
        <w:rPr>
          <w:color w:val="1A1A1A"/>
          <w:sz w:val="20"/>
          <w:szCs w:val="20"/>
        </w:rPr>
        <w:t xml:space="preserve">Flächen mit Berechnungsnorm und Quelle deklariert</w:t>
      </w:r>
    </w:p>
    <w:p>
      <w:pPr>
        <w:tabs>
          <w:tab w:val="left" w:pos="300"/>
        </w:tabs>
        <w:spacing w:after="70"/>
        <w:ind w:left="300" w:hanging="300"/>
      </w:pPr>
      <w:r>
        <w:rPr>
          <w:color w:val="0F5C6E"/>
          <w:sz w:val="22"/>
          <w:szCs w:val="22"/>
        </w:rPr>
        <w:t xml:space="preserve">☐	</w:t>
      </w:r>
      <w:r>
        <w:rPr>
          <w:color w:val="1A1A1A"/>
          <w:sz w:val="20"/>
          <w:szCs w:val="20"/>
        </w:rPr>
        <w:t xml:space="preserve">Keine Energieangabe ohne vorliegenden GEAK (R33)</w:t>
      </w:r>
    </w:p>
    <w:p>
      <w:pPr>
        <w:tabs>
          <w:tab w:val="left" w:pos="300"/>
        </w:tabs>
        <w:spacing w:after="70"/>
        <w:ind w:left="300" w:hanging="300"/>
      </w:pPr>
      <w:r>
        <w:rPr>
          <w:color w:val="0F5C6E"/>
          <w:sz w:val="22"/>
          <w:szCs w:val="22"/>
        </w:rPr>
        <w:t xml:space="preserve">☐	</w:t>
      </w:r>
      <w:r>
        <w:rPr>
          <w:color w:val="1A1A1A"/>
          <w:sz w:val="20"/>
          <w:szCs w:val="20"/>
        </w:rPr>
        <w:t xml:space="preserve">Bilder – sofern verwendet – machen das Objekt nicht identifizierbar</w:t>
      </w:r>
    </w:p>
    <w:p>
      <w:pPr>
        <w:tabs>
          <w:tab w:val="left" w:pos="300"/>
        </w:tabs>
        <w:spacing w:after="70"/>
        <w:ind w:left="300" w:hanging="300"/>
      </w:pPr>
      <w:r>
        <w:rPr>
          <w:color w:val="0F5C6E"/>
          <w:sz w:val="22"/>
          <w:szCs w:val="22"/>
        </w:rPr>
        <w:t xml:space="preserve">☐	</w:t>
      </w:r>
      <w:r>
        <w:rPr>
          <w:color w:val="1A1A1A"/>
          <w:sz w:val="20"/>
          <w:szCs w:val="20"/>
        </w:rPr>
        <w:t xml:space="preserve">Rechtliche Hinweise vollständig, einschliesslich Personalisierung des Empfängers</w:t>
      </w:r>
    </w:p>
    <w:p>
      <w:pPr>
        <w:tabs>
          <w:tab w:val="left" w:pos="300"/>
        </w:tabs>
        <w:spacing w:after="70"/>
        <w:ind w:left="300" w:hanging="300"/>
      </w:pPr>
      <w:r>
        <w:rPr>
          <w:color w:val="0F5C6E"/>
          <w:sz w:val="22"/>
          <w:szCs w:val="22"/>
        </w:rPr>
        <w:t xml:space="preserve">☐	</w:t>
      </w:r>
      <w:r>
        <w:rPr>
          <w:color w:val="1A1A1A"/>
          <w:sz w:val="20"/>
          <w:szCs w:val="20"/>
        </w:rPr>
        <w:t xml:space="preserve">Vertraulichkeitserklärung in der freigegebenen Fassung liegt bei</w:t>
      </w:r>
    </w:p>
    <w:p>
      <w:pPr>
        <w:tabs>
          <w:tab w:val="left" w:pos="300"/>
        </w:tabs>
        <w:spacing w:after="70"/>
        <w:ind w:left="300" w:hanging="300"/>
      </w:pPr>
      <w:r>
        <w:rPr>
          <w:color w:val="0F5C6E"/>
          <w:sz w:val="22"/>
          <w:szCs w:val="22"/>
        </w:rPr>
        <w:t xml:space="preserve">☐	</w:t>
      </w:r>
      <w:r>
        <w:rPr>
          <w:color w:val="1A1A1A"/>
          <w:sz w:val="20"/>
          <w:szCs w:val="20"/>
        </w:rPr>
        <w:t xml:space="preserve">Verteilerprotokoll ist eröffnet</w:t>
      </w:r>
    </w:p>
    <w:p>
      <w:pPr>
        <w:tabs>
          <w:tab w:val="left" w:pos="300"/>
        </w:tabs>
        <w:spacing w:after="70"/>
        <w:ind w:left="300" w:hanging="300"/>
      </w:pPr>
      <w:r>
        <w:rPr>
          <w:color w:val="0F5C6E"/>
          <w:sz w:val="22"/>
          <w:szCs w:val="22"/>
        </w:rPr>
        <w:t xml:space="preserve">☐	</w:t>
      </w:r>
      <w:r>
        <w:rPr>
          <w:color w:val="1A1A1A"/>
          <w:sz w:val="20"/>
          <w:szCs w:val="20"/>
        </w:rPr>
        <w:t xml:space="preserve">Vier-Augen-Prüfung durch eine zweite Person erfolgt und abgezeichnet</w:t>
      </w:r>
    </w:p>
    <w:p>
      <w:pPr>
        <w:tabs>
          <w:tab w:val="left" w:pos="300"/>
        </w:tabs>
        <w:spacing w:after="70"/>
        <w:ind w:left="300" w:hanging="300"/>
      </w:pPr>
      <w:r>
        <w:rPr>
          <w:color w:val="0F5C6E"/>
          <w:sz w:val="22"/>
          <w:szCs w:val="22"/>
        </w:rPr>
        <w:t xml:space="preserve">☐	</w:t>
      </w:r>
      <w:r>
        <w:rPr>
          <w:color w:val="1A1A1A"/>
          <w:sz w:val="20"/>
          <w:szCs w:val="20"/>
        </w:rPr>
        <w:t xml:space="preserve">Schriftliche Freigabe des Eigentümers für das Handout liegt vor</w:t>
      </w:r>
    </w:p>
    <w:p>
      <w:pPr>
        <w:pStyle w:val="Heading2"/>
        <w:spacing w:after="120" w:before="280"/>
      </w:pPr>
      <w:r>
        <w:t xml:space="preserve">4.1 Wenn das Handout doch in Umlauf gerät</w:t>
      </w:r>
    </w:p>
    <w:p>
      <w:pPr>
        <w:spacing w:after="120" w:before="0"/>
      </w:pPr>
      <w:r>
        <w:rPr>
          <w:color w:val="1A1A1A"/>
          <w:sz w:val="20"/>
          <w:szCs w:val="20"/>
        </w:rPr>
        <w:t xml:space="preserve">Das ist der Störfall, der off-market am meisten kostet. Vorgehen analog Störfall T6, mit zwei Besonderheiten.</w:t>
      </w:r>
    </w:p>
    <w:tbl>
      <w:tblPr>
        <w:tblW w:type="dxa" w:w="960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2200"/>
        <w:gridCol w:w="7400"/>
      </w:tblGrid>
      <w:tr>
        <w:trPr>
          <w:tblHeader/>
        </w:trPr>
        <w:tc>
          <w:tcPr>
            <w:tcW w:type="dxa" w:w="22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74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Feststellen</w:t>
            </w:r>
          </w:p>
        </w:tc>
        <w:tc>
          <w:tcPr>
            <w:tcW w:type="dxa" w:w="7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Welche Version ist wo aufgetaucht? Personalisierung und Verteilerprotokoll führen zur Quelle.</w:t>
            </w:r>
          </w:p>
        </w:tc>
      </w:tr>
      <w:tr>
        <w:tc>
          <w:tcPr>
            <w:tcW w:type="dxa" w:w="22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 Eigentümer informieren</w:t>
            </w:r>
          </w:p>
        </w:tc>
        <w:tc>
          <w:tcPr>
            <w:tcW w:type="dxa" w:w="7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Am gleichen Tag, bevor er es von Dritten erfährt. Das ist der Punkt, an dem Mandate verloren gehen.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 Quelle ansprechen</w:t>
            </w:r>
          </w:p>
        </w:tc>
        <w:tc>
          <w:tcPr>
            <w:tcW w:type="dxa" w:w="7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Sachlich, unter Hinweis auf die Vertraulichkeitserklärung. Keine Drohung ohne Rechtsberatung.</w:t>
            </w:r>
          </w:p>
        </w:tc>
      </w:tr>
      <w:tr>
        <w:tc>
          <w:tcPr>
            <w:tcW w:type="dxa" w:w="22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 Rechtsberatung</w:t>
            </w:r>
          </w:p>
        </w:tc>
        <w:tc>
          <w:tcPr>
            <w:tcW w:type="dxa" w:w="7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Beiziehen, bevor gegenüber der Quelle oder Dritten Stellung genommen wird.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 Eigentümerentscheid</w:t>
            </w:r>
          </w:p>
        </w:tc>
        <w:tc>
          <w:tcPr>
            <w:tcW w:type="dxa" w:w="7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Off-market fortsetzen, in eine offene Vermarktung wechseln oder pausieren. Der Entscheid gehört dem Eigentümer.</w:t>
            </w:r>
          </w:p>
        </w:tc>
      </w:tr>
      <w:tr>
        <w:tc>
          <w:tcPr>
            <w:tcW w:type="dxa" w:w="22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 Dokumentieren</w:t>
            </w:r>
          </w:p>
        </w:tc>
        <w:tc>
          <w:tcPr>
            <w:tcW w:type="dxa" w:w="7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Zeitpunkt, Version, Empfängerkette, getroffene Massnahmen – im Objektdossier.</w:t>
            </w:r>
          </w:p>
        </w:tc>
      </w:tr>
    </w:tbl>
    <w:p>
      <w:pPr>
        <w:pStyle w:val="Heading2"/>
        <w:spacing w:after="120" w:before="280"/>
      </w:pPr>
      <w:r>
        <w:t xml:space="preserve">4.2 Einbettung ins System</w:t>
      </w:r>
    </w:p>
    <w:tbl>
      <w:tblPr>
        <w:tblW w:type="dxa" w:w="960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4600"/>
        <w:gridCol w:w="5000"/>
      </w:tblGrid>
      <w:tr>
        <w:trPr>
          <w:tblHeader/>
        </w:trPr>
        <w:tc>
          <w:tcPr>
            <w:tcW w:type="dxa" w:w="46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Thema</w:t>
            </w:r>
          </w:p>
        </w:tc>
        <w:tc>
          <w:tcPr>
            <w:tcW w:type="dxa" w:w="50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Fundstelle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Off-Market als Vermarktungsstufe: Zweck, Zielgruppe, Erfolgsmessung</w:t>
            </w:r>
          </w:p>
        </w:tc>
        <w:tc>
          <w:tcPr>
            <w:tcW w:type="dxa" w:w="5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Handbuch Teil F1, Stufe 3</w:t>
            </w:r>
          </w:p>
        </w:tc>
      </w:tr>
      <w:tr>
        <w:tc>
          <w:tcPr>
            <w:tcW w:type="dxa" w:w="4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Sonderfall Off-Market-Verkauf mit Stop-Kriterium und Eskalation</w:t>
            </w:r>
          </w:p>
        </w:tc>
        <w:tc>
          <w:tcPr>
            <w:tcW w:type="dxa" w:w="50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Handbuch Teil J1, S25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Sonderfall diskreter Verkauf – Abgrenzung</w:t>
            </w:r>
          </w:p>
        </w:tc>
        <w:tc>
          <w:tcPr>
            <w:tcW w:type="dxa" w:w="5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Handbuch Teil J1, S24</w:t>
            </w:r>
          </w:p>
        </w:tc>
      </w:tr>
      <w:tr>
        <w:tc>
          <w:tcPr>
            <w:tcW w:type="dxa" w:w="4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Datenraum: Inhalt, Ausschlüsse, Verteilernachweis</w:t>
            </w:r>
          </w:p>
        </w:tc>
        <w:tc>
          <w:tcPr>
            <w:tcW w:type="dxa" w:w="50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Handbuch Teil I7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Käuferfunnel und Qualifizierung</w:t>
            </w:r>
          </w:p>
        </w:tc>
        <w:tc>
          <w:tcPr>
            <w:tcW w:type="dxa" w:w="5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Handbuch Teil E1 und E2 · Formular F2</w:t>
            </w:r>
          </w:p>
        </w:tc>
      </w:tr>
      <w:tr>
        <w:tc>
          <w:tcPr>
            <w:tcW w:type="dxa" w:w="4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Vertraulichkeitsstufen der Dokumente</w:t>
            </w:r>
          </w:p>
        </w:tc>
        <w:tc>
          <w:tcPr>
            <w:tcW w:type="dxa" w:w="50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Handbuch Teil I4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Störfall: veröffentlichte Information muss korrigiert werden</w:t>
            </w:r>
          </w:p>
        </w:tc>
        <w:tc>
          <w:tcPr>
            <w:tcW w:type="dxa" w:w="5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Handbuch Teil J2, T6</w:t>
            </w:r>
          </w:p>
        </w:tc>
      </w:tr>
      <w:tr>
        <w:tc>
          <w:tcPr>
            <w:tcW w:type="dxa" w:w="4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Offenlegungspflicht und Freizeichnung</w:t>
            </w:r>
          </w:p>
        </w:tc>
        <w:tc>
          <w:tcPr>
            <w:tcW w:type="dxa" w:w="50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Handbuch Teil K6, R9 und R10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Nachweis- und Vermittlungsmäkelei, Nachwirkung</w:t>
            </w:r>
          </w:p>
        </w:tc>
        <w:tc>
          <w:tcPr>
            <w:tcW w:type="dxa" w:w="5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Handbuch Teil K6, R17 und R18 · Teil D3, Ziffer 18</w:t>
            </w:r>
          </w:p>
        </w:tc>
      </w:tr>
      <w:tr>
        <w:tc>
          <w:tcPr>
            <w:tcW w:type="dxa" w:w="4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Datenschutz und Löschfristen</w:t>
            </w:r>
          </w:p>
        </w:tc>
        <w:tc>
          <w:tcPr>
            <w:tcW w:type="dxa" w:w="50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Handbuch Teil G8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Preisbegriffe und was nach aussen geht</w:t>
            </w:r>
          </w:p>
        </w:tc>
        <w:tc>
          <w:tcPr>
            <w:tcW w:type="dxa" w:w="5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Handbuch Teil C1 · Kurzfassung Teil 4</w:t>
            </w:r>
          </w:p>
        </w:tc>
      </w:tr>
    </w:tbl>
    <w:sectPr>
      <w:footerReference w:type="default" r:id="rId7"/>
      <w:pgSz w:w="11906" w:h="16838" w:orient="portrait"/>
      <w:pgMar w:top="1133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D0D5" w:sz="4" w:space="6"/>
      </w:pBdr>
      <w:tabs>
        <w:tab w:val="right" w:pos="9600"/>
      </w:tabs>
    </w:pPr>
    <w:r>
      <w:rPr>
        <w:color w:val="85939C"/>
        <w:sz w:val="16"/>
        <w:szCs w:val="16"/>
      </w:rPr>
      <w:t xml:space="preserve">Off-Market, Regeln und Beilagen · INTERN · Version 2.0 · Fassung vom 18. September 2026</w:t>
    </w:r>
    <w:r>
      <w:rPr>
        <w:sz w:val="16"/>
        <w:szCs w:val="16"/>
      </w:rPr>
      <w:t xml:space="preserve">	</w:t>
    </w:r>
    <w:r>
      <w:rPr>
        <w:color w:val="85939C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Calibri" w:cs="Calibri" w:eastAsia="Calibri" w:hAnsi="Calibri"/>
      <w:b/>
      <w:bCs/>
      <w:color w:val="0F5C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0B465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0B465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5A6B76"/>
      <w:sz w:val="20"/>
      <w:szCs w:val="20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2026-09-22T12:28:55.218Z</dcterms:created>
  <dcterms:modified xsi:type="dcterms:W3CDTF">2026-09-22T12:28:55.218Z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