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60"/>
      </w:pPr>
      <w:r>
        <w:rPr>
          <w:b/>
          <w:bCs/>
          <w:color w:val="0F5C6E"/>
          <w:sz w:val="48"/>
          <w:szCs w:val="48"/>
        </w:rPr>
        <w:t xml:space="preserve">Leerstandsmanager</w:t>
      </w:r>
    </w:p>
    <w:p>
      <w:pPr>
        <w:spacing w:after="240"/>
      </w:pPr>
      <w:r>
        <w:rPr>
          <w:color w:val="5A6B76"/>
          <w:sz w:val="30"/>
          <w:szCs w:val="30"/>
        </w:rPr>
        <w:t xml:space="preserve">Prozessbeschreibung Mieterwechsel</w:t>
      </w:r>
    </w:p>
    <w:p>
      <w:pPr>
        <w:pBdr>
          <w:bottom w:val="single" w:color="C6D0D5" w:sz="6" w:space="8"/>
        </w:pBdr>
        <w:spacing w:after="320"/>
      </w:pPr>
      <w:r>
        <w:rPr>
          <w:color w:val="85939C"/>
          <w:sz w:val="19"/>
          <w:szCs w:val="19"/>
        </w:rPr>
        <w:t xml:space="preserve">Fassung vom 16. September 2026 · Prüfgrundlage · Version 1</w:t>
      </w:r>
    </w:p>
    <w:tbl>
      <w:tblPr>
        <w:tblW w:type="dxa" w:w="9020"/>
        <w:tblBorders>
          <w:top w:val="single" w:color="0F5C6E" w:sz="4"/>
          <w:left w:val="single" w:color="0F5C6E" w:sz="18"/>
          <w:bottom w:val="single" w:color="0F5C6E" w:sz="4"/>
          <w:right w:val="single" w:color="0F5C6E" w:sz="4"/>
          <w:insideH w:val="none"/>
          <w:insideV w:val="none"/>
        </w:tblBorders>
      </w:tblPr>
      <w:tblGrid>
        <w:gridCol w:w="9020"/>
      </w:tblGrid>
      <w:tr>
        <w:tc>
          <w:tcPr>
            <w:tcW w:type="dxa" w:w="9020"/>
            <w:shd w:fill="EDF1F2" w:color="auto" w:val="clear"/>
            <w:tcMar>
              <w:top w:type="dxa" w:w="140"/>
              <w:left w:type="dxa" w:w="180"/>
              <w:bottom w:type="dxa" w:w="140"/>
              <w:right w:type="dxa" w:w="160"/>
            </w:tcMar>
          </w:tcPr>
          <w:p>
            <w:pPr>
              <w:spacing w:after="70"/>
            </w:pPr>
            <w:r>
              <w:rPr>
                <w:b/>
                <w:bCs/>
                <w:color w:val="0B4655"/>
                <w:sz w:val="19"/>
                <w:szCs w:val="19"/>
              </w:rPr>
              <w:t xml:space="preserve">Wozu dieses Dokument dient</w:t>
            </w:r>
          </w:p>
          <w:p>
            <w:pPr>
              <w:spacing w:after="50"/>
            </w:pPr>
            <w:r>
              <w:rPr>
                <w:sz w:val="19"/>
                <w:szCs w:val="19"/>
              </w:rPr>
              <w:t xml:space="preserve">Es beschreibt die fachlichen Abläufe rund um einen Mieterwechsel so, wie sie im Werkzeug abgebildet werden – von der eingehenden Kündigung bis zum Zahlungseingang der Schlussabrechnung.</w:t>
            </w:r>
          </w:p>
          <w:p>
            <w:pPr>
              <w:spacing w:after="50"/>
            </w:pPr>
            <w:r>
              <w:rPr>
                <w:sz w:val="19"/>
                <w:szCs w:val="19"/>
              </w:rPr>
              <w:t xml:space="preserve">Es ist zur Prüfung gedacht: Jeder Schritt, jede Frist und jede Kontrolle trägt eine Nummer. Ergänzt in der Spalte «Bemerkung», was bei euch anders läuft, und nennt mir die Nummer – dann passe ich den Ablauf an.</w:t>
            </w:r>
          </w:p>
          <w:p>
            <w:pPr>
              <w:spacing w:after="50"/>
            </w:pPr>
            <w:r>
              <w:rPr>
                <w:sz w:val="19"/>
                <w:szCs w:val="19"/>
              </w:rPr>
              <w:t xml:space="preserve">Nicht Gegenstand dieses Dokuments ist die Bedienung. Wie ein Schritt im Werkzeug erfasst wird, folgt später.</w:t>
            </w:r>
          </w:p>
        </w:tc>
      </w:tr>
    </w:tbl>
    <w:p>
      <w:pPr>
        <w:spacing w:after="0"/>
      </w:pPr>
      <w:r>
        <w:t xml:space="preserve"/>
      </w:r>
    </w:p>
    <w:p>
      <w:pPr>
        <w:pStyle w:val="Heading1"/>
        <w:spacing w:after="160" w:before="320"/>
      </w:pPr>
      <w:r>
        <w:t xml:space="preserve">1. Geltungsbereich und Abgrenzung</w:t>
      </w:r>
    </w:p>
    <w:p>
      <w:pPr>
        <w:spacing w:after="120"/>
      </w:pPr>
      <w:r>
        <w:rPr>
          <w:sz w:val="20"/>
          <w:szCs w:val="20"/>
        </w:rPr>
        <w:t xml:space="preserve">Beschrieben wird der Ablauf eines einzelnen Mieterwechsels an einem Mietobjekt. Ein Fall beginnt mit dem Eingang einer Kündigung und endet mit dem Zahlungseingang der Schlussabrechnung.</w:t>
      </w:r>
    </w:p>
    <w:p>
      <w:pPr>
        <w:spacing w:after="120"/>
      </w:pPr>
      <w:r>
        <w:rPr>
          <w:sz w:val="20"/>
          <w:szCs w:val="20"/>
        </w:rPr>
        <w:t xml:space="preserve">Das Werkzeug stellt sicher, dass keine Kündigung, keine Abnahme und keine Schlussabrechnung vergessen geht. Es führt keine Stammdaten:</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5020"/>
        <w:gridCol w:w="4000"/>
      </w:tblGrid>
      <w:tr>
        <w:trPr>
          <w:tblHeader/>
        </w:trPr>
        <w:tc>
          <w:tcPr>
            <w:tcW w:type="dxa" w:w="5020"/>
            <w:shd w:fill="0F5C6E" w:color="auto" w:val="clear"/>
            <w:tcMar>
              <w:top w:type="dxa" w:w="70"/>
              <w:left w:type="dxa" w:w="100"/>
              <w:bottom w:type="dxa" w:w="70"/>
              <w:right w:type="dxa" w:w="100"/>
            </w:tcMar>
          </w:tcPr>
          <w:p>
            <w:pPr>
              <w:spacing w:after="0"/>
            </w:pPr>
            <w:r>
              <w:rPr>
                <w:b/>
                <w:bCs/>
                <w:color w:val="FFFFFF"/>
                <w:sz w:val="18"/>
                <w:szCs w:val="18"/>
              </w:rPr>
              <w:t xml:space="preserve">Gegenstand</w:t>
            </w:r>
          </w:p>
        </w:tc>
        <w:tc>
          <w:tcPr>
            <w:tcW w:type="dxa" w:w="4000"/>
            <w:shd w:fill="0F5C6E" w:color="auto" w:val="clear"/>
            <w:tcMar>
              <w:top w:type="dxa" w:w="70"/>
              <w:left w:type="dxa" w:w="100"/>
              <w:bottom w:type="dxa" w:w="70"/>
              <w:right w:type="dxa" w:w="100"/>
            </w:tcMar>
          </w:tcPr>
          <w:p>
            <w:pPr>
              <w:spacing w:after="0"/>
            </w:pPr>
            <w:r>
              <w:rPr>
                <w:b/>
                <w:bCs/>
                <w:color w:val="FFFFFF"/>
                <w:sz w:val="18"/>
                <w:szCs w:val="18"/>
              </w:rPr>
              <w:t xml:space="preserve">Geführt in</w:t>
            </w:r>
          </w:p>
        </w:tc>
      </w:tr>
      <w:tr>
        <w:tc>
          <w:tcPr>
            <w:tcW w:type="dxa" w:w="5020"/>
            <w:shd w:fill="FFFFFF" w:color="auto" w:val="clear"/>
            <w:tcMar>
              <w:top w:type="dxa" w:w="70"/>
              <w:left w:type="dxa" w:w="100"/>
              <w:bottom w:type="dxa" w:w="70"/>
              <w:right w:type="dxa" w:w="100"/>
            </w:tcMar>
          </w:tcPr>
          <w:p>
            <w:pPr>
              <w:spacing w:after="0"/>
            </w:pPr>
            <w:r>
              <w:rPr>
                <w:b w:val="false"/>
                <w:bCs w:val="false"/>
                <w:color w:val="1A1A1A"/>
                <w:sz w:val="18"/>
                <w:szCs w:val="18"/>
              </w:rPr>
              <w:t xml:space="preserve">Mieter-, Objekt- und Eigentümerdaten</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r>
      <w:tr>
        <w:tc>
          <w:tcPr>
            <w:tcW w:type="dxa" w:w="502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Mietverträge, Abrechnungen, Buchungen</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r>
      <w:tr>
        <w:tc>
          <w:tcPr>
            <w:tcW w:type="dxa" w:w="5020"/>
            <w:shd w:fill="FFFFFF" w:color="auto" w:val="clear"/>
            <w:tcMar>
              <w:top w:type="dxa" w:w="70"/>
              <w:left w:type="dxa" w:w="100"/>
              <w:bottom w:type="dxa" w:w="70"/>
              <w:right w:type="dxa" w:w="100"/>
            </w:tcMar>
          </w:tcPr>
          <w:p>
            <w:pPr>
              <w:spacing w:after="0"/>
            </w:pPr>
            <w:r>
              <w:rPr>
                <w:b w:val="false"/>
                <w:bCs w:val="false"/>
                <w:color w:val="1A1A1A"/>
                <w:sz w:val="18"/>
                <w:szCs w:val="18"/>
              </w:rPr>
              <w:t xml:space="preserve">Dokumente und Protokolle</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Objektdossier auf SharePoint</w:t>
            </w:r>
          </w:p>
        </w:tc>
      </w:tr>
      <w:tr>
        <w:tc>
          <w:tcPr>
            <w:tcW w:type="dxa" w:w="5020"/>
            <w:shd w:fill="F7F9F9" w:color="auto" w:val="clear"/>
            <w:tcMar>
              <w:top w:type="dxa" w:w="70"/>
              <w:left w:type="dxa" w:w="100"/>
              <w:bottom w:type="dxa" w:w="70"/>
              <w:right w:type="dxa" w:w="100"/>
            </w:tcMar>
          </w:tcPr>
          <w:p>
            <w:pPr>
              <w:spacing w:after="0"/>
            </w:pPr>
            <w:r>
              <w:rPr>
                <w:b w:val="false"/>
                <w:bCs w:val="false"/>
                <w:color w:val="1A1A1A"/>
                <w:sz w:val="18"/>
                <w:szCs w:val="18"/>
              </w:rPr>
              <w:t xml:space="preserve">Inserate und Vermarktung</w:t>
            </w:r>
          </w:p>
        </w:tc>
        <w:tc>
          <w:tcPr>
            <w:tcW w:type="dxa" w:w="4000"/>
            <w:shd w:fill="F7F9F9" w:color="auto" w:val="clear"/>
            <w:tcMar>
              <w:top w:type="dxa" w:w="70"/>
              <w:left w:type="dxa" w:w="100"/>
              <w:bottom w:type="dxa" w:w="70"/>
              <w:right w:type="dxa" w:w="100"/>
            </w:tcMar>
          </w:tcPr>
          <w:p>
            <w:pPr>
              <w:spacing w:after="0"/>
            </w:pPr>
            <w:r>
              <w:rPr>
                <w:b w:val="false"/>
                <w:bCs w:val="false"/>
                <w:color w:val="1A1A1A"/>
                <w:sz w:val="18"/>
                <w:szCs w:val="18"/>
              </w:rPr>
              <w:t xml:space="preserve">VMZ und Portale</w:t>
            </w:r>
          </w:p>
        </w:tc>
      </w:tr>
      <w:tr>
        <w:tc>
          <w:tcPr>
            <w:tcW w:type="dxa" w:w="5020"/>
            <w:shd w:fill="FFFFFF" w:color="auto" w:val="clear"/>
            <w:tcMar>
              <w:top w:type="dxa" w:w="70"/>
              <w:left w:type="dxa" w:w="100"/>
              <w:bottom w:type="dxa" w:w="70"/>
              <w:right w:type="dxa" w:w="100"/>
            </w:tcMar>
          </w:tcPr>
          <w:p>
            <w:pPr>
              <w:spacing w:after="0"/>
            </w:pPr>
            <w:r>
              <w:rPr>
                <w:b w:val="false"/>
                <w:bCs w:val="false"/>
                <w:color w:val="1A1A1A"/>
                <w:sz w:val="18"/>
                <w:szCs w:val="18"/>
              </w:rPr>
              <w:t xml:space="preserve">Pendenzen, Fristen und Nachweis der Erledigung</w:t>
            </w:r>
          </w:p>
        </w:tc>
        <w:tc>
          <w:tcPr>
            <w:tcW w:type="dxa" w:w="40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dieses Werkzeug</w:t>
            </w:r>
          </w:p>
        </w:tc>
      </w:tr>
    </w:tbl>
    <w:p>
      <w:pPr>
        <w:spacing w:after="200"/>
      </w:pPr>
      <w:r>
        <w:rPr>
          <w:sz w:val="20"/>
          <w:szCs w:val="20"/>
        </w:rPr>
        <w:t xml:space="preserve">Ein erledigter Schritt in diesem Werkzeug bedeutet nie, dass hier etwas gebucht oder abgelegt wurde. Er bedeutet, dass die Handlung im zuständigen System vorgenommen wurde.</w:t>
      </w:r>
    </w:p>
    <w:p>
      <w:pPr>
        <w:pStyle w:val="Heading1"/>
        <w:spacing w:after="160" w:before="320"/>
      </w:pPr>
      <w:r>
        <w:t xml:space="preserve">2. Schlüsseldaten und Begriffe</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1700"/>
        <w:gridCol w:w="5320"/>
        <w:gridCol w:w="2000"/>
      </w:tblGrid>
      <w:tr>
        <w:trPr>
          <w:tblHeader/>
        </w:trPr>
        <w:tc>
          <w:tcPr>
            <w:tcW w:type="dxa" w:w="1700"/>
            <w:shd w:fill="0F5C6E" w:color="auto" w:val="clear"/>
            <w:tcMar>
              <w:top w:type="dxa" w:w="70"/>
              <w:left w:type="dxa" w:w="100"/>
              <w:bottom w:type="dxa" w:w="70"/>
              <w:right w:type="dxa" w:w="100"/>
            </w:tcMar>
          </w:tcPr>
          <w:p>
            <w:pPr>
              <w:spacing w:after="0"/>
            </w:pPr>
            <w:r>
              <w:rPr>
                <w:b/>
                <w:bCs/>
                <w:color w:val="FFFFFF"/>
                <w:sz w:val="18"/>
                <w:szCs w:val="18"/>
              </w:rPr>
              <w:t xml:space="preserve">Begriff</w:t>
            </w:r>
          </w:p>
        </w:tc>
        <w:tc>
          <w:tcPr>
            <w:tcW w:type="dxa" w:w="532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Herkunft</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gekündigt per</w:t>
            </w:r>
          </w:p>
        </w:tc>
        <w:tc>
          <w:tcPr>
            <w:tcW w:type="dxa" w:w="5320"/>
            <w:shd w:fill="FFFFFF" w:color="auto" w:val="clear"/>
            <w:tcMar>
              <w:top w:type="dxa" w:w="70"/>
              <w:left w:type="dxa" w:w="100"/>
              <w:bottom w:type="dxa" w:w="70"/>
              <w:right w:type="dxa" w:w="100"/>
            </w:tcMar>
          </w:tcPr>
          <w:p>
            <w:pPr>
              <w:spacing w:after="0"/>
            </w:pPr>
            <w:r>
              <w:rPr>
                <w:b w:val="false"/>
                <w:bCs w:val="false"/>
                <w:color w:val="1A1A1A"/>
                <w:sz w:val="18"/>
                <w:szCs w:val="18"/>
              </w:rPr>
              <w:t xml:space="preserve">Datum, auf das die Kündigung ausgesprochen wurde. Zeitpunkt des Kündigungseingangs, nicht des Auszugs.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Erfassung</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Haftungsdatum</w:t>
            </w:r>
          </w:p>
        </w:tc>
        <w:tc>
          <w:tcPr>
            <w:tcW w:type="dxa" w:w="5320"/>
            <w:shd w:fill="F7F9F9" w:color="auto" w:val="clear"/>
            <w:tcMar>
              <w:top w:type="dxa" w:w="70"/>
              <w:left w:type="dxa" w:w="100"/>
              <w:bottom w:type="dxa" w:w="70"/>
              <w:right w:type="dxa" w:w="100"/>
            </w:tcMar>
          </w:tcPr>
          <w:p>
            <w:pPr>
              <w:spacing w:after="0"/>
            </w:pPr>
            <w:r>
              <w:rPr>
                <w:b w:val="false"/>
                <w:bCs w:val="false"/>
                <w:color w:val="1A1A1A"/>
                <w:sz w:val="18"/>
                <w:szCs w:val="18"/>
              </w:rPr>
              <w:t xml:space="preserve">Letzter Tag, für den der Vormieter haftet; entspricht dem Mietende. Bei vorzeitiger Rückgabe wird ausserordentlich gekündigt und das Mietende angepasst.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Erfassung</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Leerstandsbeginn</w:t>
            </w:r>
          </w:p>
        </w:tc>
        <w:tc>
          <w:tcPr>
            <w:tcW w:type="dxa" w:w="5320"/>
            <w:shd w:fill="FFFFFF" w:color="auto" w:val="clear"/>
            <w:tcMar>
              <w:top w:type="dxa" w:w="70"/>
              <w:left w:type="dxa" w:w="100"/>
              <w:bottom w:type="dxa" w:w="70"/>
              <w:right w:type="dxa" w:w="100"/>
            </w:tcMar>
          </w:tcPr>
          <w:p>
            <w:pPr>
              <w:spacing w:after="0"/>
            </w:pPr>
            <w:r>
              <w:rPr>
                <w:b w:val="false"/>
                <w:bCs w:val="false"/>
                <w:color w:val="1A1A1A"/>
                <w:sz w:val="18"/>
                <w:szCs w:val="18"/>
              </w:rPr>
              <w:t xml:space="preserve">Tag nach dem Haftungsdatum.</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Vermietet per</w:t>
            </w:r>
          </w:p>
        </w:tc>
        <w:tc>
          <w:tcPr>
            <w:tcW w:type="dxa" w:w="5320"/>
            <w:shd w:fill="F7F9F9" w:color="auto" w:val="clear"/>
            <w:tcMar>
              <w:top w:type="dxa" w:w="70"/>
              <w:left w:type="dxa" w:w="100"/>
              <w:bottom w:type="dxa" w:w="70"/>
              <w:right w:type="dxa" w:w="100"/>
            </w:tcMar>
          </w:tcPr>
          <w:p>
            <w:pPr>
              <w:spacing w:after="0"/>
            </w:pPr>
            <w:r>
              <w:rPr>
                <w:b w:val="false"/>
                <w:bCs w:val="false"/>
                <w:color w:val="1A1A1A"/>
                <w:sz w:val="18"/>
                <w:szCs w:val="18"/>
              </w:rPr>
              <w:t xml:space="preserve">Datum, ab dem das Objekt wieder vermietet ist.</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Erfassung</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Leerstandstage</w:t>
            </w:r>
          </w:p>
        </w:tc>
        <w:tc>
          <w:tcPr>
            <w:tcW w:type="dxa" w:w="5320"/>
            <w:shd w:fill="FFFFFF" w:color="auto" w:val="clear"/>
            <w:tcMar>
              <w:top w:type="dxa" w:w="70"/>
              <w:left w:type="dxa" w:w="100"/>
              <w:bottom w:type="dxa" w:w="70"/>
              <w:right w:type="dxa" w:w="100"/>
            </w:tcMar>
          </w:tcPr>
          <w:p>
            <w:pPr>
              <w:spacing w:after="0"/>
            </w:pPr>
            <w:r>
              <w:rPr>
                <w:b w:val="false"/>
                <w:bCs w:val="false"/>
                <w:color w:val="1A1A1A"/>
                <w:sz w:val="18"/>
                <w:szCs w:val="18"/>
              </w:rPr>
              <w:t xml:space="preserve">Leere Kalendertage vom Leerstandsbeginn bis zum Tag vor der Neuvermietung, beide eingeschlossen. Bei laufenden Fällen bis heute.</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Vorlauftage</w:t>
            </w:r>
          </w:p>
        </w:tc>
        <w:tc>
          <w:tcPr>
            <w:tcW w:type="dxa" w:w="5320"/>
            <w:shd w:fill="F7F9F9" w:color="auto" w:val="clear"/>
            <w:tcMar>
              <w:top w:type="dxa" w:w="70"/>
              <w:left w:type="dxa" w:w="100"/>
              <w:bottom w:type="dxa" w:w="70"/>
              <w:right w:type="dxa" w:w="100"/>
            </w:tcMar>
          </w:tcPr>
          <w:p>
            <w:pPr>
              <w:spacing w:after="0"/>
            </w:pPr>
            <w:r>
              <w:rPr>
                <w:b w:val="false"/>
                <w:bCs w:val="false"/>
                <w:color w:val="1A1A1A"/>
                <w:sz w:val="18"/>
                <w:szCs w:val="18"/>
              </w:rPr>
              <w:t xml:space="preserve">Kalendertage von «gekündigt per» bis zum Haftungsdatum. Entspricht der Kündigungsfrist und zählt nicht als Leerstand.</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17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Berichtsmonat</w:t>
            </w:r>
          </w:p>
        </w:tc>
        <w:tc>
          <w:tcPr>
            <w:tcW w:type="dxa" w:w="5320"/>
            <w:shd w:fill="FFFFFF" w:color="auto" w:val="clear"/>
            <w:tcMar>
              <w:top w:type="dxa" w:w="70"/>
              <w:left w:type="dxa" w:w="100"/>
              <w:bottom w:type="dxa" w:w="70"/>
              <w:right w:type="dxa" w:w="100"/>
            </w:tcMar>
          </w:tcPr>
          <w:p>
            <w:pPr>
              <w:spacing w:after="0"/>
            </w:pPr>
            <w:r>
              <w:rPr>
                <w:b w:val="false"/>
                <w:bCs w:val="false"/>
                <w:color w:val="1A1A1A"/>
                <w:sz w:val="18"/>
                <w:szCs w:val="18"/>
              </w:rPr>
              <w:t xml:space="preserve">Monat und Jahr des Leerstandsbeginns.</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berechnet</w:t>
            </w:r>
          </w:p>
        </w:tc>
      </w:tr>
      <w:tr>
        <w:tc>
          <w:tcPr>
            <w:tcW w:type="dxa" w:w="17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Mieter seit</w:t>
            </w:r>
          </w:p>
        </w:tc>
        <w:tc>
          <w:tcPr>
            <w:tcW w:type="dxa" w:w="5320"/>
            <w:shd w:fill="F7F9F9" w:color="auto" w:val="clear"/>
            <w:tcMar>
              <w:top w:type="dxa" w:w="70"/>
              <w:left w:type="dxa" w:w="100"/>
              <w:bottom w:type="dxa" w:w="70"/>
              <w:right w:type="dxa" w:w="100"/>
            </w:tcMar>
          </w:tcPr>
          <w:p>
            <w:pPr>
              <w:spacing w:after="0"/>
            </w:pPr>
            <w:r>
              <w:rPr>
                <w:b w:val="false"/>
                <w:bCs w:val="false"/>
                <w:color w:val="1A1A1A"/>
                <w:sz w:val="18"/>
                <w:szCs w:val="18"/>
              </w:rPr>
              <w:t xml:space="preserve">Beginn des Mietverhältnisses des Vormieters. Relevant für die Beurteilung der Abnutzung.</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Erfassung</w:t>
            </w:r>
          </w:p>
        </w:tc>
      </w:tr>
    </w:tbl>
    <w:p>
      <w:pPr>
        <w:spacing w:after="0"/>
      </w:pPr>
      <w:r>
        <w:t xml:space="preserve"/>
      </w:r>
    </w:p>
    <w:tbl>
      <w:tblPr>
        <w:tblW w:type="dxa" w:w="9020"/>
        <w:tblBorders>
          <w:top w:val="single" w:color="0F5C6E" w:sz="4"/>
          <w:left w:val="single" w:color="0F5C6E" w:sz="18"/>
          <w:bottom w:val="single" w:color="0F5C6E" w:sz="4"/>
          <w:right w:val="single" w:color="0F5C6E" w:sz="4"/>
          <w:insideH w:val="none"/>
          <w:insideV w:val="none"/>
        </w:tblBorders>
      </w:tblPr>
      <w:tblGrid>
        <w:gridCol w:w="9020"/>
      </w:tblGrid>
      <w:tr>
        <w:tc>
          <w:tcPr>
            <w:tcW w:type="dxa" w:w="9020"/>
            <w:shd w:fill="EDF1F2" w:color="auto" w:val="clear"/>
            <w:tcMar>
              <w:top w:type="dxa" w:w="140"/>
              <w:left w:type="dxa" w:w="180"/>
              <w:bottom w:type="dxa" w:w="140"/>
              <w:right w:type="dxa" w:w="160"/>
            </w:tcMar>
          </w:tcPr>
          <w:p>
            <w:pPr>
              <w:spacing w:after="70"/>
            </w:pPr>
            <w:r>
              <w:rPr>
                <w:b/>
                <w:bCs/>
                <w:color w:val="0B4655"/>
                <w:sz w:val="19"/>
                <w:szCs w:val="19"/>
              </w:rPr>
              <w:t xml:space="preserve">Rechenbeispiel</w:t>
            </w:r>
          </w:p>
          <w:p>
            <w:pPr>
              <w:spacing w:after="50"/>
            </w:pPr>
            <w:r>
              <w:rPr>
                <w:sz w:val="19"/>
                <w:szCs w:val="19"/>
              </w:rPr>
              <w:t xml:space="preserve">Haftung bis 31.08., Vermietung ab 01.09.  →  0 Leerstandstage (nahtlos).</w:t>
            </w:r>
          </w:p>
          <w:p>
            <w:pPr>
              <w:spacing w:after="50"/>
            </w:pPr>
            <w:r>
              <w:rPr>
                <w:sz w:val="19"/>
                <w:szCs w:val="19"/>
              </w:rPr>
              <w:t xml:space="preserve">Haftung bis 31.08., Vermietung ab 15.09.  →  14 Leerstandstage (01.09. bis 14.09.).</w:t>
            </w:r>
          </w:p>
          <w:p>
            <w:pPr>
              <w:spacing w:after="50"/>
            </w:pPr>
            <w:r>
              <w:rPr>
                <w:sz w:val="19"/>
                <w:szCs w:val="19"/>
              </w:rPr>
              <w:t xml:space="preserve">Kündigung am 31.05., Haftung bis 31.08.   →  92 Vorlauftage, die nicht als Leerstand zählen.</w:t>
            </w:r>
          </w:p>
          <w:p>
            <w:pPr>
              <w:spacing w:after="50"/>
            </w:pPr>
            <w:r>
              <w:rPr>
                <w:sz w:val="19"/>
                <w:szCs w:val="19"/>
              </w:rPr>
              <w:t xml:space="preserve">Der Berichtsmonat ist in beiden Fällen September, nicht August.</w:t>
            </w:r>
          </w:p>
        </w:tc>
      </w:tr>
    </w:tbl>
    <w:p>
      <w:pPr>
        <w:pStyle w:val="Heading1"/>
        <w:spacing w:after="160" w:before="320"/>
      </w:pPr>
      <w:r>
        <w:t xml:space="preserve">3. Organisation und Zuständigkeit</w:t>
      </w:r>
    </w:p>
    <w:p>
      <w:pPr>
        <w:spacing w:after="120"/>
      </w:pPr>
      <w:r>
        <w:rPr>
          <w:sz w:val="20"/>
          <w:szCs w:val="20"/>
        </w:rPr>
        <w:t xml:space="preserve">Jeder Fall hat genau einen zuständigen Bewirtschafter. Er führt alle Schritte des Falls, sofern nachstehend nichts anderes vermerkt ist. Die Bewirtschaftung ist in zwei Teams gegliedert.</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1500"/>
        <w:gridCol w:w="3200"/>
        <w:gridCol w:w="4320"/>
      </w:tblGrid>
      <w:tr>
        <w:trPr>
          <w:tblHeader/>
        </w:trPr>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Einheit</w:t>
            </w:r>
          </w:p>
        </w:tc>
        <w:tc>
          <w:tcPr>
            <w:tcW w:type="dxa" w:w="3200"/>
            <w:shd w:fill="0F5C6E" w:color="auto" w:val="clear"/>
            <w:tcMar>
              <w:top w:type="dxa" w:w="70"/>
              <w:left w:type="dxa" w:w="100"/>
              <w:bottom w:type="dxa" w:w="70"/>
              <w:right w:type="dxa" w:w="100"/>
            </w:tcMar>
          </w:tcPr>
          <w:p>
            <w:pPr>
              <w:spacing w:after="0"/>
            </w:pPr>
            <w:r>
              <w:rPr>
                <w:b/>
                <w:bCs/>
                <w:color w:val="FFFFFF"/>
                <w:sz w:val="18"/>
                <w:szCs w:val="18"/>
              </w:rPr>
              <w:t xml:space="preserve">Bewirtschafter</w:t>
            </w:r>
          </w:p>
        </w:tc>
        <w:tc>
          <w:tcPr>
            <w:tcW w:type="dxa" w:w="4320"/>
            <w:shd w:fill="0F5C6E" w:color="auto" w:val="clear"/>
            <w:tcMar>
              <w:top w:type="dxa" w:w="70"/>
              <w:left w:type="dxa" w:w="100"/>
              <w:bottom w:type="dxa" w:w="70"/>
              <w:right w:type="dxa" w:w="100"/>
            </w:tcMar>
          </w:tcPr>
          <w:p>
            <w:pPr>
              <w:spacing w:after="0"/>
            </w:pPr>
            <w:r>
              <w:rPr>
                <w:b/>
                <w:bCs/>
                <w:color w:val="FFFFFF"/>
                <w:sz w:val="18"/>
                <w:szCs w:val="18"/>
              </w:rPr>
              <w:t xml:space="preserve">Verantwortung</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BS 01</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Brandenburger, Breitmeier, Loa, Sivanesan</w:t>
            </w:r>
          </w:p>
        </w:tc>
        <w:tc>
          <w:tcPr>
            <w:tcW w:type="dxa" w:w="4320"/>
            <w:shd w:fill="FFFFFF" w:color="auto" w:val="clear"/>
            <w:tcMar>
              <w:top w:type="dxa" w:w="70"/>
              <w:left w:type="dxa" w:w="100"/>
              <w:bottom w:type="dxa" w:w="70"/>
              <w:right w:type="dxa" w:w="100"/>
            </w:tcMar>
          </w:tcPr>
          <w:p>
            <w:pPr>
              <w:spacing w:after="0"/>
            </w:pPr>
            <w:r>
              <w:rPr>
                <w:b w:val="false"/>
                <w:bCs w:val="false"/>
                <w:color w:val="1A1A1A"/>
                <w:sz w:val="18"/>
                <w:szCs w:val="18"/>
              </w:rPr>
              <w:t xml:space="preserve">Teamleitung überwacht die Fälle des Teams und kann Zuständigkeiten innerhalb des Teams übergeben.</w:t>
            </w:r>
          </w:p>
        </w:tc>
      </w:tr>
      <w:tr>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BS 02</w:t>
            </w:r>
          </w:p>
        </w:tc>
        <w:tc>
          <w:tcPr>
            <w:tcW w:type="dxa" w:w="3200"/>
            <w:shd w:fill="F7F9F9" w:color="auto" w:val="clear"/>
            <w:tcMar>
              <w:top w:type="dxa" w:w="70"/>
              <w:left w:type="dxa" w:w="100"/>
              <w:bottom w:type="dxa" w:w="70"/>
              <w:right w:type="dxa" w:w="100"/>
            </w:tcMar>
          </w:tcPr>
          <w:p>
            <w:pPr>
              <w:spacing w:after="0"/>
            </w:pPr>
            <w:r>
              <w:rPr>
                <w:b w:val="false"/>
                <w:bCs w:val="false"/>
                <w:color w:val="1A1A1A"/>
                <w:sz w:val="18"/>
                <w:szCs w:val="18"/>
              </w:rPr>
              <w:t xml:space="preserve">Moren, Ryser, Scherb, Ademi, Fazliu</w:t>
            </w:r>
          </w:p>
        </w:tc>
        <w:tc>
          <w:tcPr>
            <w:tcW w:type="dxa" w:w="4320"/>
            <w:shd w:fill="F7F9F9" w:color="auto" w:val="clear"/>
            <w:tcMar>
              <w:top w:type="dxa" w:w="70"/>
              <w:left w:type="dxa" w:w="100"/>
              <w:bottom w:type="dxa" w:w="70"/>
              <w:right w:type="dxa" w:w="100"/>
            </w:tcMar>
          </w:tcPr>
          <w:p>
            <w:pPr>
              <w:spacing w:after="0"/>
            </w:pPr>
            <w:r>
              <w:rPr>
                <w:b w:val="false"/>
                <w:bCs w:val="false"/>
                <w:color w:val="1A1A1A"/>
                <w:sz w:val="18"/>
                <w:szCs w:val="18"/>
              </w:rPr>
              <w:t xml:space="preserve">dito</w:t>
            </w:r>
          </w:p>
        </w:tc>
      </w:tr>
      <w:tr>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BS Gesamt</w:t>
            </w:r>
          </w:p>
        </w:tc>
        <w:tc>
          <w:tcPr>
            <w:tcW w:type="dxa" w:w="320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neun</w:t>
            </w:r>
          </w:p>
        </w:tc>
        <w:tc>
          <w:tcPr>
            <w:tcW w:type="dxa" w:w="4320"/>
            <w:shd w:fill="FFFFFF" w:color="auto" w:val="clear"/>
            <w:tcMar>
              <w:top w:type="dxa" w:w="70"/>
              <w:left w:type="dxa" w:w="100"/>
              <w:bottom w:type="dxa" w:w="70"/>
              <w:right w:type="dxa" w:w="100"/>
            </w:tcMar>
          </w:tcPr>
          <w:p>
            <w:pPr>
              <w:spacing w:after="0"/>
            </w:pPr>
            <w:r>
              <w:rPr>
                <w:b w:val="false"/>
                <w:bCs w:val="false"/>
                <w:color w:val="1A1A1A"/>
                <w:sz w:val="18"/>
                <w:szCs w:val="18"/>
              </w:rPr>
              <w:t xml:space="preserve">Gesamtsicht über beide Teams; Zuständigkeiten auch teamübergreifend.</w:t>
            </w:r>
          </w:p>
        </w:tc>
      </w:tr>
    </w:tbl>
    <w:p>
      <w:pPr>
        <w:spacing w:after="200"/>
      </w:pPr>
      <w:r>
        <w:rPr>
          <w:sz w:val="20"/>
          <w:szCs w:val="20"/>
        </w:rPr>
        <w:t xml:space="preserve">Ein Bewirtschafter bearbeitet die eigenen Fälle und sieht die Fälle seines Teams – für Stellvertretung und telefonische Auskunft.</w:t>
      </w:r>
    </w:p>
    <w:p>
      <w:pPr>
        <w:pStyle w:val="Heading1"/>
        <w:spacing w:after="160" w:before="320"/>
      </w:pPr>
      <w:r>
        <w:t xml:space="preserve">4. Prozesslandkarte</w:t>
      </w:r>
    </w:p>
    <w:p>
      <w:pPr>
        <w:spacing w:after="120"/>
      </w:pPr>
      <w:r>
        <w:rPr>
          <w:sz w:val="20"/>
          <w:szCs w:val="20"/>
        </w:rPr>
        <w:t xml:space="preserve">Der Mieterwechsel gliedert sich in drei Prozesse. Sie folgen aufeinander, überschneiden sich aber: Die Vermarktung läuft bereits, während die Abnahme noch aussteht.</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2100"/>
        <w:gridCol w:w="3400"/>
        <w:gridCol w:w="1760"/>
        <w:gridCol w:w="1760"/>
      </w:tblGrid>
      <w:tr>
        <w:trPr>
          <w:tblHeader/>
        </w:trPr>
        <w:tc>
          <w:tcPr>
            <w:tcW w:type="dxa" w:w="2100"/>
            <w:shd w:fill="0F5C6E" w:color="auto" w:val="clear"/>
            <w:tcMar>
              <w:top w:type="dxa" w:w="70"/>
              <w:left w:type="dxa" w:w="100"/>
              <w:bottom w:type="dxa" w:w="70"/>
              <w:right w:type="dxa" w:w="100"/>
            </w:tcMar>
          </w:tcPr>
          <w:p>
            <w:pPr>
              <w:spacing w:after="0"/>
            </w:pPr>
            <w:r>
              <w:rPr>
                <w:b/>
                <w:bCs/>
                <w:color w:val="FFFFFF"/>
                <w:sz w:val="18"/>
                <w:szCs w:val="18"/>
              </w:rPr>
              <w:t xml:space="preserve">Prozess</w:t>
            </w:r>
          </w:p>
        </w:tc>
        <w:tc>
          <w:tcPr>
            <w:tcW w:type="dxa" w:w="3400"/>
            <w:shd w:fill="0F5C6E" w:color="auto" w:val="clear"/>
            <w:tcMar>
              <w:top w:type="dxa" w:w="70"/>
              <w:left w:type="dxa" w:w="100"/>
              <w:bottom w:type="dxa" w:w="70"/>
              <w:right w:type="dxa" w:w="100"/>
            </w:tcMar>
          </w:tcPr>
          <w:p>
            <w:pPr>
              <w:spacing w:after="0"/>
            </w:pPr>
            <w:r>
              <w:rPr>
                <w:b/>
                <w:bCs/>
                <w:color w:val="FFFFFF"/>
                <w:sz w:val="18"/>
                <w:szCs w:val="18"/>
              </w:rPr>
              <w:t xml:space="preserve">Inhalt</w:t>
            </w:r>
          </w:p>
        </w:tc>
        <w:tc>
          <w:tcPr>
            <w:tcW w:type="dxa" w:w="1760"/>
            <w:shd w:fill="0F5C6E" w:color="auto" w:val="clear"/>
            <w:tcMar>
              <w:top w:type="dxa" w:w="70"/>
              <w:left w:type="dxa" w:w="100"/>
              <w:bottom w:type="dxa" w:w="70"/>
              <w:right w:type="dxa" w:w="100"/>
            </w:tcMar>
          </w:tcPr>
          <w:p>
            <w:pPr>
              <w:spacing w:after="0"/>
            </w:pPr>
            <w:r>
              <w:rPr>
                <w:b/>
                <w:bCs/>
                <w:color w:val="FFFFFF"/>
                <w:sz w:val="18"/>
                <w:szCs w:val="18"/>
              </w:rPr>
              <w:t xml:space="preserve">Beginnt mit</w:t>
            </w:r>
          </w:p>
        </w:tc>
        <w:tc>
          <w:tcPr>
            <w:tcW w:type="dxa" w:w="1760"/>
            <w:shd w:fill="0F5C6E" w:color="auto" w:val="clear"/>
            <w:tcMar>
              <w:top w:type="dxa" w:w="70"/>
              <w:left w:type="dxa" w:w="100"/>
              <w:bottom w:type="dxa" w:w="70"/>
              <w:right w:type="dxa" w:w="100"/>
            </w:tcMar>
          </w:tcPr>
          <w:p>
            <w:pPr>
              <w:spacing w:after="0"/>
            </w:pPr>
            <w:r>
              <w:rPr>
                <w:b/>
                <w:bCs/>
                <w:color w:val="FFFFFF"/>
                <w:sz w:val="18"/>
                <w:szCs w:val="18"/>
              </w:rPr>
              <w:t xml:space="preserve">Endet mit</w:t>
            </w:r>
          </w:p>
        </w:tc>
      </w:tr>
      <w:tr>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1  Kündigung &amp; Abnahme</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Kündigung abwickeln, Objekt vermarkten, abnehmen, instand stellen</w:t>
            </w:r>
          </w:p>
        </w:tc>
        <w:tc>
          <w:tcPr>
            <w:tcW w:type="dxa" w:w="176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Eingang der Kündigung</w:t>
            </w:r>
          </w:p>
        </w:tc>
        <w:tc>
          <w:tcPr>
            <w:tcW w:type="dxa" w:w="1760"/>
            <w:shd w:fill="FFFFFF" w:color="auto" w:val="clear"/>
            <w:tcMar>
              <w:top w:type="dxa" w:w="70"/>
              <w:left w:type="dxa" w:w="100"/>
              <w:bottom w:type="dxa" w:w="70"/>
              <w:right w:type="dxa" w:w="100"/>
            </w:tcMar>
          </w:tcPr>
          <w:p>
            <w:pPr>
              <w:spacing w:after="0"/>
            </w:pPr>
            <w:r>
              <w:rPr>
                <w:b w:val="false"/>
                <w:bCs w:val="false"/>
                <w:color w:val="1A1A1A"/>
                <w:sz w:val="18"/>
                <w:szCs w:val="18"/>
              </w:rPr>
              <w:t xml:space="preserve">Instandstellung beauftragt</w:t>
            </w:r>
          </w:p>
        </w:tc>
      </w:tr>
      <w:tr>
        <w:tc>
          <w:tcPr>
            <w:tcW w:type="dxa" w:w="2100"/>
            <w:shd w:fill="F7F9F9" w:color="auto" w:val="clear"/>
            <w:tcMar>
              <w:top w:type="dxa" w:w="70"/>
              <w:left w:type="dxa" w:w="100"/>
              <w:bottom w:type="dxa" w:w="70"/>
              <w:right w:type="dxa" w:w="100"/>
            </w:tcMar>
          </w:tcPr>
          <w:p>
            <w:pPr>
              <w:spacing w:after="0"/>
            </w:pPr>
            <w:r>
              <w:rPr>
                <w:b w:val="false"/>
                <w:bCs w:val="false"/>
                <w:color w:val="1A1A1A"/>
                <w:sz w:val="18"/>
                <w:szCs w:val="18"/>
              </w:rPr>
              <w:t xml:space="preserve">2  Wiedervermietung</w:t>
            </w:r>
          </w:p>
        </w:tc>
        <w:tc>
          <w:tcPr>
            <w:tcW w:type="dxa" w:w="340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Nachmieter gewinnen, Vertrag abschliessen, Objekt übergeben</w:t>
            </w:r>
          </w:p>
        </w:tc>
        <w:tc>
          <w:tcPr>
            <w:tcW w:type="dxa" w:w="1760"/>
            <w:shd w:fill="F7F9F9" w:color="auto" w:val="clear"/>
            <w:tcMar>
              <w:top w:type="dxa" w:w="70"/>
              <w:left w:type="dxa" w:w="100"/>
              <w:bottom w:type="dxa" w:w="70"/>
              <w:right w:type="dxa" w:w="100"/>
            </w:tcMar>
          </w:tcPr>
          <w:p>
            <w:pPr>
              <w:spacing w:after="0"/>
            </w:pPr>
            <w:r>
              <w:rPr>
                <w:b w:val="false"/>
                <w:bCs w:val="false"/>
                <w:color w:val="1A1A1A"/>
                <w:sz w:val="18"/>
                <w:szCs w:val="18"/>
              </w:rPr>
              <w:t xml:space="preserve">Zusage des Nachmieters</w:t>
            </w:r>
          </w:p>
        </w:tc>
        <w:tc>
          <w:tcPr>
            <w:tcW w:type="dxa" w:w="1760"/>
            <w:shd w:fill="F7F9F9" w:color="auto" w:val="clear"/>
            <w:tcMar>
              <w:top w:type="dxa" w:w="70"/>
              <w:left w:type="dxa" w:w="100"/>
              <w:bottom w:type="dxa" w:w="70"/>
              <w:right w:type="dxa" w:w="100"/>
            </w:tcMar>
          </w:tcPr>
          <w:p>
            <w:pPr>
              <w:spacing w:after="0"/>
            </w:pPr>
            <w:r>
              <w:rPr>
                <w:b w:val="false"/>
                <w:bCs w:val="false"/>
                <w:color w:val="1A1A1A"/>
                <w:sz w:val="18"/>
                <w:szCs w:val="18"/>
              </w:rPr>
              <w:t xml:space="preserve">Kaution und Mutation erledigt</w:t>
            </w:r>
          </w:p>
        </w:tc>
      </w:tr>
      <w:tr>
        <w:tc>
          <w:tcPr>
            <w:tcW w:type="dxa" w:w="2100"/>
            <w:shd w:fill="FFFFFF" w:color="auto" w:val="clear"/>
            <w:tcMar>
              <w:top w:type="dxa" w:w="70"/>
              <w:left w:type="dxa" w:w="100"/>
              <w:bottom w:type="dxa" w:w="70"/>
              <w:right w:type="dxa" w:w="100"/>
            </w:tcMar>
          </w:tcPr>
          <w:p>
            <w:pPr>
              <w:spacing w:after="0"/>
            </w:pPr>
            <w:r>
              <w:rPr>
                <w:b w:val="false"/>
                <w:bCs w:val="false"/>
                <w:color w:val="1A1A1A"/>
                <w:sz w:val="18"/>
                <w:szCs w:val="18"/>
              </w:rPr>
              <w:t xml:space="preserve">3  Schlussabrechnung</w:t>
            </w:r>
          </w:p>
        </w:tc>
        <w:tc>
          <w:tcPr>
            <w:tcW w:type="dxa" w:w="3400"/>
            <w:shd w:fill="FFFFFF" w:color="auto" w:val="clear"/>
            <w:tcMar>
              <w:top w:type="dxa" w:w="70"/>
              <w:left w:type="dxa" w:w="100"/>
              <w:bottom w:type="dxa" w:w="70"/>
              <w:right w:type="dxa" w:w="100"/>
            </w:tcMar>
          </w:tcPr>
          <w:p>
            <w:pPr>
              <w:spacing w:after="0"/>
            </w:pPr>
            <w:r>
              <w:rPr>
                <w:b w:val="false"/>
                <w:bCs w:val="false"/>
                <w:color w:val="1A1A1A"/>
                <w:sz w:val="18"/>
                <w:szCs w:val="18"/>
              </w:rPr>
              <w:t xml:space="preserve">Mit dem Vormieter abrechnen</w:t>
            </w:r>
          </w:p>
        </w:tc>
        <w:tc>
          <w:tcPr>
            <w:tcW w:type="dxa" w:w="1760"/>
            <w:shd w:fill="FFFFFF" w:color="auto" w:val="clear"/>
            <w:tcMar>
              <w:top w:type="dxa" w:w="70"/>
              <w:left w:type="dxa" w:w="100"/>
              <w:bottom w:type="dxa" w:w="70"/>
              <w:right w:type="dxa" w:w="100"/>
            </w:tcMar>
          </w:tcPr>
          <w:p>
            <w:pPr>
              <w:spacing w:after="0"/>
            </w:pPr>
            <w:r>
              <w:rPr>
                <w:b w:val="false"/>
                <w:bCs w:val="false"/>
                <w:color w:val="1A1A1A"/>
                <w:sz w:val="18"/>
                <w:szCs w:val="18"/>
              </w:rPr>
              <w:t xml:space="preserve">Eingang der Handwerkerrechnungen</w:t>
            </w:r>
          </w:p>
        </w:tc>
        <w:tc>
          <w:tcPr>
            <w:tcW w:type="dxa" w:w="176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Zahlungseingang</w:t>
            </w:r>
          </w:p>
        </w:tc>
      </w:tr>
    </w:tbl>
    <w:p>
      <w:pPr>
        <w:spacing w:after="0"/>
      </w:pPr>
      <w:r>
        <w:t xml:space="preserve"/>
      </w:r>
    </w:p>
    <w:tbl>
      <w:tblPr>
        <w:tblW w:type="dxa" w:w="9020"/>
        <w:tblBorders>
          <w:top w:val="single" w:color="0F5C6E" w:sz="4"/>
          <w:left w:val="single" w:color="0F5C6E" w:sz="18"/>
          <w:bottom w:val="single" w:color="0F5C6E" w:sz="4"/>
          <w:right w:val="single" w:color="0F5C6E" w:sz="4"/>
          <w:insideH w:val="none"/>
          <w:insideV w:val="none"/>
        </w:tblBorders>
      </w:tblPr>
      <w:tblGrid>
        <w:gridCol w:w="9020"/>
      </w:tblGrid>
      <w:tr>
        <w:tc>
          <w:tcPr>
            <w:tcW w:type="dxa" w:w="9020"/>
            <w:shd w:fill="EDF1F2" w:color="auto" w:val="clear"/>
            <w:tcMar>
              <w:top w:type="dxa" w:w="140"/>
              <w:left w:type="dxa" w:w="180"/>
              <w:bottom w:type="dxa" w:w="140"/>
              <w:right w:type="dxa" w:w="160"/>
            </w:tcMar>
          </w:tcPr>
          <w:p>
            <w:pPr>
              <w:spacing w:after="70"/>
            </w:pPr>
            <w:r>
              <w:rPr>
                <w:b/>
                <w:bCs/>
                <w:color w:val="0B4655"/>
                <w:sz w:val="19"/>
                <w:szCs w:val="19"/>
              </w:rPr>
              <w:t xml:space="preserve">Lesehilfe zu den Ablauftabellen</w:t>
            </w:r>
          </w:p>
          <w:p>
            <w:pPr>
              <w:spacing w:after="50"/>
            </w:pPr>
            <w:r>
              <w:rPr>
                <w:sz w:val="19"/>
                <w:szCs w:val="19"/>
              </w:rPr>
              <w:t xml:space="preserve">System – wo die Handlung tatsächlich stattfindet: Garaio REM · VMZ · Dossier (SharePoint) · vor Ort · extern (Dritte).</w:t>
            </w:r>
          </w:p>
          <w:p>
            <w:pPr>
              <w:spacing w:after="50"/>
            </w:pPr>
            <w:r>
              <w:rPr>
                <w:sz w:val="19"/>
                <w:szCs w:val="19"/>
              </w:rPr>
              <w:t xml:space="preserve">Auslöser / Frist – was den Schritt auslöst oder bis wann er erledigt sein soll. «keine feste Frist» heisst: der Schritt ist zu erledigen, wird aber nicht überwacht.</w:t>
            </w:r>
          </w:p>
          <w:p>
            <w:pPr>
              <w:spacing w:after="50"/>
            </w:pPr>
            <w:r>
              <w:rPr>
                <w:sz w:val="19"/>
                <w:szCs w:val="19"/>
              </w:rPr>
              <w:t xml:space="preserve">Bemerkung – bleibt leer für eure Anmerkungen.</w:t>
            </w:r>
          </w:p>
        </w:tc>
      </w:tr>
    </w:tbl>
    <w:p>
      <w:r>
        <w:br w:type="page"/>
      </w:r>
    </w:p>
    <w:p>
      <w:pPr>
        <w:pStyle w:val="Heading1"/>
        <w:spacing w:after="160" w:before="320"/>
      </w:pPr>
      <w:r>
        <w:t xml:space="preserve">5. Prozess 1 — Kündigung &amp; Abnahme</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702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Merkmal</w:t>
            </w:r>
          </w:p>
        </w:tc>
        <w:tc>
          <w:tcPr>
            <w:tcW w:type="dxa" w:w="7020"/>
            <w:shd w:fill="0F5C6E" w:color="auto" w:val="clear"/>
            <w:tcMar>
              <w:top w:type="dxa" w:w="70"/>
              <w:left w:type="dxa" w:w="100"/>
              <w:bottom w:type="dxa" w:w="70"/>
              <w:right w:type="dxa" w:w="100"/>
            </w:tcMar>
          </w:tcPr>
          <w:p>
            <w:pPr>
              <w:spacing w:after="0"/>
            </w:pPr>
            <w:r>
              <w:rPr>
                <w:b/>
                <w:bCs/>
                <w:color w:val="FFFFFF"/>
                <w:sz w:val="18"/>
                <w:szCs w:val="18"/>
              </w:rPr>
              <w:t xml:space="preserve">Beschreibung</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Auslöser</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Kündigung des Mieters geht ein, oder es wird ausserordentlich gekündigt.</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Ergebnis</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Objekt ist abgenommen, die Instandstellung ist beauftragt, die Vermarktung läuft.</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zuständige Bewirtschafter des Objekts.</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Entspricht im Excel</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Spalten A bis V</w:t>
            </w:r>
          </w:p>
        </w:tc>
      </w:tr>
    </w:tbl>
    <w:p>
      <w:pPr>
        <w:pStyle w:val="Heading2"/>
        <w:spacing w:after="120" w:before="260"/>
      </w:pPr>
      <w:r>
        <w:t xml:space="preserve">5.1 Falleröffnung</w:t>
      </w:r>
    </w:p>
    <w:p>
      <w:pPr>
        <w:spacing w:after="120"/>
      </w:pPr>
      <w:r>
        <w:rPr>
          <w:sz w:val="20"/>
          <w:szCs w:val="20"/>
        </w:rPr>
        <w:t xml:space="preserve">Der Fall wird eröffnet, sobald die Kündigung vorliegt. Objektbezogene Angaben stammen aus Garaio REM und werden nicht neu erfasst.</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2000"/>
        <w:gridCol w:w="800"/>
        <w:gridCol w:w="356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Angabe</w:t>
            </w:r>
          </w:p>
        </w:tc>
        <w:tc>
          <w:tcPr>
            <w:tcW w:type="dxa" w:w="800"/>
            <w:shd w:fill="0F5C6E" w:color="auto" w:val="clear"/>
            <w:tcMar>
              <w:top w:type="dxa" w:w="70"/>
              <w:left w:type="dxa" w:w="100"/>
              <w:bottom w:type="dxa" w:w="70"/>
              <w:right w:type="dxa" w:w="100"/>
            </w:tcMar>
          </w:tcPr>
          <w:p>
            <w:pPr>
              <w:spacing w:after="0"/>
            </w:pPr>
            <w:r>
              <w:rPr>
                <w:b/>
                <w:bCs/>
                <w:color w:val="FFFFFF"/>
                <w:sz w:val="18"/>
                <w:szCs w:val="18"/>
              </w:rPr>
              <w:t xml:space="preserve">Pflicht</w:t>
            </w:r>
          </w:p>
        </w:tc>
        <w:tc>
          <w:tcPr>
            <w:tcW w:type="dxa" w:w="3560"/>
            <w:shd w:fill="0F5C6E" w:color="auto" w:val="clear"/>
            <w:tcMar>
              <w:top w:type="dxa" w:w="70"/>
              <w:left w:type="dxa" w:w="100"/>
              <w:bottom w:type="dxa" w:w="70"/>
              <w:right w:type="dxa" w:w="100"/>
            </w:tcMar>
          </w:tcPr>
          <w:p>
            <w:pPr>
              <w:spacing w:after="0"/>
            </w:pPr>
            <w:r>
              <w:rPr>
                <w:b/>
                <w:bCs/>
                <w:color w:val="FFFFFF"/>
                <w:sz w:val="18"/>
                <w:szCs w:val="18"/>
              </w:rPr>
              <w:t xml:space="preserve">Erläuterung</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1.1</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Objekt</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ja</w:t>
            </w:r>
          </w:p>
        </w:tc>
        <w:tc>
          <w:tcPr>
            <w:tcW w:type="dxa" w:w="3560"/>
            <w:shd w:fill="FFFFFF" w:color="auto" w:val="clear"/>
            <w:tcMar>
              <w:top w:type="dxa" w:w="70"/>
              <w:left w:type="dxa" w:w="100"/>
              <w:bottom w:type="dxa" w:w="70"/>
              <w:right w:type="dxa" w:w="100"/>
            </w:tcMar>
          </w:tcPr>
          <w:p>
            <w:pPr>
              <w:spacing w:after="0"/>
            </w:pPr>
            <w:r>
              <w:rPr>
                <w:b w:val="false"/>
                <w:bCs w:val="false"/>
                <w:color w:val="1A1A1A"/>
                <w:sz w:val="18"/>
                <w:szCs w:val="18"/>
              </w:rPr>
              <w:t xml:space="preserve">Aus Garaio REM: Objekt-Nr., Liegenschaft, Stockwerk, Zimmerzahl, Eigentümer, Dossier.</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1.2</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Zuständiger Bewirtschafter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ja</w:t>
            </w:r>
          </w:p>
        </w:tc>
        <w:tc>
          <w:tcPr>
            <w:tcW w:type="dxa" w:w="3560"/>
            <w:shd w:fill="F7F9F9" w:color="auto" w:val="clear"/>
            <w:tcMar>
              <w:top w:type="dxa" w:w="70"/>
              <w:left w:type="dxa" w:w="100"/>
              <w:bottom w:type="dxa" w:w="70"/>
              <w:right w:type="dxa" w:w="100"/>
            </w:tcMar>
          </w:tcPr>
          <w:p>
            <w:pPr>
              <w:spacing w:after="0"/>
            </w:pPr>
            <w:r>
              <w:rPr>
                <w:b w:val="false"/>
                <w:bCs w:val="false"/>
                <w:color w:val="1A1A1A"/>
                <w:sz w:val="18"/>
                <w:szCs w:val="18"/>
              </w:rPr>
              <w:t xml:space="preserve">Wird mit dem Objekt übernommen, kann übergeben werden.</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1.3</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ex-Mieter</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ja</w:t>
            </w:r>
          </w:p>
        </w:tc>
        <w:tc>
          <w:tcPr>
            <w:tcW w:type="dxa" w:w="3560"/>
            <w:shd w:fill="FFFFFF" w:color="auto" w:val="clear"/>
            <w:tcMar>
              <w:top w:type="dxa" w:w="70"/>
              <w:left w:type="dxa" w:w="100"/>
              <w:bottom w:type="dxa" w:w="70"/>
              <w:right w:type="dxa" w:w="100"/>
            </w:tcMar>
          </w:tcPr>
          <w:p>
            <w:pPr>
              <w:spacing w:after="0"/>
            </w:pPr>
            <w:r>
              <w:rPr>
                <w:b w:val="false"/>
                <w:bCs w:val="false"/>
                <w:color w:val="1A1A1A"/>
                <w:sz w:val="18"/>
                <w:szCs w:val="18"/>
              </w:rPr>
              <w:t xml:space="preserve">Name des kündigenden Mieters.</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1.4</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gekündigt per</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ja</w:t>
            </w:r>
          </w:p>
        </w:tc>
        <w:tc>
          <w:tcPr>
            <w:tcW w:type="dxa" w:w="3560"/>
            <w:shd w:fill="F7F9F9" w:color="auto" w:val="clear"/>
            <w:tcMar>
              <w:top w:type="dxa" w:w="70"/>
              <w:left w:type="dxa" w:w="100"/>
              <w:bottom w:type="dxa" w:w="70"/>
              <w:right w:type="dxa" w:w="100"/>
            </w:tcMar>
          </w:tcPr>
          <w:p>
            <w:pPr>
              <w:spacing w:after="0"/>
            </w:pPr>
            <w:r>
              <w:rPr>
                <w:b w:val="false"/>
                <w:bCs w:val="false"/>
                <w:color w:val="1A1A1A"/>
                <w:sz w:val="18"/>
                <w:szCs w:val="18"/>
              </w:rPr>
              <w:t xml:space="preserve">Grundlage der Vorlaufzeit.</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1.5</w:t>
            </w:r>
          </w:p>
        </w:tc>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Haftungsdatum</w:t>
            </w:r>
          </w:p>
        </w:tc>
        <w:tc>
          <w:tcPr>
            <w:tcW w:type="dxa" w:w="800"/>
            <w:shd w:fill="FFFFFF" w:color="auto" w:val="clear"/>
            <w:tcMar>
              <w:top w:type="dxa" w:w="70"/>
              <w:left w:type="dxa" w:w="100"/>
              <w:bottom w:type="dxa" w:w="70"/>
              <w:right w:type="dxa" w:w="100"/>
            </w:tcMar>
          </w:tcPr>
          <w:p>
            <w:pPr>
              <w:spacing w:after="0"/>
            </w:pPr>
            <w:r>
              <w:rPr>
                <w:b w:val="false"/>
                <w:bCs w:val="false"/>
                <w:color w:val="1A1A1A"/>
                <w:sz w:val="18"/>
                <w:szCs w:val="18"/>
              </w:rPr>
              <w:t xml:space="preserve">ja</w:t>
            </w:r>
          </w:p>
        </w:tc>
        <w:tc>
          <w:tcPr>
            <w:tcW w:type="dxa" w:w="3560"/>
            <w:shd w:fill="FFFFFF" w:color="auto" w:val="clear"/>
            <w:tcMar>
              <w:top w:type="dxa" w:w="70"/>
              <w:left w:type="dxa" w:w="100"/>
              <w:bottom w:type="dxa" w:w="70"/>
              <w:right w:type="dxa" w:w="100"/>
            </w:tcMar>
          </w:tcPr>
          <w:p>
            <w:pPr>
              <w:spacing w:after="0"/>
            </w:pPr>
            <w:r>
              <w:rPr>
                <w:b w:val="false"/>
                <w:bCs w:val="false"/>
                <w:color w:val="1A1A1A"/>
                <w:sz w:val="18"/>
                <w:szCs w:val="18"/>
              </w:rPr>
              <w:t xml:space="preserve">Grundlage der Leerstandsberechnung und aller Fristen dieses Prozesses.</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1.6</w:t>
            </w:r>
          </w:p>
        </w:tc>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Mieter seit</w:t>
            </w:r>
          </w:p>
        </w:tc>
        <w:tc>
          <w:tcPr>
            <w:tcW w:type="dxa" w:w="800"/>
            <w:shd w:fill="F7F9F9" w:color="auto" w:val="clear"/>
            <w:tcMar>
              <w:top w:type="dxa" w:w="70"/>
              <w:left w:type="dxa" w:w="100"/>
              <w:bottom w:type="dxa" w:w="70"/>
              <w:right w:type="dxa" w:w="100"/>
            </w:tcMar>
          </w:tcPr>
          <w:p>
            <w:pPr>
              <w:spacing w:after="0"/>
            </w:pPr>
            <w:r>
              <w:rPr>
                <w:b w:val="false"/>
                <w:bCs w:val="false"/>
                <w:color w:val="1A1A1A"/>
                <w:sz w:val="18"/>
                <w:szCs w:val="18"/>
              </w:rPr>
              <w:t xml:space="preserve">nein</w:t>
            </w:r>
          </w:p>
        </w:tc>
        <w:tc>
          <w:tcPr>
            <w:tcW w:type="dxa" w:w="3560"/>
            <w:shd w:fill="F7F9F9" w:color="auto" w:val="clear"/>
            <w:tcMar>
              <w:top w:type="dxa" w:w="70"/>
              <w:left w:type="dxa" w:w="100"/>
              <w:bottom w:type="dxa" w:w="70"/>
              <w:right w:type="dxa" w:w="100"/>
            </w:tcMar>
          </w:tcPr>
          <w:p>
            <w:pPr>
              <w:spacing w:after="0"/>
            </w:pPr>
            <w:r>
              <w:rPr>
                <w:b w:val="false"/>
                <w:bCs w:val="false"/>
                <w:color w:val="1A1A1A"/>
                <w:sz w:val="18"/>
                <w:szCs w:val="18"/>
              </w:rPr>
              <w:t xml:space="preserve">Für die Beurteilung der Abnutzung bei der Abnahme.</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200"/>
      </w:pPr>
      <w:r>
        <w:rPr>
          <w:sz w:val="20"/>
          <w:szCs w:val="20"/>
        </w:rPr>
        <w:t xml:space="preserve">Ohne Haftungsdatum entsteht keine Frist. Der Fall gilt als unvollständig und wird als solcher gemeldet.</w:t>
      </w:r>
    </w:p>
    <w:p>
      <w:pPr>
        <w:pStyle w:val="Heading2"/>
        <w:spacing w:after="120" w:before="260"/>
      </w:pPr>
      <w:r>
        <w:t xml:space="preserve">5.2 Ablauf</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080"/>
        <w:gridCol w:w="1240"/>
        <w:gridCol w:w="204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8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1240"/>
            <w:shd w:fill="0F5C6E" w:color="auto" w:val="clear"/>
            <w:tcMar>
              <w:top w:type="dxa" w:w="70"/>
              <w:left w:type="dxa" w:w="100"/>
              <w:bottom w:type="dxa" w:w="70"/>
              <w:right w:type="dxa" w:w="100"/>
            </w:tcMar>
          </w:tcPr>
          <w:p>
            <w:pPr>
              <w:spacing w:after="0"/>
            </w:pPr>
            <w:r>
              <w:rPr>
                <w:b/>
                <w:bCs/>
                <w:color w:val="FFFFFF"/>
                <w:sz w:val="18"/>
                <w:szCs w:val="18"/>
              </w:rPr>
              <w:t xml:space="preserve">System</w:t>
            </w:r>
          </w:p>
        </w:tc>
        <w:tc>
          <w:tcPr>
            <w:tcW w:type="dxa" w:w="2040"/>
            <w:shd w:fill="0F5C6E" w:color="auto" w:val="clear"/>
            <w:tcMar>
              <w:top w:type="dxa" w:w="70"/>
              <w:left w:type="dxa" w:w="100"/>
              <w:bottom w:type="dxa" w:w="70"/>
              <w:right w:type="dxa" w:w="100"/>
            </w:tcMar>
          </w:tcPr>
          <w:p>
            <w:pPr>
              <w:spacing w:after="0"/>
            </w:pPr>
            <w:r>
              <w:rPr>
                <w:b/>
                <w:bCs/>
                <w:color w:val="FFFFFF"/>
                <w:sz w:val="18"/>
                <w:szCs w:val="18"/>
              </w:rPr>
              <w:t xml:space="preserve">Auslöser / Frist</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2.1</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Kündigung bestätigen und Mutation erfassen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Eingang der Kündigung</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2.2</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Werke und EGT über den Auszug informieren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Eingang der Kündigung; Ablesung erfolgt per Haftungsdatum</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2.3</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Vorbesichtigung durchführen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vor Ort</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Entscheid: erforderlich oder nicht. Ist sie nicht nötig, wird das festgehalten und der Schritt entfällt.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2.4</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Vermietungszentrale nachführen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VMZ</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sobald der frühestmögliche Bezugstermin feststeht</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2.5</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Inserat aufschalten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VMZ</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so früh wie möglich; verkürzt den späteren Leerstand</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2.6</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Abnahmetermin vereinbaren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Ort</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spätestens 30 Tage vor dem Haftungsdatum (Frist F1)</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2.7</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Wohnungsabnahme durchführen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vor Ort</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am vereinbarten Termin</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2.8</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Handwerker aufbieten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innert 3 Tagen nach der durchgeführten Abnahme (Frist F2)</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2.9</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Zustimmungserklärung des Vormieters einholen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Dossier</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der Abnahme; Grundlage der Schlussabrechnung</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2.10</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Instandstellungen beauftragen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Vorliegen der Offerten</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0"/>
      </w:pPr>
      <w:r>
        <w:t xml:space="preserve"/>
      </w:r>
    </w:p>
    <w:tbl>
      <w:tblPr>
        <w:tblW w:type="dxa" w:w="9020"/>
        <w:tblBorders>
          <w:top w:val="single" w:color="0F5C6E" w:sz="4"/>
          <w:left w:val="single" w:color="0F5C6E" w:sz="18"/>
          <w:bottom w:val="single" w:color="0F5C6E" w:sz="4"/>
          <w:right w:val="single" w:color="0F5C6E" w:sz="4"/>
          <w:insideH w:val="none"/>
          <w:insideV w:val="none"/>
        </w:tblBorders>
      </w:tblPr>
      <w:tblGrid>
        <w:gridCol w:w="9020"/>
      </w:tblGrid>
      <w:tr>
        <w:tc>
          <w:tcPr>
            <w:tcW w:type="dxa" w:w="9020"/>
            <w:shd w:fill="EDF1F2" w:color="auto" w:val="clear"/>
            <w:tcMar>
              <w:top w:type="dxa" w:w="140"/>
              <w:left w:type="dxa" w:w="180"/>
              <w:bottom w:type="dxa" w:w="140"/>
              <w:right w:type="dxa" w:w="160"/>
            </w:tcMar>
          </w:tcPr>
          <w:p>
            <w:pPr>
              <w:spacing w:after="70"/>
            </w:pPr>
            <w:r>
              <w:rPr>
                <w:b/>
                <w:bCs/>
                <w:color w:val="0B4655"/>
                <w:sz w:val="19"/>
                <w:szCs w:val="19"/>
              </w:rPr>
              <w:t xml:space="preserve">Warum der Abnahmetermin 30 Tage vorher steht</w:t>
            </w:r>
          </w:p>
          <w:p>
            <w:pPr>
              <w:spacing w:after="50"/>
            </w:pPr>
            <w:r>
              <w:rPr>
                <w:sz w:val="19"/>
                <w:szCs w:val="19"/>
              </w:rPr>
              <w:t xml:space="preserve">Bis zur Wohnungsabgabe müssen Termin und Kapazitäten gesichert sein. Die Frist entsteht automatisch aus dem Haftungsdatum, sobald dieses erfasst ist.</w:t>
            </w:r>
          </w:p>
          <w:p>
            <w:pPr>
              <w:spacing w:after="50"/>
            </w:pPr>
            <w:r>
              <w:rPr>
                <w:sz w:val="19"/>
                <w:szCs w:val="19"/>
              </w:rPr>
              <w:t xml:space="preserve">Das Handwerkeraufgebot hängt dagegen nicht am Haftungsdatum: Erst die durchgeführte Abnahme zeigt, was zu beauftragen ist. Vorher entsteht für diesen Schritt keine Frist.</w:t>
            </w:r>
          </w:p>
        </w:tc>
      </w:tr>
    </w:tbl>
    <w:p>
      <w:pPr>
        <w:spacing w:after="200"/>
      </w:pPr>
      <w:r>
        <w:rPr>
          <w:b/>
          <w:bCs/>
          <w:sz w:val="20"/>
          <w:szCs w:val="20"/>
        </w:rPr>
        <w:t xml:space="preserve">Abschlusskriterium: Die Schritte 2.1 bis 2.10 sind erledigt oder als nicht erforderlich festgehalten.</w:t>
      </w:r>
    </w:p>
    <w:p>
      <w:r>
        <w:br w:type="page"/>
      </w:r>
    </w:p>
    <w:p>
      <w:pPr>
        <w:pStyle w:val="Heading1"/>
        <w:spacing w:after="160" w:before="320"/>
      </w:pPr>
      <w:r>
        <w:t xml:space="preserve">6. Prozess 2 — Wiedervermietung</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702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Merkmal</w:t>
            </w:r>
          </w:p>
        </w:tc>
        <w:tc>
          <w:tcPr>
            <w:tcW w:type="dxa" w:w="7020"/>
            <w:shd w:fill="0F5C6E" w:color="auto" w:val="clear"/>
            <w:tcMar>
              <w:top w:type="dxa" w:w="70"/>
              <w:left w:type="dxa" w:w="100"/>
              <w:bottom w:type="dxa" w:w="70"/>
              <w:right w:type="dxa" w:w="100"/>
            </w:tcMar>
          </w:tcPr>
          <w:p>
            <w:pPr>
              <w:spacing w:after="0"/>
            </w:pPr>
            <w:r>
              <w:rPr>
                <w:b/>
                <w:bCs/>
                <w:color w:val="FFFFFF"/>
                <w:sz w:val="18"/>
                <w:szCs w:val="18"/>
              </w:rPr>
              <w:t xml:space="preserve">Beschreibung</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Auslöser</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Ein Nachmieter hat zugesagt.</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Ergebnis</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Objekt ist übergeben, der Vertrag liegt unterzeichnet vor, die Kaution ist eingegangen.</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zuständige Bewirtschafter des Objekts.</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Entspricht im Excel</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Spalten W bis AE</w:t>
            </w:r>
          </w:p>
        </w:tc>
      </w:tr>
    </w:tbl>
    <w:p>
      <w:pPr>
        <w:pStyle w:val="Heading2"/>
        <w:spacing w:after="120" w:before="260"/>
      </w:pPr>
      <w:r>
        <w:t xml:space="preserve">6.1 Vertragsabschluss</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080"/>
        <w:gridCol w:w="1240"/>
        <w:gridCol w:w="204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8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1240"/>
            <w:shd w:fill="0F5C6E" w:color="auto" w:val="clear"/>
            <w:tcMar>
              <w:top w:type="dxa" w:w="70"/>
              <w:left w:type="dxa" w:w="100"/>
              <w:bottom w:type="dxa" w:w="70"/>
              <w:right w:type="dxa" w:w="100"/>
            </w:tcMar>
          </w:tcPr>
          <w:p>
            <w:pPr>
              <w:spacing w:after="0"/>
            </w:pPr>
            <w:r>
              <w:rPr>
                <w:b/>
                <w:bCs/>
                <w:color w:val="FFFFFF"/>
                <w:sz w:val="18"/>
                <w:szCs w:val="18"/>
              </w:rPr>
              <w:t xml:space="preserve">System</w:t>
            </w:r>
          </w:p>
        </w:tc>
        <w:tc>
          <w:tcPr>
            <w:tcW w:type="dxa" w:w="2040"/>
            <w:shd w:fill="0F5C6E" w:color="auto" w:val="clear"/>
            <w:tcMar>
              <w:top w:type="dxa" w:w="70"/>
              <w:left w:type="dxa" w:w="100"/>
              <w:bottom w:type="dxa" w:w="70"/>
              <w:right w:type="dxa" w:w="100"/>
            </w:tcMar>
          </w:tcPr>
          <w:p>
            <w:pPr>
              <w:spacing w:after="0"/>
            </w:pPr>
            <w:r>
              <w:rPr>
                <w:b/>
                <w:bCs/>
                <w:color w:val="FFFFFF"/>
                <w:sz w:val="18"/>
                <w:szCs w:val="18"/>
              </w:rPr>
              <w:t xml:space="preserve">Auslöser / Frist</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3.1</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Nachmieter festhalten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sobald die Zusage vorliegt; Pflichtangabe, ohne die kein Vertrag versendet wird</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3.2</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Mietvertrag versenden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Erfassung des Nachmieters</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3.3</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Unterzeichneten Vertrag zurückerhalten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Dossier</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Rücklauffrist kann im Einzelfall gesetzt werden (Frist F3)</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3.4</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Vermietungsdatum festhalten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Pflichtangabe; beendet die Leerstandszählung</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2"/>
        <w:spacing w:after="120" w:before="260"/>
      </w:pPr>
      <w:r>
        <w:t xml:space="preserve">6.2 Übergabe</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080"/>
        <w:gridCol w:w="1240"/>
        <w:gridCol w:w="204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8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1240"/>
            <w:shd w:fill="0F5C6E" w:color="auto" w:val="clear"/>
            <w:tcMar>
              <w:top w:type="dxa" w:w="70"/>
              <w:left w:type="dxa" w:w="100"/>
              <w:bottom w:type="dxa" w:w="70"/>
              <w:right w:type="dxa" w:w="100"/>
            </w:tcMar>
          </w:tcPr>
          <w:p>
            <w:pPr>
              <w:spacing w:after="0"/>
            </w:pPr>
            <w:r>
              <w:rPr>
                <w:b/>
                <w:bCs/>
                <w:color w:val="FFFFFF"/>
                <w:sz w:val="18"/>
                <w:szCs w:val="18"/>
              </w:rPr>
              <w:t xml:space="preserve">System</w:t>
            </w:r>
          </w:p>
        </w:tc>
        <w:tc>
          <w:tcPr>
            <w:tcW w:type="dxa" w:w="2040"/>
            <w:shd w:fill="0F5C6E" w:color="auto" w:val="clear"/>
            <w:tcMar>
              <w:top w:type="dxa" w:w="70"/>
              <w:left w:type="dxa" w:w="100"/>
              <w:bottom w:type="dxa" w:w="70"/>
              <w:right w:type="dxa" w:w="100"/>
            </w:tcMar>
          </w:tcPr>
          <w:p>
            <w:pPr>
              <w:spacing w:after="0"/>
            </w:pPr>
            <w:r>
              <w:rPr>
                <w:b/>
                <w:bCs/>
                <w:color w:val="FFFFFF"/>
                <w:sz w:val="18"/>
                <w:szCs w:val="18"/>
              </w:rPr>
              <w:t xml:space="preserve">Auslöser / Frist</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4.1</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Werke und EGT über den Einzug informieren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Vertragsabschluss</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4.2</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Schlüsselübergabe terminieren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Ort</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wird im Einzelfall gesetzt und überwacht (Frist F4)</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4.3</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Endreinigung veranlassen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so, dass das Objekt zur Übergabe bezugsbereit ist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4.4</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Namensschilder bestellen und montieren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extern</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vor der Übergabe</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4.5</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Kaution vereinnahmen und Mutation erfassen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vor der Schlüsselübergabe</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0"/>
      </w:pPr>
      <w:r>
        <w:t xml:space="preserve"/>
      </w:r>
    </w:p>
    <w:tbl>
      <w:tblPr>
        <w:tblW w:type="dxa" w:w="9020"/>
        <w:tblBorders>
          <w:top w:val="single" w:color="0F5C6E" w:sz="4"/>
          <w:left w:val="single" w:color="0F5C6E" w:sz="18"/>
          <w:bottom w:val="single" w:color="0F5C6E" w:sz="4"/>
          <w:right w:val="single" w:color="0F5C6E" w:sz="4"/>
          <w:insideH w:val="none"/>
          <w:insideV w:val="none"/>
        </w:tblBorders>
      </w:tblPr>
      <w:tblGrid>
        <w:gridCol w:w="9020"/>
      </w:tblGrid>
      <w:tr>
        <w:tc>
          <w:tcPr>
            <w:tcW w:type="dxa" w:w="9020"/>
            <w:shd w:fill="EDF1F2" w:color="auto" w:val="clear"/>
            <w:tcMar>
              <w:top w:type="dxa" w:w="140"/>
              <w:left w:type="dxa" w:w="180"/>
              <w:bottom w:type="dxa" w:w="140"/>
              <w:right w:type="dxa" w:w="160"/>
            </w:tcMar>
          </w:tcPr>
          <w:p>
            <w:pPr>
              <w:spacing w:after="70"/>
            </w:pPr>
            <w:r>
              <w:rPr>
                <w:b/>
                <w:bCs/>
                <w:color w:val="0B4655"/>
                <w:sz w:val="19"/>
                <w:szCs w:val="19"/>
              </w:rPr>
              <w:t xml:space="preserve">Hinweis zur Reihenfolge</w:t>
            </w:r>
          </w:p>
          <w:p>
            <w:pPr>
              <w:spacing w:after="50"/>
            </w:pPr>
            <w:r>
              <w:rPr>
                <w:sz w:val="19"/>
                <w:szCs w:val="19"/>
              </w:rPr>
              <w:t xml:space="preserve">Schritt 4.5 ist im Ablauf zuletzt aufgeführt, muss aber vor der Schlüsselübergabe (4.2) erledigt sein: Ohne Kaution keine Schlüsselübergabe.</w:t>
            </w:r>
          </w:p>
          <w:p>
            <w:pPr>
              <w:spacing w:after="50"/>
            </w:pPr>
            <w:r>
              <w:rPr>
                <w:sz w:val="19"/>
                <w:szCs w:val="19"/>
              </w:rPr>
              <w:t xml:space="preserve">Ist das bei euch als harte Bedingung zu behandeln, halte ich es fest – siehe Annahme A6.</w:t>
            </w:r>
          </w:p>
        </w:tc>
      </w:tr>
    </w:tbl>
    <w:p>
      <w:pPr>
        <w:spacing w:after="200"/>
      </w:pPr>
      <w:r>
        <w:rPr>
          <w:b/>
          <w:bCs/>
          <w:sz w:val="20"/>
          <w:szCs w:val="20"/>
        </w:rPr>
        <w:t xml:space="preserve">Abschlusskriterium: Nachmieter und Vermietungsdatum sind erfasst, die Schritte 3.2 bis 4.5 sind erledigt oder als nicht erforderlich festgehalten.</w:t>
      </w:r>
    </w:p>
    <w:p>
      <w:pPr>
        <w:pStyle w:val="Heading1"/>
        <w:spacing w:after="160" w:before="320"/>
      </w:pPr>
      <w:r>
        <w:t xml:space="preserve">7. Prozess 3 — Schlussabrechnung</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2000"/>
        <w:gridCol w:w="7020"/>
      </w:tblGrid>
      <w:tr>
        <w:trPr>
          <w:tblHeader/>
        </w:trPr>
        <w:tc>
          <w:tcPr>
            <w:tcW w:type="dxa" w:w="2000"/>
            <w:shd w:fill="0F5C6E" w:color="auto" w:val="clear"/>
            <w:tcMar>
              <w:top w:type="dxa" w:w="70"/>
              <w:left w:type="dxa" w:w="100"/>
              <w:bottom w:type="dxa" w:w="70"/>
              <w:right w:type="dxa" w:w="100"/>
            </w:tcMar>
          </w:tcPr>
          <w:p>
            <w:pPr>
              <w:spacing w:after="0"/>
            </w:pPr>
            <w:r>
              <w:rPr>
                <w:b/>
                <w:bCs/>
                <w:color w:val="FFFFFF"/>
                <w:sz w:val="18"/>
                <w:szCs w:val="18"/>
              </w:rPr>
              <w:t xml:space="preserve">Merkmal</w:t>
            </w:r>
          </w:p>
        </w:tc>
        <w:tc>
          <w:tcPr>
            <w:tcW w:type="dxa" w:w="7020"/>
            <w:shd w:fill="0F5C6E" w:color="auto" w:val="clear"/>
            <w:tcMar>
              <w:top w:type="dxa" w:w="70"/>
              <w:left w:type="dxa" w:w="100"/>
              <w:bottom w:type="dxa" w:w="70"/>
              <w:right w:type="dxa" w:w="100"/>
            </w:tcMar>
          </w:tcPr>
          <w:p>
            <w:pPr>
              <w:spacing w:after="0"/>
            </w:pPr>
            <w:r>
              <w:rPr>
                <w:b/>
                <w:bCs/>
                <w:color w:val="FFFFFF"/>
                <w:sz w:val="18"/>
                <w:szCs w:val="18"/>
              </w:rPr>
              <w:t xml:space="preserve">Beschreibung</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Auslöser</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Rechnungen der Handwerker für die Instandstellung gehen ein.</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Ergebnis</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Vormieter hat abgerechnet und den Saldo beglichen; der Fall ist abschliessbar.</w:t>
            </w:r>
          </w:p>
        </w:tc>
      </w:tr>
      <w:tr>
        <w:tc>
          <w:tcPr>
            <w:tcW w:type="dxa" w:w="2000"/>
            <w:shd w:fill="FFFFFF" w:color="auto" w:val="clear"/>
            <w:tcMar>
              <w:top w:type="dxa" w:w="70"/>
              <w:left w:type="dxa" w:w="100"/>
              <w:bottom w:type="dxa" w:w="70"/>
              <w:right w:type="dxa" w:w="100"/>
            </w:tcMar>
          </w:tcPr>
          <w:p>
            <w:pPr>
              <w:spacing w:after="0"/>
            </w:pPr>
            <w:r>
              <w:rPr>
                <w:b w:val="false"/>
                <w:bCs w:val="false"/>
                <w:color w:val="1A1A1A"/>
                <w:sz w:val="18"/>
                <w:szCs w:val="18"/>
              </w:rPr>
              <w:t xml:space="preserve">Zuständig</w:t>
            </w:r>
          </w:p>
        </w:tc>
        <w:tc>
          <w:tcPr>
            <w:tcW w:type="dxa" w:w="7020"/>
            <w:shd w:fill="FFFFFF" w:color="auto" w:val="clear"/>
            <w:tcMar>
              <w:top w:type="dxa" w:w="70"/>
              <w:left w:type="dxa" w:w="100"/>
              <w:bottom w:type="dxa" w:w="70"/>
              <w:right w:type="dxa" w:w="100"/>
            </w:tcMar>
          </w:tcPr>
          <w:p>
            <w:pPr>
              <w:spacing w:after="0"/>
            </w:pPr>
            <w:r>
              <w:rPr>
                <w:b w:val="false"/>
                <w:bCs w:val="false"/>
                <w:color w:val="1A1A1A"/>
                <w:sz w:val="18"/>
                <w:szCs w:val="18"/>
              </w:rPr>
              <w:t xml:space="preserve">Der zuständige Bewirtschafter des Objekts.</w:t>
            </w:r>
          </w:p>
        </w:tc>
      </w:tr>
      <w:tr>
        <w:tc>
          <w:tcPr>
            <w:tcW w:type="dxa" w:w="2000"/>
            <w:shd w:fill="F7F9F9" w:color="auto" w:val="clear"/>
            <w:tcMar>
              <w:top w:type="dxa" w:w="70"/>
              <w:left w:type="dxa" w:w="100"/>
              <w:bottom w:type="dxa" w:w="70"/>
              <w:right w:type="dxa" w:w="100"/>
            </w:tcMar>
          </w:tcPr>
          <w:p>
            <w:pPr>
              <w:spacing w:after="0"/>
            </w:pPr>
            <w:r>
              <w:rPr>
                <w:b w:val="false"/>
                <w:bCs w:val="false"/>
                <w:color w:val="1A1A1A"/>
                <w:sz w:val="18"/>
                <w:szCs w:val="18"/>
              </w:rPr>
              <w:t xml:space="preserve">Entspricht im Excel</w:t>
            </w:r>
          </w:p>
        </w:tc>
        <w:tc>
          <w:tcPr>
            <w:tcW w:type="dxa" w:w="7020"/>
            <w:shd w:fill="F7F9F9" w:color="auto" w:val="clear"/>
            <w:tcMar>
              <w:top w:type="dxa" w:w="70"/>
              <w:left w:type="dxa" w:w="100"/>
              <w:bottom w:type="dxa" w:w="70"/>
              <w:right w:type="dxa" w:w="100"/>
            </w:tcMar>
          </w:tcPr>
          <w:p>
            <w:pPr>
              <w:spacing w:after="0"/>
            </w:pPr>
            <w:r>
              <w:rPr>
                <w:b w:val="false"/>
                <w:bCs w:val="false"/>
                <w:color w:val="1A1A1A"/>
                <w:sz w:val="18"/>
                <w:szCs w:val="18"/>
              </w:rPr>
              <w:t xml:space="preserve">Spalten AF bis AH</w:t>
            </w:r>
          </w:p>
        </w:tc>
      </w:tr>
    </w:tbl>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3080"/>
        <w:gridCol w:w="1240"/>
        <w:gridCol w:w="204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3080"/>
            <w:shd w:fill="0F5C6E" w:color="auto" w:val="clear"/>
            <w:tcMar>
              <w:top w:type="dxa" w:w="70"/>
              <w:left w:type="dxa" w:w="100"/>
              <w:bottom w:type="dxa" w:w="70"/>
              <w:right w:type="dxa" w:w="100"/>
            </w:tcMar>
          </w:tcPr>
          <w:p>
            <w:pPr>
              <w:spacing w:after="0"/>
            </w:pPr>
            <w:r>
              <w:rPr>
                <w:b/>
                <w:bCs/>
                <w:color w:val="FFFFFF"/>
                <w:sz w:val="18"/>
                <w:szCs w:val="18"/>
              </w:rPr>
              <w:t xml:space="preserve">Schritt</w:t>
            </w:r>
          </w:p>
        </w:tc>
        <w:tc>
          <w:tcPr>
            <w:tcW w:type="dxa" w:w="1240"/>
            <w:shd w:fill="0F5C6E" w:color="auto" w:val="clear"/>
            <w:tcMar>
              <w:top w:type="dxa" w:w="70"/>
              <w:left w:type="dxa" w:w="100"/>
              <w:bottom w:type="dxa" w:w="70"/>
              <w:right w:type="dxa" w:w="100"/>
            </w:tcMar>
          </w:tcPr>
          <w:p>
            <w:pPr>
              <w:spacing w:after="0"/>
            </w:pPr>
            <w:r>
              <w:rPr>
                <w:b/>
                <w:bCs/>
                <w:color w:val="FFFFFF"/>
                <w:sz w:val="18"/>
                <w:szCs w:val="18"/>
              </w:rPr>
              <w:t xml:space="preserve">System</w:t>
            </w:r>
          </w:p>
        </w:tc>
        <w:tc>
          <w:tcPr>
            <w:tcW w:type="dxa" w:w="2040"/>
            <w:shd w:fill="0F5C6E" w:color="auto" w:val="clear"/>
            <w:tcMar>
              <w:top w:type="dxa" w:w="70"/>
              <w:left w:type="dxa" w:w="100"/>
              <w:bottom w:type="dxa" w:w="70"/>
              <w:right w:type="dxa" w:w="100"/>
            </w:tcMar>
          </w:tcPr>
          <w:p>
            <w:pPr>
              <w:spacing w:after="0"/>
            </w:pPr>
            <w:r>
              <w:rPr>
                <w:b/>
                <w:bCs/>
                <w:color w:val="FFFFFF"/>
                <w:sz w:val="18"/>
                <w:szCs w:val="18"/>
              </w:rPr>
              <w:t xml:space="preserve">Auslöser / Frist</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5.1</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Instandstellungsrechnungen erfassen und den Positionen des Abnahmeprotokolls zuordnen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Rechnungseingang</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5.2</w:t>
            </w:r>
          </w:p>
        </w:tc>
        <w:tc>
          <w:tcPr>
            <w:tcW w:type="dxa" w:w="308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Schlussabrechnung erstellen und an den Vormieter versenden</w:t>
            </w:r>
          </w:p>
        </w:tc>
        <w:tc>
          <w:tcPr>
            <w:tcW w:type="dxa" w:w="1240"/>
            <w:shd w:fill="F7F9F9"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7F9F9" w:color="auto" w:val="clear"/>
            <w:tcMar>
              <w:top w:type="dxa" w:w="70"/>
              <w:left w:type="dxa" w:w="100"/>
              <w:bottom w:type="dxa" w:w="70"/>
              <w:right w:type="dxa" w:w="100"/>
            </w:tcMar>
          </w:tcPr>
          <w:p>
            <w:pPr>
              <w:spacing w:after="0"/>
            </w:pPr>
            <w:r>
              <w:rPr>
                <w:b w:val="false"/>
                <w:bCs w:val="false"/>
                <w:color w:val="1A1A1A"/>
                <w:sz w:val="18"/>
                <w:szCs w:val="18"/>
              </w:rPr>
              <w:t xml:space="preserve">nach Zuordnung der Rechnungen</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5.3</w:t>
            </w:r>
          </w:p>
        </w:tc>
        <w:tc>
          <w:tcPr>
            <w:tcW w:type="dxa" w:w="308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Zahlungseingang kontrollieren</w:t>
            </w:r>
          </w:p>
        </w:tc>
        <w:tc>
          <w:tcPr>
            <w:tcW w:type="dxa" w:w="1240"/>
            <w:shd w:fill="FFFFFF" w:color="auto" w:val="clear"/>
            <w:tcMar>
              <w:top w:type="dxa" w:w="70"/>
              <w:left w:type="dxa" w:w="100"/>
              <w:bottom w:type="dxa" w:w="70"/>
              <w:right w:type="dxa" w:w="100"/>
            </w:tcMar>
          </w:tcPr>
          <w:p>
            <w:pPr>
              <w:spacing w:after="0"/>
            </w:pPr>
            <w:r>
              <w:rPr>
                <w:b w:val="false"/>
                <w:bCs w:val="false"/>
                <w:color w:val="1A1A1A"/>
                <w:sz w:val="18"/>
                <w:szCs w:val="18"/>
              </w:rPr>
              <w:t xml:space="preserve">Garaio REM</w:t>
            </w:r>
          </w:p>
        </w:tc>
        <w:tc>
          <w:tcPr>
            <w:tcW w:type="dxa" w:w="2040"/>
            <w:shd w:fill="FFFFFF" w:color="auto" w:val="clear"/>
            <w:tcMar>
              <w:top w:type="dxa" w:w="70"/>
              <w:left w:type="dxa" w:w="100"/>
              <w:bottom w:type="dxa" w:w="70"/>
              <w:right w:type="dxa" w:w="100"/>
            </w:tcMar>
          </w:tcPr>
          <w:p>
            <w:pPr>
              <w:spacing w:after="0"/>
            </w:pPr>
            <w:r>
              <w:rPr>
                <w:b w:val="false"/>
                <w:bCs w:val="false"/>
                <w:color w:val="1A1A1A"/>
                <w:sz w:val="18"/>
                <w:szCs w:val="18"/>
              </w:rPr>
              <w:t xml:space="preserve">nach Versand der Schlussabrechnung</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200"/>
      </w:pPr>
      <w:r>
        <w:rPr>
          <w:b/>
          <w:bCs/>
          <w:sz w:val="20"/>
          <w:szCs w:val="20"/>
        </w:rPr>
        <w:t xml:space="preserve">Abschlusskriterium: Die Schritte 5.1 bis 5.3 sind erledigt. Erst danach kann der Fall abgeschlossen werden.</w:t>
      </w:r>
    </w:p>
    <w:p>
      <w:r>
        <w:br w:type="page"/>
      </w:r>
    </w:p>
    <w:p>
      <w:pPr>
        <w:pStyle w:val="Heading1"/>
        <w:spacing w:after="160" w:before="320"/>
      </w:pPr>
      <w:r>
        <w:t xml:space="preserve">8. Fristenregeln</w:t>
      </w:r>
    </w:p>
    <w:p>
      <w:pPr>
        <w:spacing w:after="120"/>
      </w:pPr>
      <w:r>
        <w:rPr>
          <w:sz w:val="20"/>
          <w:szCs w:val="20"/>
        </w:rPr>
        <w:t xml:space="preserve">Fristen entstehen aus Daten, die ohnehin erfasst werden. Eine Frist entsteht erst, wenn ihr Bezugsdatum feststeht; ein im Einzelfall gesetzter Termin geht der Regel immer vor.</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2200"/>
        <w:gridCol w:w="1900"/>
        <w:gridCol w:w="226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Frist</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Bezugsdatum</w:t>
            </w:r>
          </w:p>
        </w:tc>
        <w:tc>
          <w:tcPr>
            <w:tcW w:type="dxa" w:w="2260"/>
            <w:shd w:fill="0F5C6E" w:color="auto" w:val="clear"/>
            <w:tcMar>
              <w:top w:type="dxa" w:w="70"/>
              <w:left w:type="dxa" w:w="100"/>
              <w:bottom w:type="dxa" w:w="70"/>
              <w:right w:type="dxa" w:w="100"/>
            </w:tcMar>
          </w:tcPr>
          <w:p>
            <w:pPr>
              <w:spacing w:after="0"/>
            </w:pPr>
            <w:r>
              <w:rPr>
                <w:b/>
                <w:bCs/>
                <w:color w:val="FFFFFF"/>
                <w:sz w:val="18"/>
                <w:szCs w:val="18"/>
              </w:rPr>
              <w:t xml:space="preserve">Regel</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F1</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Abnahmetermin vereinbaren</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Haftungsdatum</w:t>
            </w:r>
          </w:p>
        </w:tc>
        <w:tc>
          <w:tcPr>
            <w:tcW w:type="dxa" w:w="2260"/>
            <w:shd w:fill="FFFFFF" w:color="auto" w:val="clear"/>
            <w:tcMar>
              <w:top w:type="dxa" w:w="70"/>
              <w:left w:type="dxa" w:w="100"/>
              <w:bottom w:type="dxa" w:w="70"/>
              <w:right w:type="dxa" w:w="100"/>
            </w:tcMar>
          </w:tcPr>
          <w:p>
            <w:pPr>
              <w:spacing w:after="0"/>
            </w:pPr>
            <w:r>
              <w:rPr>
                <w:b w:val="false"/>
                <w:bCs w:val="false"/>
                <w:color w:val="1A1A1A"/>
                <w:sz w:val="18"/>
                <w:szCs w:val="18"/>
              </w:rPr>
              <w:t xml:space="preserve">30 Tage vorher</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F2</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Handwerker aufbieten</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Tag der durchgeführten Abnahme</w:t>
            </w:r>
          </w:p>
        </w:tc>
        <w:tc>
          <w:tcPr>
            <w:tcW w:type="dxa" w:w="2260"/>
            <w:shd w:fill="F7F9F9" w:color="auto" w:val="clear"/>
            <w:tcMar>
              <w:top w:type="dxa" w:w="70"/>
              <w:left w:type="dxa" w:w="100"/>
              <w:bottom w:type="dxa" w:w="70"/>
              <w:right w:type="dxa" w:w="100"/>
            </w:tcMar>
          </w:tcPr>
          <w:p>
            <w:pPr>
              <w:spacing w:after="0"/>
            </w:pPr>
            <w:r>
              <w:rPr>
                <w:b w:val="false"/>
                <w:bCs w:val="false"/>
                <w:color w:val="1A1A1A"/>
                <w:sz w:val="18"/>
                <w:szCs w:val="18"/>
              </w:rPr>
              <w:t xml:space="preserve">3 Tage danach</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F3</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Vertrag retour</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260"/>
            <w:shd w:fill="FFFFFF" w:color="auto" w:val="clear"/>
            <w:tcMar>
              <w:top w:type="dxa" w:w="70"/>
              <w:left w:type="dxa" w:w="100"/>
              <w:bottom w:type="dxa" w:w="70"/>
              <w:right w:type="dxa" w:w="100"/>
            </w:tcMar>
          </w:tcPr>
          <w:p>
            <w:pPr>
              <w:spacing w:after="0"/>
            </w:pPr>
            <w:r>
              <w:rPr>
                <w:b w:val="false"/>
                <w:bCs w:val="false"/>
                <w:color w:val="1A1A1A"/>
                <w:sz w:val="18"/>
                <w:szCs w:val="18"/>
              </w:rPr>
              <w:t xml:space="preserve">kein Automatismus; Frist wird im Einzelfall gesetzt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F4</w:t>
            </w:r>
          </w:p>
        </w:tc>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Schlüsselübergabe</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w:t>
            </w:r>
          </w:p>
        </w:tc>
        <w:tc>
          <w:tcPr>
            <w:tcW w:type="dxa" w:w="2260"/>
            <w:shd w:fill="F7F9F9" w:color="auto" w:val="clear"/>
            <w:tcMar>
              <w:top w:type="dxa" w:w="70"/>
              <w:left w:type="dxa" w:w="100"/>
              <w:bottom w:type="dxa" w:w="70"/>
              <w:right w:type="dxa" w:w="100"/>
            </w:tcMar>
          </w:tcPr>
          <w:p>
            <w:pPr>
              <w:spacing w:after="0"/>
            </w:pPr>
            <w:r>
              <w:rPr>
                <w:b w:val="false"/>
                <w:bCs w:val="false"/>
                <w:color w:val="1A1A1A"/>
                <w:sz w:val="18"/>
                <w:szCs w:val="18"/>
              </w:rPr>
              <w:t xml:space="preserve">Termin wird im Einzelfall gesetzt</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F5</w:t>
            </w:r>
          </w:p>
        </w:tc>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Langläufer</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Leerstandsbeginn</w:t>
            </w:r>
          </w:p>
        </w:tc>
        <w:tc>
          <w:tcPr>
            <w:tcW w:type="dxa" w:w="2260"/>
            <w:shd w:fill="FFFFFF" w:color="auto" w:val="clear"/>
            <w:tcMar>
              <w:top w:type="dxa" w:w="70"/>
              <w:left w:type="dxa" w:w="100"/>
              <w:bottom w:type="dxa" w:w="70"/>
              <w:right w:type="dxa" w:w="100"/>
            </w:tcMar>
          </w:tcPr>
          <w:p>
            <w:pPr>
              <w:spacing w:after="0"/>
            </w:pPr>
            <w:r>
              <w:rPr>
                <w:b w:val="false"/>
                <w:bCs w:val="false"/>
                <w:color w:val="1A1A1A"/>
                <w:sz w:val="18"/>
                <w:szCs w:val="18"/>
              </w:rPr>
              <w:t xml:space="preserve">Meldung, wenn der Leerstand 60 Tage überschreitet und noch nicht vermietet ist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spacing w:after="200"/>
      </w:pPr>
      <w:r>
        <w:rPr>
          <w:sz w:val="20"/>
          <w:szCs w:val="20"/>
        </w:rPr>
        <w:t xml:space="preserve">Verschiebt sich das Haftungsdatum nachträglich – etwa bei ausserordentlicher Kündigung mit Nachmieterstellung – verschieben sich Leerstandsbeginn, Berichtsmonat und die Frist F1 entsprechend. Die Änderung wird mit Datum und Benutzer festgehalten.</w:t>
      </w:r>
    </w:p>
    <w:p>
      <w:pPr>
        <w:pStyle w:val="Heading1"/>
        <w:spacing w:after="160" w:before="320"/>
      </w:pPr>
      <w:r>
        <w:t xml:space="preserve">9. Fachliche Kontrollen</w:t>
      </w:r>
    </w:p>
    <w:p>
      <w:pPr>
        <w:spacing w:after="120"/>
      </w:pPr>
      <w:r>
        <w:rPr>
          <w:sz w:val="20"/>
          <w:szCs w:val="20"/>
        </w:rPr>
        <w:t xml:space="preserve">Diese Prüfungen laufen laufend über alle offenen Fälle.</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1900"/>
        <w:gridCol w:w="1000"/>
        <w:gridCol w:w="346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1900"/>
            <w:shd w:fill="0F5C6E" w:color="auto" w:val="clear"/>
            <w:tcMar>
              <w:top w:type="dxa" w:w="70"/>
              <w:left w:type="dxa" w:w="100"/>
              <w:bottom w:type="dxa" w:w="70"/>
              <w:right w:type="dxa" w:w="100"/>
            </w:tcMar>
          </w:tcPr>
          <w:p>
            <w:pPr>
              <w:spacing w:after="0"/>
            </w:pPr>
            <w:r>
              <w:rPr>
                <w:b/>
                <w:bCs/>
                <w:color w:val="FFFFFF"/>
                <w:sz w:val="18"/>
                <w:szCs w:val="18"/>
              </w:rPr>
              <w:t xml:space="preserve">Kontrolle</w:t>
            </w:r>
          </w:p>
        </w:tc>
        <w:tc>
          <w:tcPr>
            <w:tcW w:type="dxa" w:w="1000"/>
            <w:shd w:fill="0F5C6E" w:color="auto" w:val="clear"/>
            <w:tcMar>
              <w:top w:type="dxa" w:w="70"/>
              <w:left w:type="dxa" w:w="100"/>
              <w:bottom w:type="dxa" w:w="70"/>
              <w:right w:type="dxa" w:w="100"/>
            </w:tcMar>
          </w:tcPr>
          <w:p>
            <w:pPr>
              <w:spacing w:after="0"/>
            </w:pPr>
            <w:r>
              <w:rPr>
                <w:b/>
                <w:bCs/>
                <w:color w:val="FFFFFF"/>
                <w:sz w:val="18"/>
                <w:szCs w:val="18"/>
              </w:rPr>
              <w:t xml:space="preserve">Stufe</w:t>
            </w:r>
          </w:p>
        </w:tc>
        <w:tc>
          <w:tcPr>
            <w:tcW w:type="dxa" w:w="3460"/>
            <w:shd w:fill="0F5C6E" w:color="auto" w:val="clear"/>
            <w:tcMar>
              <w:top w:type="dxa" w:w="70"/>
              <w:left w:type="dxa" w:w="100"/>
              <w:bottom w:type="dxa" w:w="70"/>
              <w:right w:type="dxa" w:w="100"/>
            </w:tcMar>
          </w:tcPr>
          <w:p>
            <w:pPr>
              <w:spacing w:after="0"/>
            </w:pPr>
            <w:r>
              <w:rPr>
                <w:b/>
                <w:bCs/>
                <w:color w:val="FFFFFF"/>
                <w:sz w:val="18"/>
                <w:szCs w:val="18"/>
              </w:rPr>
              <w:t xml:space="preserve">Ausgelöst wenn</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K1</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Frist verstrichen</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kritisch</w:t>
            </w:r>
          </w:p>
        </w:tc>
        <w:tc>
          <w:tcPr>
            <w:tcW w:type="dxa" w:w="346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Frist ist überschritten und der Schritt ist noch offen.</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K2</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Frist läuft ab</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Hinweis</w:t>
            </w:r>
          </w:p>
        </w:tc>
        <w:tc>
          <w:tcPr>
            <w:tcW w:type="dxa" w:w="3460"/>
            <w:shd w:fill="F7F9F9" w:color="auto" w:val="clear"/>
            <w:tcMar>
              <w:top w:type="dxa" w:w="70"/>
              <w:left w:type="dxa" w:w="100"/>
              <w:bottom w:type="dxa" w:w="70"/>
              <w:right w:type="dxa" w:w="100"/>
            </w:tcMar>
          </w:tcPr>
          <w:p>
            <w:pPr>
              <w:spacing w:after="0"/>
            </w:pPr>
            <w:r>
              <w:rPr>
                <w:b w:val="false"/>
                <w:bCs w:val="false"/>
                <w:color w:val="1A1A1A"/>
                <w:sz w:val="18"/>
                <w:szCs w:val="18"/>
              </w:rPr>
              <w:t xml:space="preserve">Eine Frist wird innert sieben Tagen fällig.</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K3</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Doppelter Fall</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kritisch</w:t>
            </w:r>
          </w:p>
        </w:tc>
        <w:tc>
          <w:tcPr>
            <w:tcW w:type="dxa" w:w="3460"/>
            <w:shd w:fill="FFFFFF" w:color="auto" w:val="clear"/>
            <w:tcMar>
              <w:top w:type="dxa" w:w="70"/>
              <w:left w:type="dxa" w:w="100"/>
              <w:bottom w:type="dxa" w:w="70"/>
              <w:right w:type="dxa" w:w="100"/>
            </w:tcMar>
          </w:tcPr>
          <w:p>
            <w:pPr>
              <w:spacing w:after="0"/>
            </w:pPr>
            <w:r>
              <w:rPr>
                <w:b w:val="false"/>
                <w:bCs w:val="false"/>
                <w:color w:val="1A1A1A"/>
                <w:sz w:val="18"/>
                <w:szCs w:val="18"/>
              </w:rPr>
              <w:t xml:space="preserve">Zu einem Objekt sind zwei Fälle gleichzeitig offen. Ein Folgefall nach abgeschlossenem Vorfall ist normal und löst keine Meldung aus.</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K4</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Haftungsdatum vor Kündigung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kritisch</w:t>
            </w:r>
          </w:p>
        </w:tc>
        <w:tc>
          <w:tcPr>
            <w:tcW w:type="dxa" w:w="3460"/>
            <w:shd w:fill="F7F9F9" w:color="auto" w:val="clear"/>
            <w:tcMar>
              <w:top w:type="dxa" w:w="70"/>
              <w:left w:type="dxa" w:w="100"/>
              <w:bottom w:type="dxa" w:w="70"/>
              <w:right w:type="dxa" w:w="100"/>
            </w:tcMar>
          </w:tcPr>
          <w:p>
            <w:pPr>
              <w:spacing w:after="0"/>
            </w:pPr>
            <w:r>
              <w:rPr>
                <w:b w:val="false"/>
                <w:bCs w:val="false"/>
                <w:color w:val="1A1A1A"/>
                <w:sz w:val="18"/>
                <w:szCs w:val="18"/>
              </w:rPr>
              <w:t xml:space="preserve">Das Haftungsdatum liegt vor «gekündigt per».</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K5</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Vermietung vor Leerstandsbeginn</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Hinweis</w:t>
            </w:r>
          </w:p>
        </w:tc>
        <w:tc>
          <w:tcPr>
            <w:tcW w:type="dxa" w:w="3460"/>
            <w:shd w:fill="FFFFFF" w:color="auto" w:val="clear"/>
            <w:tcMar>
              <w:top w:type="dxa" w:w="70"/>
              <w:left w:type="dxa" w:w="100"/>
              <w:bottom w:type="dxa" w:w="70"/>
              <w:right w:type="dxa" w:w="100"/>
            </w:tcMar>
          </w:tcPr>
          <w:p>
            <w:pPr>
              <w:spacing w:after="0"/>
            </w:pPr>
            <w:r>
              <w:rPr>
                <w:b w:val="false"/>
                <w:bCs w:val="false"/>
                <w:color w:val="1A1A1A"/>
                <w:sz w:val="18"/>
                <w:szCs w:val="18"/>
              </w:rPr>
              <w:t xml:space="preserve">«Vermietet per» liegt vor dem Haftungsdatum.</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K6</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Abnahmetermin vor Kündigung</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Hinweis</w:t>
            </w:r>
          </w:p>
        </w:tc>
        <w:tc>
          <w:tcPr>
            <w:tcW w:type="dxa" w:w="346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Abnahmetermin liegt vor «gekündigt per».</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K7</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Pflichtangabe fehlt</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Hinweis</w:t>
            </w:r>
          </w:p>
        </w:tc>
        <w:tc>
          <w:tcPr>
            <w:tcW w:type="dxa" w:w="346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für den aktuellen Prozessschritt erforderliche Angabe fehlt.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K8</w:t>
            </w:r>
          </w:p>
        </w:tc>
        <w:tc>
          <w:tcPr>
            <w:tcW w:type="dxa" w:w="1900"/>
            <w:shd w:fill="F7F9F9" w:color="auto" w:val="clear"/>
            <w:tcMar>
              <w:top w:type="dxa" w:w="70"/>
              <w:left w:type="dxa" w:w="100"/>
              <w:bottom w:type="dxa" w:w="70"/>
              <w:right w:type="dxa" w:w="100"/>
            </w:tcMar>
          </w:tcPr>
          <w:p>
            <w:pPr>
              <w:spacing w:after="0"/>
            </w:pPr>
            <w:r>
              <w:rPr>
                <w:b w:val="false"/>
                <w:bCs w:val="false"/>
                <w:color w:val="1A1A1A"/>
                <w:sz w:val="18"/>
                <w:szCs w:val="18"/>
              </w:rPr>
              <w:t xml:space="preserve">Langläufer</w:t>
            </w:r>
          </w:p>
        </w:tc>
        <w:tc>
          <w:tcPr>
            <w:tcW w:type="dxa" w:w="1000"/>
            <w:shd w:fill="F7F9F9" w:color="auto" w:val="clear"/>
            <w:tcMar>
              <w:top w:type="dxa" w:w="70"/>
              <w:left w:type="dxa" w:w="100"/>
              <w:bottom w:type="dxa" w:w="70"/>
              <w:right w:type="dxa" w:w="100"/>
            </w:tcMar>
          </w:tcPr>
          <w:p>
            <w:pPr>
              <w:spacing w:after="0"/>
            </w:pPr>
            <w:r>
              <w:rPr>
                <w:b w:val="false"/>
                <w:bCs w:val="false"/>
                <w:color w:val="1A1A1A"/>
                <w:sz w:val="18"/>
                <w:szCs w:val="18"/>
              </w:rPr>
              <w:t xml:space="preserve">Hinweis</w:t>
            </w:r>
          </w:p>
        </w:tc>
        <w:tc>
          <w:tcPr>
            <w:tcW w:type="dxa" w:w="346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Leerstand überschreitet 60 Tage (siehe F5).</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K9</w:t>
            </w:r>
          </w:p>
        </w:tc>
        <w:tc>
          <w:tcPr>
            <w:tcW w:type="dxa" w:w="1900"/>
            <w:shd w:fill="FFFFFF" w:color="auto" w:val="clear"/>
            <w:tcMar>
              <w:top w:type="dxa" w:w="70"/>
              <w:left w:type="dxa" w:w="100"/>
              <w:bottom w:type="dxa" w:w="70"/>
              <w:right w:type="dxa" w:w="100"/>
            </w:tcMar>
          </w:tcPr>
          <w:p>
            <w:pPr>
              <w:spacing w:after="0"/>
            </w:pPr>
            <w:r>
              <w:rPr>
                <w:b w:val="false"/>
                <w:bCs w:val="false"/>
                <w:color w:val="1A1A1A"/>
                <w:sz w:val="18"/>
                <w:szCs w:val="18"/>
              </w:rPr>
              <w:t xml:space="preserve">Abschlussbereit</w:t>
            </w:r>
          </w:p>
        </w:tc>
        <w:tc>
          <w:tcPr>
            <w:tcW w:type="dxa" w:w="1000"/>
            <w:shd w:fill="FFFFFF" w:color="auto" w:val="clear"/>
            <w:tcMar>
              <w:top w:type="dxa" w:w="70"/>
              <w:left w:type="dxa" w:w="100"/>
              <w:bottom w:type="dxa" w:w="70"/>
              <w:right w:type="dxa" w:w="100"/>
            </w:tcMar>
          </w:tcPr>
          <w:p>
            <w:pPr>
              <w:spacing w:after="0"/>
            </w:pPr>
            <w:r>
              <w:rPr>
                <w:b w:val="false"/>
                <w:bCs w:val="false"/>
                <w:color w:val="1A1A1A"/>
                <w:sz w:val="18"/>
                <w:szCs w:val="18"/>
              </w:rPr>
              <w:t xml:space="preserve">Information</w:t>
            </w:r>
          </w:p>
        </w:tc>
        <w:tc>
          <w:tcPr>
            <w:tcW w:type="dxa" w:w="3460"/>
            <w:shd w:fill="FFFFFF" w:color="auto" w:val="clear"/>
            <w:tcMar>
              <w:top w:type="dxa" w:w="70"/>
              <w:left w:type="dxa" w:w="100"/>
              <w:bottom w:type="dxa" w:w="70"/>
              <w:right w:type="dxa" w:w="100"/>
            </w:tcMar>
          </w:tcPr>
          <w:p>
            <w:pPr>
              <w:spacing w:after="0"/>
            </w:pPr>
            <w:r>
              <w:rPr>
                <w:b w:val="false"/>
                <w:bCs w:val="false"/>
                <w:color w:val="1A1A1A"/>
                <w:sz w:val="18"/>
                <w:szCs w:val="18"/>
              </w:rPr>
              <w:t xml:space="preserve">Alle Schritte sind erledigt; der Fall kann abgeschlossen werden.</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spacing w:after="160" w:before="320"/>
      </w:pPr>
      <w:r>
        <w:t xml:space="preserve">10. Zustände und Nachweis</w:t>
      </w:r>
    </w:p>
    <w:p>
      <w:pPr>
        <w:pStyle w:val="Heading3"/>
        <w:spacing w:after="100" w:before="200"/>
      </w:pPr>
      <w:r>
        <w:t xml:space="preserve">10.1 Zustand eines Schritts</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2200"/>
        <w:gridCol w:w="6820"/>
      </w:tblGrid>
      <w:tr>
        <w:trPr>
          <w:tblHeader/>
        </w:trPr>
        <w:tc>
          <w:tcPr>
            <w:tcW w:type="dxa" w:w="2200"/>
            <w:shd w:fill="0F5C6E" w:color="auto" w:val="clear"/>
            <w:tcMar>
              <w:top w:type="dxa" w:w="70"/>
              <w:left w:type="dxa" w:w="100"/>
              <w:bottom w:type="dxa" w:w="70"/>
              <w:right w:type="dxa" w:w="100"/>
            </w:tcMar>
          </w:tcPr>
          <w:p>
            <w:pPr>
              <w:spacing w:after="0"/>
            </w:pPr>
            <w:r>
              <w:rPr>
                <w:b/>
                <w:bCs/>
                <w:color w:val="FFFFFF"/>
                <w:sz w:val="18"/>
                <w:szCs w:val="18"/>
              </w:rPr>
              <w:t xml:space="preserve">Zustand</w:t>
            </w:r>
          </w:p>
        </w:tc>
        <w:tc>
          <w:tcPr>
            <w:tcW w:type="dxa" w:w="6820"/>
            <w:shd w:fill="0F5C6E" w:color="auto" w:val="clear"/>
            <w:tcMar>
              <w:top w:type="dxa" w:w="70"/>
              <w:left w:type="dxa" w:w="100"/>
              <w:bottom w:type="dxa" w:w="70"/>
              <w:right w:type="dxa" w:w="100"/>
            </w:tcMar>
          </w:tcPr>
          <w:p>
            <w:pPr>
              <w:spacing w:after="0"/>
            </w:pPr>
            <w:r>
              <w:rPr>
                <w:b/>
                <w:bCs/>
                <w:color w:val="FFFFFF"/>
                <w:sz w:val="18"/>
                <w:szCs w:val="18"/>
              </w:rPr>
              <w:t xml:space="preserve">Bedeutung</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offen</w:t>
            </w:r>
          </w:p>
        </w:tc>
        <w:tc>
          <w:tcPr>
            <w:tcW w:type="dxa" w:w="6820"/>
            <w:shd w:fill="FFFFFF" w:color="auto" w:val="clear"/>
            <w:tcMar>
              <w:top w:type="dxa" w:w="70"/>
              <w:left w:type="dxa" w:w="100"/>
              <w:bottom w:type="dxa" w:w="70"/>
              <w:right w:type="dxa" w:w="100"/>
            </w:tcMar>
          </w:tcPr>
          <w:p>
            <w:pPr>
              <w:spacing w:after="0"/>
            </w:pPr>
            <w:r>
              <w:rPr>
                <w:b w:val="false"/>
                <w:bCs w:val="false"/>
                <w:color w:val="1A1A1A"/>
                <w:sz w:val="18"/>
                <w:szCs w:val="18"/>
              </w:rPr>
              <w:t xml:space="preserve">Noch nicht erledigt.</w:t>
            </w:r>
          </w:p>
        </w:tc>
      </w:tr>
      <w:tr>
        <w:tc>
          <w:tcPr>
            <w:tcW w:type="dxa" w:w="2200"/>
            <w:shd w:fill="F7F9F9" w:color="auto" w:val="clear"/>
            <w:tcMar>
              <w:top w:type="dxa" w:w="70"/>
              <w:left w:type="dxa" w:w="100"/>
              <w:bottom w:type="dxa" w:w="70"/>
              <w:right w:type="dxa" w:w="100"/>
            </w:tcMar>
          </w:tcPr>
          <w:p>
            <w:pPr>
              <w:spacing w:after="0"/>
            </w:pPr>
            <w:r>
              <w:rPr>
                <w:b w:val="false"/>
                <w:bCs w:val="false"/>
                <w:color w:val="1A1A1A"/>
                <w:sz w:val="18"/>
                <w:szCs w:val="18"/>
              </w:rPr>
              <w:t xml:space="preserve">erledigt</w:t>
            </w:r>
          </w:p>
        </w:tc>
        <w:tc>
          <w:tcPr>
            <w:tcW w:type="dxa" w:w="6820"/>
            <w:shd w:fill="F7F9F9" w:color="auto" w:val="clear"/>
            <w:tcMar>
              <w:top w:type="dxa" w:w="70"/>
              <w:left w:type="dxa" w:w="100"/>
              <w:bottom w:type="dxa" w:w="70"/>
              <w:right w:type="dxa" w:w="100"/>
            </w:tcMar>
          </w:tcPr>
          <w:p>
            <w:pPr>
              <w:spacing w:after="0"/>
            </w:pPr>
            <w:r>
              <w:rPr>
                <w:b w:val="false"/>
                <w:bCs w:val="false"/>
                <w:color w:val="1A1A1A"/>
                <w:sz w:val="18"/>
                <w:szCs w:val="18"/>
              </w:rPr>
              <w:t xml:space="preserve">Im zuständigen System vorgenommen. Datum und Benutzer werden automatisch festgehalten.</w:t>
            </w:r>
          </w:p>
        </w:tc>
      </w:tr>
      <w:tr>
        <w:tc>
          <w:tcPr>
            <w:tcW w:type="dxa" w:w="2200"/>
            <w:shd w:fill="FFFFFF" w:color="auto" w:val="clear"/>
            <w:tcMar>
              <w:top w:type="dxa" w:w="70"/>
              <w:left w:type="dxa" w:w="100"/>
              <w:bottom w:type="dxa" w:w="70"/>
              <w:right w:type="dxa" w:w="100"/>
            </w:tcMar>
          </w:tcPr>
          <w:p>
            <w:pPr>
              <w:spacing w:after="0"/>
            </w:pPr>
            <w:r>
              <w:rPr>
                <w:b w:val="false"/>
                <w:bCs w:val="false"/>
                <w:color w:val="1A1A1A"/>
                <w:sz w:val="18"/>
                <w:szCs w:val="18"/>
              </w:rPr>
              <w:t xml:space="preserve">nicht erforderlich</w:t>
            </w:r>
          </w:p>
        </w:tc>
        <w:tc>
          <w:tcPr>
            <w:tcW w:type="dxa" w:w="6820"/>
            <w:shd w:fill="FFFFFF" w:color="auto" w:val="clear"/>
            <w:tcMar>
              <w:top w:type="dxa" w:w="70"/>
              <w:left w:type="dxa" w:w="100"/>
              <w:bottom w:type="dxa" w:w="70"/>
              <w:right w:type="dxa" w:w="100"/>
            </w:tcMar>
          </w:tcPr>
          <w:p>
            <w:pPr>
              <w:spacing w:after="0"/>
            </w:pPr>
            <w:r>
              <w:rPr>
                <w:b w:val="false"/>
                <w:bCs w:val="false"/>
                <w:color w:val="1A1A1A"/>
                <w:sz w:val="18"/>
                <w:szCs w:val="18"/>
              </w:rPr>
              <w:t xml:space="preserve">Bewusster Entscheid, dass der Schritt bei diesem Fall entfällt, mit Begründung. Unterscheidet sich ausdrücklich von «offen».</w:t>
            </w:r>
          </w:p>
        </w:tc>
      </w:tr>
    </w:tbl>
    <w:p>
      <w:pPr>
        <w:pStyle w:val="Heading3"/>
        <w:spacing w:after="100" w:before="200"/>
      </w:pPr>
      <w:r>
        <w:t xml:space="preserve">10.2 Zustand eines Falls</w:t>
      </w:r>
    </w:p>
    <w:p>
      <w:pPr>
        <w:spacing w:after="120"/>
      </w:pPr>
      <w:r>
        <w:rPr>
          <w:sz w:val="20"/>
          <w:szCs w:val="20"/>
        </w:rPr>
        <w:t xml:space="preserve">Der Stand eines Falls wird nicht erfasst, sondern ergibt sich aus den erledigten Schritten. Ein Fall kann erst abgeschlossen werden, wenn die Schlussabrechnung vollständig ist (5.1 bis 5.3). Ein Fall kann mit Datum zurückgestellt werden; er kehrt am festgelegten Tag in den Arbeitsvorrat zurück.</w:t>
      </w:r>
    </w:p>
    <w:p>
      <w:pPr>
        <w:pStyle w:val="Heading3"/>
        <w:spacing w:after="100" w:before="200"/>
      </w:pPr>
      <w:r>
        <w:t xml:space="preserve">10.3 Nachweis</w:t>
      </w:r>
    </w:p>
    <w:p>
      <w:pPr>
        <w:spacing w:after="200"/>
      </w:pPr>
      <w:r>
        <w:rPr>
          <w:sz w:val="20"/>
          <w:szCs w:val="20"/>
        </w:rPr>
        <w:t xml:space="preserve">Jede Erledigung, jede Datumsänderung, jede Übergabe der Zuständigkeit und jede Zurückstellung wird mit Zeitpunkt und Benutzer festgehalten und bleibt am Fall einsehbar.</w:t>
      </w:r>
    </w:p>
    <w:p>
      <w:r>
        <w:br w:type="page"/>
      </w:r>
    </w:p>
    <w:p>
      <w:pPr>
        <w:pStyle w:val="Heading1"/>
        <w:spacing w:after="160" w:before="320"/>
      </w:pPr>
      <w:r>
        <w:t xml:space="preserve">11. Annahmen, die zu bestätigen sind</w:t>
      </w:r>
    </w:p>
    <w:p>
      <w:pPr>
        <w:spacing w:after="120"/>
      </w:pPr>
      <w:r>
        <w:rPr>
          <w:sz w:val="20"/>
          <w:szCs w:val="20"/>
        </w:rPr>
        <w:t xml:space="preserve">Die folgenden Punkte sind nicht aus der bestehenden Liste belegt, sondern von mir fachlich geschlossen. Bitte bestätigen oder korrigieren.</w:t>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600"/>
        <w:gridCol w:w="4400"/>
        <w:gridCol w:w="1960"/>
        <w:gridCol w:w="2060"/>
      </w:tblGrid>
      <w:tr>
        <w:trPr>
          <w:tblHeader/>
        </w:trPr>
        <w:tc>
          <w:tcPr>
            <w:tcW w:type="dxa" w:w="6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4400"/>
            <w:shd w:fill="0F5C6E" w:color="auto" w:val="clear"/>
            <w:tcMar>
              <w:top w:type="dxa" w:w="70"/>
              <w:left w:type="dxa" w:w="100"/>
              <w:bottom w:type="dxa" w:w="70"/>
              <w:right w:type="dxa" w:w="100"/>
            </w:tcMar>
          </w:tcPr>
          <w:p>
            <w:pPr>
              <w:spacing w:after="0"/>
            </w:pPr>
            <w:r>
              <w:rPr>
                <w:b/>
                <w:bCs/>
                <w:color w:val="FFFFFF"/>
                <w:sz w:val="18"/>
                <w:szCs w:val="18"/>
              </w:rPr>
              <w:t xml:space="preserve">Annahme</w:t>
            </w:r>
          </w:p>
        </w:tc>
        <w:tc>
          <w:tcPr>
            <w:tcW w:type="dxa" w:w="1960"/>
            <w:shd w:fill="0F5C6E" w:color="auto" w:val="clear"/>
            <w:tcMar>
              <w:top w:type="dxa" w:w="70"/>
              <w:left w:type="dxa" w:w="100"/>
              <w:bottom w:type="dxa" w:w="70"/>
              <w:right w:type="dxa" w:w="100"/>
            </w:tcMar>
          </w:tcPr>
          <w:p>
            <w:pPr>
              <w:spacing w:after="0"/>
            </w:pPr>
            <w:r>
              <w:rPr>
                <w:b/>
                <w:bCs/>
                <w:color w:val="FFFFFF"/>
                <w:sz w:val="18"/>
                <w:szCs w:val="18"/>
              </w:rPr>
              <w:t xml:space="preserve">Herkunft</w:t>
            </w:r>
          </w:p>
        </w:tc>
        <w:tc>
          <w:tcPr>
            <w:tcW w:type="dxa" w:w="2060"/>
            <w:shd w:fill="0F5C6E" w:color="auto" w:val="clear"/>
            <w:tcMar>
              <w:top w:type="dxa" w:w="70"/>
              <w:left w:type="dxa" w:w="100"/>
              <w:bottom w:type="dxa" w:w="70"/>
              <w:right w:type="dxa" w:w="100"/>
            </w:tcMar>
          </w:tcPr>
          <w:p>
            <w:pPr>
              <w:spacing w:after="0"/>
            </w:pPr>
            <w:r>
              <w:rPr>
                <w:b/>
                <w:bCs/>
                <w:color w:val="FFFFFF"/>
                <w:sz w:val="18"/>
                <w:szCs w:val="18"/>
              </w:rPr>
              <w:t xml:space="preserve">Bemerkung</w:t>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A1</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Das Haftungsdatum entspricht dem Mietende. Bei vorzeitiger Rückgabe wird ausserordentlich gekündigt und das Mietende angepasst; ein eigenes Feld «Mietende» gibt es deshalb nicht.</w:t>
            </w:r>
          </w:p>
        </w:tc>
        <w:tc>
          <w:tcPr>
            <w:tcW w:type="dxa" w:w="1960"/>
            <w:shd w:fill="FFFFFF" w:color="auto" w:val="clear"/>
            <w:tcMar>
              <w:top w:type="dxa" w:w="70"/>
              <w:left w:type="dxa" w:w="100"/>
              <w:bottom w:type="dxa" w:w="70"/>
              <w:right w:type="dxa" w:w="100"/>
            </w:tcMar>
          </w:tcPr>
          <w:p>
            <w:pPr>
              <w:spacing w:after="0"/>
            </w:pPr>
            <w:r>
              <w:rPr>
                <w:b w:val="false"/>
                <w:bCs w:val="false"/>
                <w:color w:val="1A1A1A"/>
                <w:sz w:val="18"/>
                <w:szCs w:val="18"/>
              </w:rPr>
              <w:t xml:space="preserve">von euch bestätigt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A2</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Abnahmetermin muss 30 Tage vor der Wohnungsabgabe vereinbart sein (F1).</w:t>
            </w:r>
          </w:p>
        </w:tc>
        <w:tc>
          <w:tcPr>
            <w:tcW w:type="dxa" w:w="1960"/>
            <w:shd w:fill="F7F9F9" w:color="auto" w:val="clear"/>
            <w:tcMar>
              <w:top w:type="dxa" w:w="70"/>
              <w:left w:type="dxa" w:w="100"/>
              <w:bottom w:type="dxa" w:w="70"/>
              <w:right w:type="dxa" w:w="100"/>
            </w:tcMar>
          </w:tcPr>
          <w:p>
            <w:pPr>
              <w:spacing w:after="0"/>
            </w:pPr>
            <w:r>
              <w:rPr>
                <w:b w:val="false"/>
                <w:bCs w:val="false"/>
                <w:color w:val="1A1A1A"/>
                <w:sz w:val="18"/>
                <w:szCs w:val="18"/>
              </w:rPr>
              <w:t xml:space="preserve">von euch gewünscht, Zahl von mir gesetzt</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A3</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Handwerker sind innert 3 Tagen nach der Abnahme aufzubieten (F2).</w:t>
            </w:r>
          </w:p>
        </w:tc>
        <w:tc>
          <w:tcPr>
            <w:tcW w:type="dxa" w:w="196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 von mir gesetzt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A4</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Ein Leerstand über 60 Tage gilt als Langläufer (F5).</w:t>
            </w:r>
          </w:p>
        </w:tc>
        <w:tc>
          <w:tcPr>
            <w:tcW w:type="dxa" w:w="1960"/>
            <w:shd w:fill="F7F9F9" w:color="auto" w:val="clear"/>
            <w:tcMar>
              <w:top w:type="dxa" w:w="70"/>
              <w:left w:type="dxa" w:w="100"/>
              <w:bottom w:type="dxa" w:w="70"/>
              <w:right w:type="dxa" w:w="100"/>
            </w:tcMar>
          </w:tcPr>
          <w:p>
            <w:pPr>
              <w:spacing w:after="0"/>
            </w:pPr>
            <w:r>
              <w:rPr>
                <w:b w:val="false"/>
                <w:bCs w:val="false"/>
                <w:color w:val="1A1A1A"/>
                <w:sz w:val="18"/>
                <w:szCs w:val="18"/>
              </w:rPr>
              <w:t xml:space="preserve">aus der bestehenden Liste übernommen</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A5</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Die Zuordnung der Schritte zu den Systemen. Belegt sind nur 2.1 und 4.5 (Garaio REM) sowie 2.4 (VMZ); die übrigen sind von mir geschlossen.</w:t>
            </w:r>
          </w:p>
        </w:tc>
        <w:tc>
          <w:tcPr>
            <w:tcW w:type="dxa" w:w="1960"/>
            <w:shd w:fill="FFFFFF" w:color="auto" w:val="clear"/>
            <w:tcMar>
              <w:top w:type="dxa" w:w="70"/>
              <w:left w:type="dxa" w:w="100"/>
              <w:bottom w:type="dxa" w:w="70"/>
              <w:right w:type="dxa" w:w="100"/>
            </w:tcMar>
          </w:tcPr>
          <w:p>
            <w:pPr>
              <w:spacing w:after="0"/>
            </w:pPr>
            <w:r>
              <w:rPr>
                <w:b w:val="false"/>
                <w:bCs w:val="false"/>
                <w:color w:val="1A1A1A"/>
                <w:sz w:val="18"/>
                <w:szCs w:val="18"/>
              </w:rPr>
              <w:t xml:space="preserve">teilweise Annahme</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A6</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Kaution (4.5) muss vor der Schlüsselübergabe (4.2) eingegangen sein. Derzeit als Hinweis, nicht als Sperre umgesetzt.</w:t>
            </w:r>
          </w:p>
        </w:tc>
        <w:tc>
          <w:tcPr>
            <w:tcW w:type="dxa" w:w="1960"/>
            <w:shd w:fill="F7F9F9" w:color="auto" w:val="clear"/>
            <w:tcMar>
              <w:top w:type="dxa" w:w="70"/>
              <w:left w:type="dxa" w:w="100"/>
              <w:bottom w:type="dxa" w:w="70"/>
              <w:right w:type="dxa" w:w="100"/>
            </w:tcMar>
          </w:tcPr>
          <w:p>
            <w:pPr>
              <w:spacing w:after="0"/>
            </w:pPr>
            <w:r>
              <w:rPr>
                <w:b w:val="false"/>
                <w:bCs w:val="false"/>
                <w:color w:val="1A1A1A"/>
                <w:sz w:val="18"/>
                <w:szCs w:val="18"/>
              </w:rPr>
              <w:t xml:space="preserve">Annahme</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A7</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 Fall entsteht künftig automatisch, sobald die Kündigung in Garaio REM erfasst ist; die Handerfassung bleibt Rückfallebene.</w:t>
            </w:r>
          </w:p>
        </w:tc>
        <w:tc>
          <w:tcPr>
            <w:tcW w:type="dxa" w:w="1960"/>
            <w:shd w:fill="FFFFFF" w:color="auto" w:val="clear"/>
            <w:tcMar>
              <w:top w:type="dxa" w:w="70"/>
              <w:left w:type="dxa" w:w="100"/>
              <w:bottom w:type="dxa" w:w="70"/>
              <w:right w:type="dxa" w:w="100"/>
            </w:tcMar>
          </w:tcPr>
          <w:p>
            <w:pPr>
              <w:spacing w:after="0"/>
            </w:pPr>
            <w:r>
              <w:rPr>
                <w:b w:val="false"/>
                <w:bCs w:val="false"/>
                <w:color w:val="1A1A1A"/>
                <w:sz w:val="18"/>
                <w:szCs w:val="18"/>
              </w:rPr>
              <w:t xml:space="preserve">Annahme</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A8</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Der Teamzuschnitt BS 01 und BS 02 gemäss Abschnitt 3.</w:t>
            </w:r>
          </w:p>
        </w:tc>
        <w:tc>
          <w:tcPr>
            <w:tcW w:type="dxa" w:w="1960"/>
            <w:shd w:fill="F7F9F9" w:color="auto" w:val="clear"/>
            <w:tcMar>
              <w:top w:type="dxa" w:w="70"/>
              <w:left w:type="dxa" w:w="100"/>
              <w:bottom w:type="dxa" w:w="70"/>
              <w:right w:type="dxa" w:w="100"/>
            </w:tcMar>
          </w:tcPr>
          <w:p>
            <w:pPr>
              <w:spacing w:after="0"/>
            </w:pPr>
            <w:r>
              <w:rPr>
                <w:b w:val="false"/>
                <w:bCs w:val="false"/>
                <w:color w:val="1A1A1A"/>
                <w:sz w:val="18"/>
                <w:szCs w:val="18"/>
              </w:rPr>
              <w:t xml:space="preserve">von euch vorgegeben</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FFFFF" w:color="auto" w:val="clear"/>
            <w:tcMar>
              <w:top w:type="dxa" w:w="70"/>
              <w:left w:type="dxa" w:w="100"/>
              <w:bottom w:type="dxa" w:w="70"/>
              <w:right w:type="dxa" w:w="100"/>
            </w:tcMar>
          </w:tcPr>
          <w:p>
            <w:pPr>
              <w:spacing w:after="0"/>
            </w:pPr>
            <w:r>
              <w:rPr>
                <w:b w:val="false"/>
                <w:bCs w:val="false"/>
                <w:color w:val="1A1A1A"/>
                <w:sz w:val="18"/>
                <w:szCs w:val="18"/>
              </w:rPr>
              <w:t xml:space="preserve">A9</w:t>
            </w:r>
          </w:p>
        </w:tc>
        <w:tc>
          <w:tcPr>
            <w:tcW w:type="dxa" w:w="4400"/>
            <w:shd w:fill="FFFFFF" w:color="auto" w:val="clear"/>
            <w:tcMar>
              <w:top w:type="dxa" w:w="70"/>
              <w:left w:type="dxa" w:w="100"/>
              <w:bottom w:type="dxa" w:w="70"/>
              <w:right w:type="dxa" w:w="100"/>
            </w:tcMar>
          </w:tcPr>
          <w:p>
            <w:pPr>
              <w:spacing w:after="0"/>
            </w:pPr>
            <w:r>
              <w:rPr>
                <w:b w:val="false"/>
                <w:bCs w:val="false"/>
                <w:color w:val="1A1A1A"/>
                <w:sz w:val="18"/>
                <w:szCs w:val="18"/>
              </w:rPr>
              <w:t xml:space="preserve">Eine Zurückstellung erfolgt standardmässig um 3 Tage.</w:t>
            </w:r>
          </w:p>
        </w:tc>
        <w:tc>
          <w:tcPr>
            <w:tcW w:type="dxa" w:w="1960"/>
            <w:shd w:fill="FFFFFF" w:color="auto" w:val="clear"/>
            <w:tcMar>
              <w:top w:type="dxa" w:w="70"/>
              <w:left w:type="dxa" w:w="100"/>
              <w:bottom w:type="dxa" w:w="70"/>
              <w:right w:type="dxa" w:w="100"/>
            </w:tcMar>
          </w:tcPr>
          <w:p>
            <w:pPr>
              <w:spacing w:after="0"/>
            </w:pPr>
            <w:r>
              <w:rPr>
                <w:b w:val="false"/>
                <w:bCs w:val="false"/>
                <w:color w:val="1A1A1A"/>
                <w:sz w:val="18"/>
                <w:szCs w:val="18"/>
              </w:rPr>
              <w:t xml:space="preserve">Zahl von mir gesetzt</w:t>
            </w:r>
          </w:p>
        </w:tc>
        <w:tc>
          <w:tcPr>
            <w:tcW w:type="dxa" w:w="2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600"/>
            <w:shd w:fill="F7F9F9" w:color="auto" w:val="clear"/>
            <w:tcMar>
              <w:top w:type="dxa" w:w="70"/>
              <w:left w:type="dxa" w:w="100"/>
              <w:bottom w:type="dxa" w:w="70"/>
              <w:right w:type="dxa" w:w="100"/>
            </w:tcMar>
          </w:tcPr>
          <w:p>
            <w:pPr>
              <w:spacing w:after="0"/>
            </w:pPr>
            <w:r>
              <w:rPr>
                <w:b w:val="false"/>
                <w:bCs w:val="false"/>
                <w:color w:val="1A1A1A"/>
                <w:sz w:val="18"/>
                <w:szCs w:val="18"/>
              </w:rPr>
              <w:t xml:space="preserve">A10</w:t>
            </w:r>
          </w:p>
        </w:tc>
        <w:tc>
          <w:tcPr>
            <w:tcW w:type="dxa" w:w="4400"/>
            <w:shd w:fill="F7F9F9" w:color="auto" w:val="clear"/>
            <w:tcMar>
              <w:top w:type="dxa" w:w="70"/>
              <w:left w:type="dxa" w:w="100"/>
              <w:bottom w:type="dxa" w:w="70"/>
              <w:right w:type="dxa" w:w="100"/>
            </w:tcMar>
          </w:tcPr>
          <w:p>
            <w:pPr>
              <w:spacing w:after="0"/>
            </w:pPr>
            <w:r>
              <w:rPr>
                <w:b w:val="false"/>
                <w:bCs w:val="false"/>
                <w:color w:val="1A1A1A"/>
                <w:sz w:val="18"/>
                <w:szCs w:val="18"/>
              </w:rPr>
              <w:t xml:space="preserve">Die Reihenfolge der Schritte innerhalb von Prozess 1 (2.1 bis 2.10).</w:t>
            </w:r>
          </w:p>
        </w:tc>
        <w:tc>
          <w:tcPr>
            <w:tcW w:type="dxa" w:w="1960"/>
            <w:shd w:fill="F7F9F9" w:color="auto" w:val="clear"/>
            <w:tcMar>
              <w:top w:type="dxa" w:w="70"/>
              <w:left w:type="dxa" w:w="100"/>
              <w:bottom w:type="dxa" w:w="70"/>
              <w:right w:type="dxa" w:w="100"/>
            </w:tcMar>
          </w:tcPr>
          <w:p>
            <w:pPr>
              <w:spacing w:after="0"/>
            </w:pPr>
            <w:r>
              <w:rPr>
                <w:b w:val="false"/>
                <w:bCs w:val="false"/>
                <w:color w:val="1A1A1A"/>
                <w:sz w:val="18"/>
                <w:szCs w:val="18"/>
              </w:rPr>
              <w:t xml:space="preserve">aus der Spaltenfolge der bestehenden Liste abgeleitet</w:t>
            </w:r>
          </w:p>
        </w:tc>
        <w:tc>
          <w:tcPr>
            <w:tcW w:type="dxa" w:w="2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p>
      <w:pPr>
        <w:pStyle w:val="Heading1"/>
        <w:spacing w:after="160" w:before="320"/>
      </w:pPr>
      <w:r>
        <w:t xml:space="preserve">12. Rückmeldung</w:t>
      </w:r>
    </w:p>
    <w:p>
      <w:pPr>
        <w:spacing w:after="120"/>
      </w:pPr>
      <w:r>
        <w:rPr>
          <w:sz w:val="20"/>
          <w:szCs w:val="20"/>
        </w:rPr>
        <w:t xml:space="preserve">Für jede Änderung genügt die Nummer und der neue Wortlaut, zum Beispiel:</w:t>
      </w:r>
    </w:p>
    <w:p>
      <w:pPr>
        <w:spacing w:after="100"/>
        <w:ind w:left="280"/>
      </w:pPr>
      <w:r>
        <w:rPr>
          <w:i/>
          <w:iCs/>
          <w:color w:val="0B4655"/>
          <w:sz w:val="20"/>
          <w:szCs w:val="20"/>
        </w:rPr>
        <w:t xml:space="preserve">«2.8 – Handwerker werden bei uns erst nach Vorliegen der Offerten aufgeboten, Frist 10 Tage.»</w:t>
      </w:r>
    </w:p>
    <w:p>
      <w:pPr>
        <w:spacing w:after="160"/>
        <w:ind w:left="280"/>
      </w:pPr>
      <w:r>
        <w:rPr>
          <w:i/>
          <w:iCs/>
          <w:color w:val="0B4655"/>
          <w:sz w:val="20"/>
          <w:szCs w:val="20"/>
        </w:rPr>
        <w:t xml:space="preserve">«F5 – Langläufer bei uns ab 45 Tagen.»</w:t>
      </w:r>
    </w:p>
    <w:p>
      <w:pPr>
        <w:spacing w:after="120"/>
      </w:pPr>
      <w:r>
        <w:rPr>
          <w:sz w:val="20"/>
          <w:szCs w:val="20"/>
        </w:rPr>
        <w:t xml:space="preserve">Ebenso hilfreich: Schritte, die hier fehlen, und Schritte, die bei euch gar nicht vorkommen.</w:t>
      </w:r>
    </w:p>
    <w:p>
      <w:pPr>
        <w:spacing w:after="0"/>
      </w:pPr>
      <w:r>
        <w:t xml:space="preserve"/>
      </w:r>
    </w:p>
    <w:tbl>
      <w:tblPr>
        <w:tblW w:type="dxa" w:w="9020"/>
        <w:tblBorders>
          <w:top w:val="single" w:color="C6D0D5" w:sz="4"/>
          <w:left w:val="single" w:color="C6D0D5" w:sz="4"/>
          <w:bottom w:val="single" w:color="C6D0D5" w:sz="4"/>
          <w:right w:val="single" w:color="C6D0D5" w:sz="4"/>
          <w:insideH w:val="single" w:color="DFE5E8" w:sz="2"/>
          <w:insideV w:val="single" w:color="DFE5E8" w:sz="2"/>
        </w:tblBorders>
      </w:tblPr>
      <w:tblGrid>
        <w:gridCol w:w="900"/>
        <w:gridCol w:w="5060"/>
        <w:gridCol w:w="1560"/>
        <w:gridCol w:w="1500"/>
      </w:tblGrid>
      <w:tr>
        <w:trPr>
          <w:tblHeader/>
        </w:trPr>
        <w:tc>
          <w:tcPr>
            <w:tcW w:type="dxa" w:w="900"/>
            <w:shd w:fill="0F5C6E" w:color="auto" w:val="clear"/>
            <w:tcMar>
              <w:top w:type="dxa" w:w="70"/>
              <w:left w:type="dxa" w:w="100"/>
              <w:bottom w:type="dxa" w:w="70"/>
              <w:right w:type="dxa" w:w="100"/>
            </w:tcMar>
          </w:tcPr>
          <w:p>
            <w:pPr>
              <w:spacing w:after="0"/>
            </w:pPr>
            <w:r>
              <w:rPr>
                <w:b/>
                <w:bCs/>
                <w:color w:val="FFFFFF"/>
                <w:sz w:val="18"/>
                <w:szCs w:val="18"/>
              </w:rPr>
              <w:t xml:space="preserve">Nr.</w:t>
            </w:r>
          </w:p>
        </w:tc>
        <w:tc>
          <w:tcPr>
            <w:tcW w:type="dxa" w:w="5060"/>
            <w:shd w:fill="0F5C6E" w:color="auto" w:val="clear"/>
            <w:tcMar>
              <w:top w:type="dxa" w:w="70"/>
              <w:left w:type="dxa" w:w="100"/>
              <w:bottom w:type="dxa" w:w="70"/>
              <w:right w:type="dxa" w:w="100"/>
            </w:tcMar>
          </w:tcPr>
          <w:p>
            <w:pPr>
              <w:spacing w:after="0"/>
            </w:pPr>
            <w:r>
              <w:rPr>
                <w:b/>
                <w:bCs/>
                <w:color w:val="FFFFFF"/>
                <w:sz w:val="18"/>
                <w:szCs w:val="18"/>
              </w:rPr>
              <w:t xml:space="preserve">Änderung</w:t>
            </w:r>
          </w:p>
        </w:tc>
        <w:tc>
          <w:tcPr>
            <w:tcW w:type="dxa" w:w="1560"/>
            <w:shd w:fill="0F5C6E" w:color="auto" w:val="clear"/>
            <w:tcMar>
              <w:top w:type="dxa" w:w="70"/>
              <w:left w:type="dxa" w:w="100"/>
              <w:bottom w:type="dxa" w:w="70"/>
              <w:right w:type="dxa" w:w="100"/>
            </w:tcMar>
          </w:tcPr>
          <w:p>
            <w:pPr>
              <w:spacing w:after="0"/>
            </w:pPr>
            <w:r>
              <w:rPr>
                <w:b/>
                <w:bCs/>
                <w:color w:val="FFFFFF"/>
                <w:sz w:val="18"/>
                <w:szCs w:val="18"/>
              </w:rPr>
              <w:t xml:space="preserve">Durch</w:t>
            </w:r>
          </w:p>
        </w:tc>
        <w:tc>
          <w:tcPr>
            <w:tcW w:type="dxa" w:w="1500"/>
            <w:shd w:fill="0F5C6E" w:color="auto" w:val="clear"/>
            <w:tcMar>
              <w:top w:type="dxa" w:w="70"/>
              <w:left w:type="dxa" w:w="100"/>
              <w:bottom w:type="dxa" w:w="70"/>
              <w:right w:type="dxa" w:w="100"/>
            </w:tcMar>
          </w:tcPr>
          <w:p>
            <w:pPr>
              <w:spacing w:after="0"/>
            </w:pPr>
            <w:r>
              <w:rPr>
                <w:b/>
                <w:bCs/>
                <w:color w:val="FFFFFF"/>
                <w:sz w:val="18"/>
                <w:szCs w:val="18"/>
              </w:rPr>
              <w:t xml:space="preserve">Datum</w:t>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FFFFF" w:color="auto" w:val="clear"/>
            <w:tcMar>
              <w:top w:type="dxa" w:w="70"/>
              <w:left w:type="dxa" w:w="100"/>
              <w:bottom w:type="dxa" w:w="70"/>
              <w:right w:type="dxa" w:w="100"/>
            </w:tcMar>
          </w:tcPr>
          <w:p>
            <w:pPr>
              <w:spacing w:after="0"/>
            </w:pPr>
            <w:r>
              <w:rPr>
                <w:b w:val="false"/>
                <w:bCs w:val="false"/>
                <w:color w:val="1A1A1A"/>
                <w:sz w:val="18"/>
                <w:szCs w:val="18"/>
              </w:rPr>
              <w:t xml:space="preserve"/>
            </w:r>
          </w:p>
        </w:tc>
      </w:tr>
      <w:tr>
        <w:tc>
          <w:tcPr>
            <w:tcW w:type="dxa" w:w="9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50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6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c>
          <w:tcPr>
            <w:tcW w:type="dxa" w:w="1500"/>
            <w:shd w:fill="F7F9F9" w:color="auto" w:val="clear"/>
            <w:tcMar>
              <w:top w:type="dxa" w:w="70"/>
              <w:left w:type="dxa" w:w="100"/>
              <w:bottom w:type="dxa" w:w="70"/>
              <w:right w:type="dxa" w:w="100"/>
            </w:tcMar>
          </w:tcPr>
          <w:p>
            <w:pPr>
              <w:spacing w:after="0"/>
            </w:pPr>
            <w:r>
              <w:rPr>
                <w:b w:val="false"/>
                <w:bCs w:val="false"/>
                <w:color w:val="1A1A1A"/>
                <w:sz w:val="18"/>
                <w:szCs w:val="18"/>
              </w:rPr>
              <w:t xml:space="preserve"/>
            </w:r>
          </w:p>
        </w:tc>
      </w:tr>
    </w:tbl>
    <w:sectPr>
      <w:footerReference w:type="default" r:id="rId7"/>
      <w:pgSz w:w="11906" w:h="16838" w:orient="portrait"/>
      <w:pgMar w:top="1200" w:right="1440" w:bottom="120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85939C"/>
        <w:sz w:val="16"/>
        <w:szCs w:val="16"/>
      </w:rPr>
      <w:t xml:space="preserve">Prozessbeschreibung Mieterwechsel · Seite </w:t>
    </w:r>
    <w:r>
      <w:rPr>
        <w:color w:val="85939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color w:val="1A1A1A"/>
        <w:sz w:val="21"/>
        <w:szCs w:val="21"/>
      </w:rPr>
    </w:rPrDefault>
    <w:pPrDefault>
      <w:pPr>
        <w:spacing w:after="120" w:line="280"/>
      </w:pPr>
    </w:pPrDefault>
  </w:docDefaults>
  <w:style w:type="paragraph" w:styleId="Title">
    <w:name w:val="Title"/>
    <w:basedOn w:val="Normal"/>
    <w:next w:val="Normal"/>
    <w:qFormat/>
    <w:rPr>
      <w:sz w:val="56"/>
      <w:szCs w:val="56"/>
    </w:rPr>
  </w:style>
  <w:style w:type="paragraph" w:styleId="Heading1">
    <w:name w:val="Heading 1"/>
    <w:basedOn w:val="Normal"/>
    <w:next w:val="Normal"/>
    <w:qFormat/>
    <w:pPr>
      <w:spacing w:after="160" w:before="320"/>
    </w:pPr>
    <w:rPr>
      <w:rFonts w:ascii="Calibri" w:cs="Calibri" w:eastAsia="Calibri" w:hAnsi="Calibri"/>
      <w:b/>
      <w:bCs/>
      <w:color w:val="0F5C6E"/>
      <w:sz w:val="30"/>
      <w:szCs w:val="30"/>
    </w:rPr>
  </w:style>
  <w:style w:type="paragraph" w:styleId="Heading2">
    <w:name w:val="Heading 2"/>
    <w:basedOn w:val="Normal"/>
    <w:next w:val="Normal"/>
    <w:qFormat/>
    <w:pPr>
      <w:spacing w:after="120" w:before="260"/>
    </w:pPr>
    <w:rPr>
      <w:rFonts w:ascii="Calibri" w:cs="Calibri" w:eastAsia="Calibri" w:hAnsi="Calibri"/>
      <w:b/>
      <w:bCs/>
      <w:color w:val="0B4655"/>
      <w:sz w:val="25"/>
      <w:szCs w:val="25"/>
    </w:rPr>
  </w:style>
  <w:style w:type="paragraph" w:styleId="Heading3">
    <w:name w:val="Heading 3"/>
    <w:basedOn w:val="Normal"/>
    <w:next w:val="Normal"/>
    <w:qFormat/>
    <w:pPr>
      <w:spacing w:after="100" w:before="200"/>
    </w:pPr>
    <w:rPr>
      <w:rFonts w:ascii="Calibri" w:cs="Calibri" w:eastAsia="Calibri" w:hAnsi="Calibri"/>
      <w:b/>
      <w:bCs/>
      <w:color w:val="5A6B76"/>
      <w:sz w:val="22"/>
      <w:szCs w:val="22"/>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Prozessbeschreibung Mieterwechsel</dc:title>
  <dc:creator>Schäppi Grundstücke</dc:creator>
  <dc:description>Fachliche Prozesse des Leerstandsmanagers zur Prüfung</dc:description>
  <cp:lastModifiedBy>Un-named</cp:lastModifiedBy>
  <cp:revision>1</cp:revision>
  <dcterms:created xsi:type="dcterms:W3CDTF">2026-09-16T07:56:10.762Z</dcterms:created>
  <dcterms:modified xsi:type="dcterms:W3CDTF">2026-09-16T07:56:10.763Z</dcterms:modified>
</cp:coreProperties>
</file>

<file path=docProps/custom.xml><?xml version="1.0" encoding="utf-8"?>
<Properties xmlns="http://schemas.openxmlformats.org/officeDocument/2006/custom-properties" xmlns:vt="http://schemas.openxmlformats.org/officeDocument/2006/docPropsVTypes"/>
</file>