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93" w:rsidRPr="0016147A" w:rsidRDefault="00B17B93" w:rsidP="00585E10">
      <w:pPr>
        <w:pStyle w:val="Heading1"/>
      </w:pPr>
      <w:r w:rsidRPr="0016147A">
        <w:t>Chapter 1</w:t>
      </w:r>
      <w:r w:rsidR="00212DE2" w:rsidRPr="0016147A">
        <w:t>3</w:t>
      </w:r>
      <w:r w:rsidRPr="0016147A">
        <w:t xml:space="preserve"> – </w:t>
      </w:r>
      <w:r w:rsidR="00212DE2" w:rsidRPr="0016147A">
        <w:t>Comparing Three or More Means</w:t>
      </w:r>
    </w:p>
    <w:p w:rsidR="00585E10" w:rsidRPr="0016147A" w:rsidRDefault="00585E10" w:rsidP="00585E10">
      <w:pPr>
        <w:pStyle w:val="Heading2"/>
      </w:pPr>
      <w:r w:rsidRPr="0016147A">
        <w:t>OUTLINE</w:t>
      </w:r>
    </w:p>
    <w:p w:rsidR="00585E10" w:rsidRPr="0016147A" w:rsidRDefault="00585E10" w:rsidP="00013B32">
      <w:pPr>
        <w:numPr>
          <w:ilvl w:val="0"/>
          <w:numId w:val="1"/>
        </w:numPr>
        <w:spacing w:after="0" w:line="360" w:lineRule="auto"/>
        <w:ind w:left="357" w:hanging="357"/>
      </w:pPr>
      <w:r w:rsidRPr="0016147A">
        <w:t>Comparing Three or More Means: One-Way Analysis of Variance</w:t>
      </w:r>
    </w:p>
    <w:p w:rsidR="00585E10" w:rsidRPr="0016147A" w:rsidRDefault="00585E10" w:rsidP="00013B32">
      <w:pPr>
        <w:numPr>
          <w:ilvl w:val="0"/>
          <w:numId w:val="1"/>
        </w:numPr>
        <w:spacing w:after="0" w:line="240" w:lineRule="auto"/>
        <w:ind w:left="142" w:hanging="142"/>
      </w:pPr>
      <w:r w:rsidRPr="0016147A">
        <w:t>Post-Hoc Tests on One-Way Analysis of Variance</w:t>
      </w:r>
    </w:p>
    <w:p w:rsidR="00585E10" w:rsidRPr="0016147A" w:rsidRDefault="00585E10" w:rsidP="00585E10">
      <w:pPr>
        <w:pStyle w:val="Heading2"/>
      </w:pPr>
      <w:r w:rsidRPr="0016147A">
        <w:t>Putting It Together</w:t>
      </w:r>
    </w:p>
    <w:p w:rsidR="00585E10" w:rsidRPr="0016147A" w:rsidRDefault="00585E10" w:rsidP="00585E10">
      <w:pPr>
        <w:spacing w:after="240" w:line="240" w:lineRule="auto"/>
      </w:pPr>
      <w:r w:rsidRPr="0016147A">
        <w:t>Do you remember the progression for comparing proportions? Chapters 9 and 10 discussed inference for a single proportion, Chapter 11 discussed inference for two proportions, and Chapter 12 presented a discussion of inference for three or more proportions (homogeneity of proportions).</w:t>
      </w:r>
    </w:p>
    <w:p w:rsidR="00585E10" w:rsidRPr="0016147A" w:rsidRDefault="00585E10" w:rsidP="00585E10">
      <w:pPr>
        <w:spacing w:after="240" w:line="240" w:lineRule="auto"/>
      </w:pPr>
      <w:r w:rsidRPr="0016147A">
        <w:t>We have this same progression of topics for inference on means. In Chapters 9 and 10, we discussed inferential techniques for a single population mean. In Chapter 11, we discussed inferential techniques for comparing two means. In this chapter, we learn inferential techniques for comparing three or more means.</w:t>
      </w:r>
    </w:p>
    <w:p w:rsidR="00F34727" w:rsidRPr="0016147A" w:rsidRDefault="00585E10" w:rsidP="006F07B9">
      <w:pPr>
        <w:spacing w:after="240" w:line="240" w:lineRule="auto"/>
        <w:rPr>
          <w:b/>
          <w:sz w:val="28"/>
          <w:szCs w:val="28"/>
        </w:rPr>
      </w:pPr>
      <w:r w:rsidRPr="0016147A">
        <w:t>Just as we used a different distribution to compare multiple proportions (the chi-square distribution), we use a different distribution for comparing three or more means. Although the choice of distribution initially may seem strange, once the logic of the procedure is understood, the choice of distribution makes sense.</w:t>
      </w:r>
    </w:p>
    <w:p w:rsidR="00391BED" w:rsidRPr="0016147A" w:rsidRDefault="00391BED" w:rsidP="009005B6">
      <w:pPr>
        <w:spacing w:after="0" w:line="240" w:lineRule="auto"/>
        <w:jc w:val="center"/>
        <w:sectPr w:rsidR="00391BED" w:rsidRPr="0016147A" w:rsidSect="006B1849">
          <w:headerReference w:type="even" r:id="rId7"/>
          <w:headerReference w:type="default" r:id="rId8"/>
          <w:footerReference w:type="even" r:id="rId9"/>
          <w:footerReference w:type="default" r:id="rId10"/>
          <w:footerReference w:type="first" r:id="rId11"/>
          <w:pgSz w:w="12240" w:h="15840" w:code="1"/>
          <w:pgMar w:top="1440" w:right="1080" w:bottom="1440" w:left="1800" w:header="720" w:footer="720" w:gutter="0"/>
          <w:pgNumType w:start="319"/>
          <w:cols w:space="720"/>
          <w:titlePg/>
          <w:docGrid w:linePitch="360"/>
        </w:sectPr>
      </w:pPr>
    </w:p>
    <w:p w:rsidR="00334B33" w:rsidRPr="0016147A" w:rsidRDefault="00334B33" w:rsidP="00334B33">
      <w:pPr>
        <w:pStyle w:val="Heading2"/>
        <w:rPr>
          <w:smallCaps/>
          <w:sz w:val="20"/>
          <w:szCs w:val="20"/>
          <w:u w:val="single"/>
        </w:rPr>
      </w:pPr>
      <w:r w:rsidRPr="0016147A">
        <w:lastRenderedPageBreak/>
        <w:t>Section 13.1 Comparing Three or More Means: One-Way Analysis of Variance</w:t>
      </w:r>
    </w:p>
    <w:p w:rsidR="00334B33" w:rsidRPr="0016147A" w:rsidRDefault="00334B33" w:rsidP="006F07B9">
      <w:pPr>
        <w:pStyle w:val="Heading3"/>
      </w:pPr>
      <w:r w:rsidRPr="0016147A">
        <w:t>Objectives</w:t>
      </w:r>
    </w:p>
    <w:p w:rsidR="00334B33" w:rsidRPr="0016147A" w:rsidRDefault="00334B33" w:rsidP="00F63EF9">
      <w:pPr>
        <w:numPr>
          <w:ilvl w:val="0"/>
          <w:numId w:val="2"/>
        </w:numPr>
        <w:spacing w:after="0"/>
        <w:ind w:left="357" w:hanging="357"/>
      </w:pPr>
      <w:r w:rsidRPr="0016147A">
        <w:t>Verify the Requirements to Perform a One-Way ANOVA</w:t>
      </w:r>
    </w:p>
    <w:p w:rsidR="00334B33" w:rsidRPr="0016147A" w:rsidRDefault="00334B33" w:rsidP="00F63EF9">
      <w:pPr>
        <w:numPr>
          <w:ilvl w:val="0"/>
          <w:numId w:val="2"/>
        </w:numPr>
        <w:ind w:left="357" w:hanging="357"/>
        <w:rPr>
          <w:smallCaps/>
          <w:sz w:val="20"/>
          <w:szCs w:val="20"/>
          <w:u w:val="single"/>
        </w:rPr>
      </w:pPr>
      <w:r w:rsidRPr="0016147A">
        <w:t>Test a Hypothesis Regarding Three or More Means Using One-Way ANOVA</w:t>
      </w:r>
    </w:p>
    <w:p w:rsidR="00C95EB3" w:rsidRPr="0016147A" w:rsidRDefault="00C95EB3" w:rsidP="006F07B9">
      <w:pPr>
        <w:pStyle w:val="location"/>
        <w:pBdr>
          <w:top w:val="single" w:sz="12" w:space="1" w:color="auto"/>
        </w:pBdr>
      </w:pPr>
      <w:r w:rsidRPr="0016147A">
        <w:t>Introduction, Page 2</w:t>
      </w:r>
    </w:p>
    <w:p w:rsidR="000B2A12" w:rsidRPr="0016147A" w:rsidRDefault="00A07737" w:rsidP="00013B32">
      <w:pPr>
        <w:pStyle w:val="linespace"/>
        <w:numPr>
          <w:ilvl w:val="0"/>
          <w:numId w:val="3"/>
        </w:numPr>
        <w:ind w:left="357" w:hanging="357"/>
      </w:pPr>
      <w:r w:rsidRPr="0016147A">
        <w:t>What is Analysis of Variance (ANOVA) used to test?</w:t>
      </w:r>
    </w:p>
    <w:p w:rsidR="00C95EB3" w:rsidRPr="0016147A" w:rsidRDefault="00C95EB3" w:rsidP="00013B32">
      <w:pPr>
        <w:pStyle w:val="linespace"/>
        <w:numPr>
          <w:ilvl w:val="0"/>
          <w:numId w:val="3"/>
        </w:numPr>
        <w:ind w:left="357" w:hanging="357"/>
      </w:pPr>
      <w:r w:rsidRPr="0016147A">
        <w:t>What are the null and alternative hypotheses for testing a hypothesis regarding three population means?</w:t>
      </w:r>
    </w:p>
    <w:p w:rsidR="00C95EB3" w:rsidRPr="0016147A" w:rsidRDefault="00C95EB3" w:rsidP="006F07B9">
      <w:pPr>
        <w:pStyle w:val="location"/>
      </w:pPr>
      <w:r w:rsidRPr="0016147A">
        <w:t>Introduction, Page 3</w:t>
      </w:r>
    </w:p>
    <w:p w:rsidR="00C95EB3" w:rsidRPr="0016147A" w:rsidRDefault="00C95EB3" w:rsidP="00013B32">
      <w:pPr>
        <w:pStyle w:val="linespace"/>
        <w:numPr>
          <w:ilvl w:val="0"/>
          <w:numId w:val="3"/>
        </w:numPr>
        <w:ind w:left="357" w:hanging="357"/>
      </w:pPr>
      <w:r w:rsidRPr="0016147A">
        <w:t>Sketch an example of what the distribution of the populations might look like if the alternative hypothesis (at least one population mean is different from the others)</w:t>
      </w:r>
      <w:r w:rsidR="00A67E3E" w:rsidRPr="0016147A">
        <w:t xml:space="preserve"> is true.</w:t>
      </w:r>
    </w:p>
    <w:p w:rsidR="00A67E3E" w:rsidRPr="0016147A" w:rsidRDefault="00A67E3E" w:rsidP="006F07B9">
      <w:pPr>
        <w:pStyle w:val="location"/>
      </w:pPr>
      <w:r w:rsidRPr="0016147A">
        <w:t>Introduction, Page 4</w:t>
      </w:r>
    </w:p>
    <w:p w:rsidR="00EE0C1C" w:rsidRPr="0016147A" w:rsidRDefault="00A07737" w:rsidP="00013B32">
      <w:pPr>
        <w:pStyle w:val="linespace"/>
        <w:numPr>
          <w:ilvl w:val="0"/>
          <w:numId w:val="3"/>
        </w:numPr>
        <w:ind w:left="357" w:hanging="357"/>
      </w:pPr>
      <w:r w:rsidRPr="0016147A">
        <w:t xml:space="preserve">Why do we use ANOVA to test the equality of three or more means rather than comparing them two at a time using the techniques used in Section </w:t>
      </w:r>
      <w:proofErr w:type="gramStart"/>
      <w:r w:rsidRPr="0016147A">
        <w:t>11.3?</w:t>
      </w:r>
      <w:r w:rsidR="00EE0C1C" w:rsidRPr="0016147A">
        <w:t>?</w:t>
      </w:r>
      <w:proofErr w:type="gramEnd"/>
    </w:p>
    <w:p w:rsidR="00A67E3E" w:rsidRPr="0016147A" w:rsidRDefault="00A67E3E" w:rsidP="006F07B9">
      <w:pPr>
        <w:pStyle w:val="location"/>
      </w:pPr>
      <w:r w:rsidRPr="0016147A">
        <w:t>Introduction, Page 5</w:t>
      </w:r>
    </w:p>
    <w:p w:rsidR="00A67E3E" w:rsidRPr="0016147A" w:rsidRDefault="00A67E3E" w:rsidP="00A67E3E">
      <w:pPr>
        <w:spacing w:after="0"/>
        <w:rPr>
          <w:b/>
        </w:rPr>
      </w:pPr>
      <w:r w:rsidRPr="0016147A">
        <w:rPr>
          <w:b/>
        </w:rPr>
        <w:t>Notes on Analysis of Variance</w:t>
      </w:r>
    </w:p>
    <w:p w:rsidR="00A67E3E" w:rsidRPr="0016147A" w:rsidRDefault="00A67E3E" w:rsidP="00334B33">
      <w:pPr>
        <w:spacing w:after="240" w:line="240" w:lineRule="auto"/>
      </w:pPr>
      <w:r w:rsidRPr="0016147A">
        <w:t>Sir Ronald A. Fisher (1890–1962) introduced the method called analysis of variance (ANOVA). This term may seem odd because we are conducting a test on means, not variances. However, the name refers to the approach we are using, which will involve a comparison of two estimates of the same population variance. The justification for the name will become clear as we develop the test statistic.</w:t>
      </w:r>
    </w:p>
    <w:p w:rsidR="00A67E3E" w:rsidRPr="0016147A" w:rsidRDefault="00A67E3E" w:rsidP="00334B33">
      <w:pPr>
        <w:spacing w:after="240" w:line="240" w:lineRule="auto"/>
      </w:pPr>
      <w:r w:rsidRPr="0016147A">
        <w:t xml:space="preserve">The procedure used in this section is called one-way analysis of variance because only one factor distinguishes the various populations in the study. </w:t>
      </w:r>
    </w:p>
    <w:p w:rsidR="000B2A12" w:rsidRPr="0016147A" w:rsidRDefault="00A67E3E" w:rsidP="00334B33">
      <w:pPr>
        <w:spacing w:after="240" w:line="240" w:lineRule="auto"/>
      </w:pPr>
      <w:r w:rsidRPr="0016147A">
        <w:lastRenderedPageBreak/>
        <w:t xml:space="preserve">We use a one-way analysis of variance when analyzing data from a completely randomized design with three or more levels of treatment. In this design, the subjects must be similar in all characteristics except the level of the treatment. </w:t>
      </w:r>
    </w:p>
    <w:p w:rsidR="004576B2" w:rsidRPr="0016147A" w:rsidRDefault="004576B2" w:rsidP="00334B33">
      <w:pPr>
        <w:pStyle w:val="Heading4"/>
      </w:pPr>
      <w:r w:rsidRPr="0016147A">
        <w:t xml:space="preserve">Objective 1: </w:t>
      </w:r>
      <w:r w:rsidR="00A07737" w:rsidRPr="0016147A">
        <w:t>Verify the Requirements to Perform a One-Way ANOVA</w:t>
      </w:r>
    </w:p>
    <w:p w:rsidR="00A67E3E" w:rsidRPr="0016147A" w:rsidRDefault="00A67E3E" w:rsidP="006F07B9">
      <w:pPr>
        <w:pStyle w:val="location"/>
      </w:pPr>
      <w:r w:rsidRPr="0016147A">
        <w:t>Objective 1, Page 1</w:t>
      </w:r>
    </w:p>
    <w:p w:rsidR="0015562F" w:rsidRPr="0016147A" w:rsidRDefault="00B60FE4" w:rsidP="00013B32">
      <w:pPr>
        <w:pStyle w:val="linespace"/>
        <w:numPr>
          <w:ilvl w:val="0"/>
          <w:numId w:val="3"/>
        </w:numPr>
        <w:ind w:left="425" w:hanging="357"/>
      </w:pPr>
      <w:r w:rsidRPr="0016147A">
        <w:t xml:space="preserve">State the </w:t>
      </w:r>
      <w:r w:rsidR="00345472" w:rsidRPr="0016147A">
        <w:t>four requirements to perform a one-way ANOVA test</w:t>
      </w:r>
      <w:r w:rsidRPr="0016147A">
        <w:t>.</w:t>
      </w:r>
    </w:p>
    <w:p w:rsidR="00A67E3E" w:rsidRPr="0016147A" w:rsidRDefault="00A67E3E" w:rsidP="006F07B9">
      <w:pPr>
        <w:pStyle w:val="location"/>
      </w:pPr>
      <w:r w:rsidRPr="0016147A">
        <w:t xml:space="preserve">Objective 1, Page </w:t>
      </w:r>
      <w:r w:rsidR="0097556C" w:rsidRPr="0016147A">
        <w:t>2</w:t>
      </w:r>
    </w:p>
    <w:p w:rsidR="00E633F5" w:rsidRPr="0016147A" w:rsidRDefault="00E633F5" w:rsidP="00013B32">
      <w:pPr>
        <w:pStyle w:val="linespace"/>
        <w:numPr>
          <w:ilvl w:val="0"/>
          <w:numId w:val="3"/>
        </w:numPr>
        <w:ind w:left="426"/>
      </w:pPr>
      <w:r w:rsidRPr="0016147A">
        <w:t>Explain how to verify the requirement of normality for a one-way ANOVA test.</w:t>
      </w:r>
    </w:p>
    <w:p w:rsidR="0015562F" w:rsidRPr="0016147A" w:rsidRDefault="00E633F5" w:rsidP="00013B32">
      <w:pPr>
        <w:pStyle w:val="linespace"/>
        <w:numPr>
          <w:ilvl w:val="0"/>
          <w:numId w:val="3"/>
        </w:numPr>
        <w:ind w:left="426"/>
      </w:pPr>
      <w:r w:rsidRPr="0016147A">
        <w:t>State the rule of thumb for verifying the requirement of equal population variances for a one-way ANOVA test.</w:t>
      </w:r>
    </w:p>
    <w:p w:rsidR="00A67E3E" w:rsidRPr="0016147A" w:rsidRDefault="00A67E3E" w:rsidP="006F07B9">
      <w:pPr>
        <w:pStyle w:val="location"/>
      </w:pPr>
      <w:r w:rsidRPr="0016147A">
        <w:t>Objective 1, Page 4</w:t>
      </w:r>
    </w:p>
    <w:p w:rsidR="008C5516" w:rsidRPr="0016147A" w:rsidRDefault="008C5516" w:rsidP="006F07B9">
      <w:pPr>
        <w:pBdr>
          <w:top w:val="single" w:sz="4" w:space="1" w:color="auto"/>
          <w:left w:val="single" w:sz="4" w:space="4" w:color="auto"/>
          <w:right w:val="single" w:sz="4" w:space="4" w:color="auto"/>
        </w:pBdr>
        <w:autoSpaceDE w:val="0"/>
        <w:autoSpaceDN w:val="0"/>
        <w:adjustRightInd w:val="0"/>
        <w:spacing w:after="0" w:line="480" w:lineRule="auto"/>
        <w:rPr>
          <w:b/>
          <w:i/>
        </w:rPr>
      </w:pPr>
      <w:r w:rsidRPr="0016147A">
        <w:rPr>
          <w:b/>
          <w:shd w:val="clear" w:color="auto" w:fill="BFBFBF"/>
        </w:rPr>
        <w:t xml:space="preserve">Example </w:t>
      </w:r>
      <w:r w:rsidR="00613342" w:rsidRPr="0016147A">
        <w:rPr>
          <w:b/>
          <w:shd w:val="clear" w:color="auto" w:fill="BFBFBF"/>
        </w:rPr>
        <w:t>1</w:t>
      </w:r>
      <w:r w:rsidRPr="0016147A">
        <w:rPr>
          <w:b/>
        </w:rPr>
        <w:tab/>
      </w:r>
      <w:r w:rsidR="00613342" w:rsidRPr="0016147A">
        <w:rPr>
          <w:b/>
          <w:i/>
        </w:rPr>
        <w:t>Verifying the Requirements of One-Way ANOVA</w:t>
      </w:r>
    </w:p>
    <w:p w:rsidR="00CA6FB5" w:rsidRPr="0016147A" w:rsidRDefault="00613342" w:rsidP="006F07B9">
      <w:pPr>
        <w:pBdr>
          <w:top w:val="single" w:sz="4" w:space="1" w:color="auto"/>
          <w:left w:val="single" w:sz="4" w:space="4" w:color="auto"/>
          <w:right w:val="single" w:sz="4" w:space="4" w:color="auto"/>
        </w:pBdr>
        <w:autoSpaceDE w:val="0"/>
        <w:autoSpaceDN w:val="0"/>
        <w:adjustRightInd w:val="0"/>
        <w:spacing w:after="240" w:line="240" w:lineRule="auto"/>
      </w:pPr>
      <w:proofErr w:type="spellStart"/>
      <w:r w:rsidRPr="0016147A">
        <w:t>Prosthodentists</w:t>
      </w:r>
      <w:proofErr w:type="spellEnd"/>
      <w:r w:rsidRPr="0016147A">
        <w:t xml:space="preserve"> specialize in the restoration of oral function, including the use of dental implants, veneers, dentures, and crowns. Because repair of chipped veneer is less costly and time-consuming than complete restoration, a researcher wanted to compare the shear bond strength of different kits for repairs of chipped porcelain veneer in fixed prosthodontics. He randomly divided 20 porcelain specimens into four treatment groups. Group 1 specimens used the </w:t>
      </w:r>
      <w:proofErr w:type="spellStart"/>
      <w:r w:rsidRPr="0016147A">
        <w:t>Cojet</w:t>
      </w:r>
      <w:proofErr w:type="spellEnd"/>
      <w:r w:rsidRPr="0016147A">
        <w:t xml:space="preserve"> system, group 2 used the </w:t>
      </w:r>
      <w:proofErr w:type="spellStart"/>
      <w:r w:rsidRPr="0016147A">
        <w:t>Silistor</w:t>
      </w:r>
      <w:proofErr w:type="spellEnd"/>
      <w:r w:rsidRPr="0016147A">
        <w:t xml:space="preserve"> system, group 3 used the </w:t>
      </w:r>
      <w:proofErr w:type="spellStart"/>
      <w:r w:rsidRPr="0016147A">
        <w:t>Cimara</w:t>
      </w:r>
      <w:proofErr w:type="spellEnd"/>
      <w:r w:rsidRPr="0016147A">
        <w:t xml:space="preserve"> system, and group 4 specimens used the Ceramic Repair system. At the conclusion of the study, shear bond strength (in megapascals, MPa) was measured according to ISO 10477. The data in Table 1 are based on the results of the study. Verify that the requirements to perform one-way ANOVA are satisfied.</w:t>
      </w:r>
    </w:p>
    <w:p w:rsidR="00FD5336" w:rsidRPr="0016147A" w:rsidRDefault="00CA6FB5" w:rsidP="006F07B9">
      <w:pPr>
        <w:pBdr>
          <w:left w:val="single" w:sz="6" w:space="4" w:color="auto"/>
          <w:right w:val="single" w:sz="6" w:space="4" w:color="auto"/>
        </w:pBdr>
        <w:tabs>
          <w:tab w:val="left" w:pos="720"/>
          <w:tab w:val="left" w:pos="3600"/>
        </w:tabs>
        <w:autoSpaceDE w:val="0"/>
        <w:autoSpaceDN w:val="0"/>
        <w:adjustRightInd w:val="0"/>
        <w:spacing w:after="0" w:line="240" w:lineRule="auto"/>
        <w:rPr>
          <w:b/>
        </w:rPr>
      </w:pPr>
      <w:r w:rsidRPr="0016147A">
        <w:rPr>
          <w:b/>
        </w:rPr>
        <w:t xml:space="preserve">Table 1 </w:t>
      </w:r>
    </w:p>
    <w:tbl>
      <w:tblPr>
        <w:tblStyle w:val="TableGrid"/>
        <w:tblW w:w="9540"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Cojet, Silistor, Cimara, and Ceramic Repair."/>
      </w:tblPr>
      <w:tblGrid>
        <w:gridCol w:w="944"/>
        <w:gridCol w:w="1889"/>
        <w:gridCol w:w="1889"/>
        <w:gridCol w:w="4818"/>
      </w:tblGrid>
      <w:tr w:rsidR="00FD5336" w:rsidRPr="0016147A" w:rsidTr="0016147A">
        <w:trPr>
          <w:trHeight w:val="314"/>
          <w:tblHeader/>
        </w:trPr>
        <w:tc>
          <w:tcPr>
            <w:tcW w:w="944" w:type="dxa"/>
            <w:tcBorders>
              <w:left w:val="single" w:sz="6" w:space="0" w:color="auto"/>
            </w:tcBorders>
          </w:tcPr>
          <w:p w:rsidR="00FD5336" w:rsidRPr="0016147A" w:rsidRDefault="00FD5336" w:rsidP="006F07B9">
            <w:pPr>
              <w:autoSpaceDE w:val="0"/>
              <w:autoSpaceDN w:val="0"/>
              <w:adjustRightInd w:val="0"/>
              <w:spacing w:after="0" w:line="240" w:lineRule="auto"/>
              <w:jc w:val="center"/>
            </w:pPr>
            <w:proofErr w:type="spellStart"/>
            <w:r w:rsidRPr="0016147A">
              <w:t>Cojet</w:t>
            </w:r>
            <w:proofErr w:type="spellEnd"/>
          </w:p>
        </w:tc>
        <w:tc>
          <w:tcPr>
            <w:tcW w:w="1889" w:type="dxa"/>
          </w:tcPr>
          <w:p w:rsidR="00FD5336" w:rsidRPr="0016147A" w:rsidRDefault="00FD5336" w:rsidP="006F07B9">
            <w:pPr>
              <w:autoSpaceDE w:val="0"/>
              <w:autoSpaceDN w:val="0"/>
              <w:adjustRightInd w:val="0"/>
              <w:spacing w:after="0" w:line="240" w:lineRule="auto"/>
              <w:jc w:val="center"/>
            </w:pPr>
            <w:proofErr w:type="spellStart"/>
            <w:r w:rsidRPr="0016147A">
              <w:t>Silistor</w:t>
            </w:r>
            <w:proofErr w:type="spellEnd"/>
          </w:p>
        </w:tc>
        <w:tc>
          <w:tcPr>
            <w:tcW w:w="1889" w:type="dxa"/>
          </w:tcPr>
          <w:p w:rsidR="00FD5336" w:rsidRPr="0016147A" w:rsidRDefault="00FD5336" w:rsidP="006F07B9">
            <w:pPr>
              <w:autoSpaceDE w:val="0"/>
              <w:autoSpaceDN w:val="0"/>
              <w:adjustRightInd w:val="0"/>
              <w:spacing w:after="0" w:line="240" w:lineRule="auto"/>
              <w:jc w:val="center"/>
            </w:pPr>
            <w:proofErr w:type="spellStart"/>
            <w:r w:rsidRPr="0016147A">
              <w:t>Cimara</w:t>
            </w:r>
            <w:proofErr w:type="spellEnd"/>
          </w:p>
        </w:tc>
        <w:tc>
          <w:tcPr>
            <w:tcW w:w="4818" w:type="dxa"/>
            <w:tcBorders>
              <w:right w:val="single" w:sz="6" w:space="0" w:color="auto"/>
            </w:tcBorders>
          </w:tcPr>
          <w:p w:rsidR="00FD5336" w:rsidRPr="0016147A" w:rsidRDefault="00FD5336" w:rsidP="006F07B9">
            <w:pPr>
              <w:autoSpaceDE w:val="0"/>
              <w:autoSpaceDN w:val="0"/>
              <w:adjustRightInd w:val="0"/>
              <w:spacing w:after="0" w:line="240" w:lineRule="auto"/>
            </w:pPr>
            <w:r w:rsidRPr="0016147A">
              <w:t>Ceramic Repair</w:t>
            </w:r>
          </w:p>
        </w:tc>
      </w:tr>
      <w:tr w:rsidR="00FD5336" w:rsidRPr="0016147A" w:rsidTr="006F07B9">
        <w:trPr>
          <w:trHeight w:val="225"/>
        </w:trPr>
        <w:tc>
          <w:tcPr>
            <w:tcW w:w="944" w:type="dxa"/>
            <w:tcBorders>
              <w:left w:val="single" w:sz="6" w:space="0" w:color="auto"/>
            </w:tcBorders>
          </w:tcPr>
          <w:p w:rsidR="00FD5336" w:rsidRPr="0016147A" w:rsidRDefault="00FD5336" w:rsidP="006F07B9">
            <w:pPr>
              <w:autoSpaceDE w:val="0"/>
              <w:autoSpaceDN w:val="0"/>
              <w:adjustRightInd w:val="0"/>
              <w:spacing w:after="0" w:line="240" w:lineRule="auto"/>
              <w:jc w:val="center"/>
            </w:pPr>
            <w:r w:rsidRPr="0016147A">
              <w:t>15.4</w:t>
            </w:r>
          </w:p>
        </w:tc>
        <w:tc>
          <w:tcPr>
            <w:tcW w:w="1889" w:type="dxa"/>
          </w:tcPr>
          <w:p w:rsidR="00FD5336" w:rsidRPr="0016147A" w:rsidRDefault="00FD5336" w:rsidP="006F07B9">
            <w:pPr>
              <w:autoSpaceDE w:val="0"/>
              <w:autoSpaceDN w:val="0"/>
              <w:adjustRightInd w:val="0"/>
              <w:spacing w:after="0" w:line="240" w:lineRule="auto"/>
              <w:jc w:val="center"/>
            </w:pPr>
            <w:r w:rsidRPr="0016147A">
              <w:t>17.2</w:t>
            </w:r>
          </w:p>
        </w:tc>
        <w:tc>
          <w:tcPr>
            <w:tcW w:w="1889" w:type="dxa"/>
          </w:tcPr>
          <w:p w:rsidR="00FD5336" w:rsidRPr="0016147A" w:rsidRDefault="00FD5336" w:rsidP="006F07B9">
            <w:pPr>
              <w:autoSpaceDE w:val="0"/>
              <w:autoSpaceDN w:val="0"/>
              <w:adjustRightInd w:val="0"/>
              <w:spacing w:after="0" w:line="240" w:lineRule="auto"/>
              <w:jc w:val="center"/>
            </w:pPr>
            <w:r w:rsidRPr="0016147A">
              <w:t>5.5</w:t>
            </w:r>
          </w:p>
        </w:tc>
        <w:tc>
          <w:tcPr>
            <w:tcW w:w="4818" w:type="dxa"/>
            <w:tcBorders>
              <w:right w:val="single" w:sz="6" w:space="0" w:color="auto"/>
            </w:tcBorders>
          </w:tcPr>
          <w:p w:rsidR="00FD5336" w:rsidRPr="0016147A" w:rsidRDefault="00FD5336" w:rsidP="006F07B9">
            <w:pPr>
              <w:autoSpaceDE w:val="0"/>
              <w:autoSpaceDN w:val="0"/>
              <w:adjustRightInd w:val="0"/>
              <w:spacing w:after="0" w:line="240" w:lineRule="auto"/>
            </w:pPr>
            <w:r w:rsidRPr="0016147A">
              <w:t>11.0</w:t>
            </w:r>
          </w:p>
        </w:tc>
      </w:tr>
      <w:tr w:rsidR="00FD5336" w:rsidRPr="0016147A" w:rsidTr="006F07B9">
        <w:trPr>
          <w:trHeight w:val="209"/>
        </w:trPr>
        <w:tc>
          <w:tcPr>
            <w:tcW w:w="944" w:type="dxa"/>
            <w:tcBorders>
              <w:left w:val="single" w:sz="6" w:space="0" w:color="auto"/>
            </w:tcBorders>
          </w:tcPr>
          <w:p w:rsidR="00FD5336" w:rsidRPr="0016147A" w:rsidRDefault="00FD5336" w:rsidP="006F07B9">
            <w:pPr>
              <w:autoSpaceDE w:val="0"/>
              <w:autoSpaceDN w:val="0"/>
              <w:adjustRightInd w:val="0"/>
              <w:spacing w:after="0" w:line="240" w:lineRule="auto"/>
              <w:jc w:val="center"/>
            </w:pPr>
            <w:r w:rsidRPr="0016147A">
              <w:t>12.9</w:t>
            </w:r>
          </w:p>
        </w:tc>
        <w:tc>
          <w:tcPr>
            <w:tcW w:w="1889" w:type="dxa"/>
          </w:tcPr>
          <w:p w:rsidR="00FD5336" w:rsidRPr="0016147A" w:rsidRDefault="00FD5336" w:rsidP="006F07B9">
            <w:pPr>
              <w:autoSpaceDE w:val="0"/>
              <w:autoSpaceDN w:val="0"/>
              <w:adjustRightInd w:val="0"/>
              <w:spacing w:after="0" w:line="240" w:lineRule="auto"/>
              <w:jc w:val="center"/>
            </w:pPr>
            <w:r w:rsidRPr="0016147A">
              <w:t>14.3</w:t>
            </w:r>
          </w:p>
        </w:tc>
        <w:tc>
          <w:tcPr>
            <w:tcW w:w="1889" w:type="dxa"/>
          </w:tcPr>
          <w:p w:rsidR="00FD5336" w:rsidRPr="0016147A" w:rsidRDefault="00FD5336" w:rsidP="006F07B9">
            <w:pPr>
              <w:autoSpaceDE w:val="0"/>
              <w:autoSpaceDN w:val="0"/>
              <w:adjustRightInd w:val="0"/>
              <w:spacing w:after="0" w:line="240" w:lineRule="auto"/>
              <w:jc w:val="center"/>
            </w:pPr>
            <w:r w:rsidRPr="0016147A">
              <w:t>7.7</w:t>
            </w:r>
          </w:p>
        </w:tc>
        <w:tc>
          <w:tcPr>
            <w:tcW w:w="4818" w:type="dxa"/>
            <w:tcBorders>
              <w:right w:val="single" w:sz="6" w:space="0" w:color="auto"/>
            </w:tcBorders>
          </w:tcPr>
          <w:p w:rsidR="00FD5336" w:rsidRPr="0016147A" w:rsidRDefault="00FD5336" w:rsidP="006F07B9">
            <w:pPr>
              <w:autoSpaceDE w:val="0"/>
              <w:autoSpaceDN w:val="0"/>
              <w:adjustRightInd w:val="0"/>
              <w:spacing w:after="0" w:line="240" w:lineRule="auto"/>
            </w:pPr>
            <w:r w:rsidRPr="0016147A">
              <w:t>12.4</w:t>
            </w:r>
          </w:p>
        </w:tc>
      </w:tr>
      <w:tr w:rsidR="00FD5336" w:rsidRPr="0016147A" w:rsidTr="006F07B9">
        <w:trPr>
          <w:trHeight w:val="225"/>
        </w:trPr>
        <w:tc>
          <w:tcPr>
            <w:tcW w:w="944" w:type="dxa"/>
            <w:tcBorders>
              <w:left w:val="single" w:sz="6" w:space="0" w:color="auto"/>
            </w:tcBorders>
          </w:tcPr>
          <w:p w:rsidR="00FD5336" w:rsidRPr="0016147A" w:rsidRDefault="00FD5336" w:rsidP="006F07B9">
            <w:pPr>
              <w:autoSpaceDE w:val="0"/>
              <w:autoSpaceDN w:val="0"/>
              <w:adjustRightInd w:val="0"/>
              <w:spacing w:after="0" w:line="240" w:lineRule="auto"/>
              <w:jc w:val="center"/>
            </w:pPr>
            <w:r w:rsidRPr="0016147A">
              <w:t>17.2</w:t>
            </w:r>
          </w:p>
        </w:tc>
        <w:tc>
          <w:tcPr>
            <w:tcW w:w="1889" w:type="dxa"/>
          </w:tcPr>
          <w:p w:rsidR="00FD5336" w:rsidRPr="0016147A" w:rsidRDefault="00FD5336" w:rsidP="006F07B9">
            <w:pPr>
              <w:autoSpaceDE w:val="0"/>
              <w:autoSpaceDN w:val="0"/>
              <w:adjustRightInd w:val="0"/>
              <w:spacing w:after="0" w:line="240" w:lineRule="auto"/>
              <w:jc w:val="center"/>
            </w:pPr>
            <w:r w:rsidRPr="0016147A">
              <w:t>17.6</w:t>
            </w:r>
          </w:p>
        </w:tc>
        <w:tc>
          <w:tcPr>
            <w:tcW w:w="1889" w:type="dxa"/>
          </w:tcPr>
          <w:p w:rsidR="00FD5336" w:rsidRPr="0016147A" w:rsidRDefault="00FD5336" w:rsidP="006F07B9">
            <w:pPr>
              <w:autoSpaceDE w:val="0"/>
              <w:autoSpaceDN w:val="0"/>
              <w:adjustRightInd w:val="0"/>
              <w:spacing w:after="0" w:line="240" w:lineRule="auto"/>
              <w:jc w:val="center"/>
            </w:pPr>
            <w:r w:rsidRPr="0016147A">
              <w:t>12.2</w:t>
            </w:r>
          </w:p>
        </w:tc>
        <w:tc>
          <w:tcPr>
            <w:tcW w:w="4818" w:type="dxa"/>
            <w:tcBorders>
              <w:right w:val="single" w:sz="6" w:space="0" w:color="auto"/>
            </w:tcBorders>
          </w:tcPr>
          <w:p w:rsidR="00FD5336" w:rsidRPr="0016147A" w:rsidRDefault="00FD5336" w:rsidP="006F07B9">
            <w:pPr>
              <w:autoSpaceDE w:val="0"/>
              <w:autoSpaceDN w:val="0"/>
              <w:adjustRightInd w:val="0"/>
              <w:spacing w:after="0" w:line="240" w:lineRule="auto"/>
            </w:pPr>
            <w:r w:rsidRPr="0016147A">
              <w:t>13.5</w:t>
            </w:r>
          </w:p>
        </w:tc>
      </w:tr>
      <w:tr w:rsidR="00FD5336" w:rsidRPr="0016147A" w:rsidTr="006F07B9">
        <w:trPr>
          <w:trHeight w:val="225"/>
        </w:trPr>
        <w:tc>
          <w:tcPr>
            <w:tcW w:w="944" w:type="dxa"/>
            <w:tcBorders>
              <w:left w:val="single" w:sz="6" w:space="0" w:color="auto"/>
            </w:tcBorders>
          </w:tcPr>
          <w:p w:rsidR="00FD5336" w:rsidRPr="0016147A" w:rsidRDefault="00FD5336" w:rsidP="006F07B9">
            <w:pPr>
              <w:autoSpaceDE w:val="0"/>
              <w:autoSpaceDN w:val="0"/>
              <w:adjustRightInd w:val="0"/>
              <w:spacing w:after="0" w:line="240" w:lineRule="auto"/>
              <w:jc w:val="center"/>
            </w:pPr>
            <w:r w:rsidRPr="0016147A">
              <w:t>16.6</w:t>
            </w:r>
          </w:p>
        </w:tc>
        <w:tc>
          <w:tcPr>
            <w:tcW w:w="1889" w:type="dxa"/>
          </w:tcPr>
          <w:p w:rsidR="00FD5336" w:rsidRPr="0016147A" w:rsidRDefault="00FD5336" w:rsidP="006F07B9">
            <w:pPr>
              <w:autoSpaceDE w:val="0"/>
              <w:autoSpaceDN w:val="0"/>
              <w:adjustRightInd w:val="0"/>
              <w:spacing w:after="0" w:line="240" w:lineRule="auto"/>
              <w:jc w:val="center"/>
            </w:pPr>
            <w:r w:rsidRPr="0016147A">
              <w:t>21.6</w:t>
            </w:r>
          </w:p>
        </w:tc>
        <w:tc>
          <w:tcPr>
            <w:tcW w:w="1889" w:type="dxa"/>
          </w:tcPr>
          <w:p w:rsidR="00FD5336" w:rsidRPr="0016147A" w:rsidRDefault="00FD5336" w:rsidP="006F07B9">
            <w:pPr>
              <w:autoSpaceDE w:val="0"/>
              <w:autoSpaceDN w:val="0"/>
              <w:adjustRightInd w:val="0"/>
              <w:spacing w:after="0" w:line="240" w:lineRule="auto"/>
              <w:jc w:val="center"/>
            </w:pPr>
            <w:r w:rsidRPr="0016147A">
              <w:t>11.4</w:t>
            </w:r>
          </w:p>
        </w:tc>
        <w:tc>
          <w:tcPr>
            <w:tcW w:w="4818" w:type="dxa"/>
            <w:tcBorders>
              <w:right w:val="single" w:sz="6" w:space="0" w:color="auto"/>
            </w:tcBorders>
          </w:tcPr>
          <w:p w:rsidR="00FD5336" w:rsidRPr="0016147A" w:rsidRDefault="00FD5336" w:rsidP="006F07B9">
            <w:pPr>
              <w:autoSpaceDE w:val="0"/>
              <w:autoSpaceDN w:val="0"/>
              <w:adjustRightInd w:val="0"/>
              <w:spacing w:after="0" w:line="240" w:lineRule="auto"/>
            </w:pPr>
            <w:r w:rsidRPr="0016147A">
              <w:t>8.9</w:t>
            </w:r>
          </w:p>
        </w:tc>
      </w:tr>
      <w:tr w:rsidR="00FD5336" w:rsidRPr="0016147A" w:rsidTr="006F07B9">
        <w:trPr>
          <w:trHeight w:val="209"/>
        </w:trPr>
        <w:tc>
          <w:tcPr>
            <w:tcW w:w="944" w:type="dxa"/>
            <w:tcBorders>
              <w:left w:val="single" w:sz="6" w:space="0" w:color="auto"/>
            </w:tcBorders>
          </w:tcPr>
          <w:p w:rsidR="00FD5336" w:rsidRPr="0016147A" w:rsidRDefault="00FD5336" w:rsidP="006F07B9">
            <w:pPr>
              <w:autoSpaceDE w:val="0"/>
              <w:autoSpaceDN w:val="0"/>
              <w:adjustRightInd w:val="0"/>
              <w:spacing w:after="0" w:line="240" w:lineRule="auto"/>
              <w:jc w:val="center"/>
            </w:pPr>
            <w:r w:rsidRPr="0016147A">
              <w:t>19.3</w:t>
            </w:r>
          </w:p>
        </w:tc>
        <w:tc>
          <w:tcPr>
            <w:tcW w:w="1889" w:type="dxa"/>
          </w:tcPr>
          <w:p w:rsidR="00FD5336" w:rsidRPr="0016147A" w:rsidRDefault="00FD5336" w:rsidP="006F07B9">
            <w:pPr>
              <w:autoSpaceDE w:val="0"/>
              <w:autoSpaceDN w:val="0"/>
              <w:adjustRightInd w:val="0"/>
              <w:spacing w:after="0" w:line="240" w:lineRule="auto"/>
              <w:jc w:val="center"/>
            </w:pPr>
            <w:r w:rsidRPr="0016147A">
              <w:t>17.5</w:t>
            </w:r>
          </w:p>
        </w:tc>
        <w:tc>
          <w:tcPr>
            <w:tcW w:w="1889" w:type="dxa"/>
          </w:tcPr>
          <w:p w:rsidR="00FD5336" w:rsidRPr="0016147A" w:rsidRDefault="00FD5336" w:rsidP="006F07B9">
            <w:pPr>
              <w:autoSpaceDE w:val="0"/>
              <w:autoSpaceDN w:val="0"/>
              <w:adjustRightInd w:val="0"/>
              <w:spacing w:after="0" w:line="240" w:lineRule="auto"/>
              <w:jc w:val="center"/>
            </w:pPr>
            <w:r w:rsidRPr="0016147A">
              <w:t>16.4</w:t>
            </w:r>
          </w:p>
        </w:tc>
        <w:tc>
          <w:tcPr>
            <w:tcW w:w="4818" w:type="dxa"/>
            <w:tcBorders>
              <w:right w:val="single" w:sz="6" w:space="0" w:color="auto"/>
            </w:tcBorders>
          </w:tcPr>
          <w:p w:rsidR="00FD5336" w:rsidRPr="0016147A" w:rsidRDefault="00FD5336" w:rsidP="006F07B9">
            <w:pPr>
              <w:autoSpaceDE w:val="0"/>
              <w:autoSpaceDN w:val="0"/>
              <w:adjustRightInd w:val="0"/>
              <w:spacing w:after="0" w:line="240" w:lineRule="auto"/>
            </w:pPr>
            <w:r w:rsidRPr="0016147A">
              <w:t>8.1</w:t>
            </w:r>
          </w:p>
        </w:tc>
      </w:tr>
    </w:tbl>
    <w:p w:rsidR="00613342" w:rsidRPr="0016147A" w:rsidRDefault="00613342" w:rsidP="006F07B9">
      <w:pPr>
        <w:pBdr>
          <w:left w:val="single" w:sz="6" w:space="4" w:color="auto"/>
          <w:right w:val="single" w:sz="6" w:space="4" w:color="auto"/>
        </w:pBdr>
        <w:tabs>
          <w:tab w:val="left" w:pos="720"/>
          <w:tab w:val="left" w:pos="3600"/>
        </w:tabs>
        <w:autoSpaceDE w:val="0"/>
        <w:autoSpaceDN w:val="0"/>
        <w:adjustRightInd w:val="0"/>
        <w:spacing w:after="720" w:line="240" w:lineRule="auto"/>
      </w:pPr>
      <w:r w:rsidRPr="0016147A">
        <w:t xml:space="preserve">Data from P. </w:t>
      </w:r>
      <w:proofErr w:type="spellStart"/>
      <w:r w:rsidRPr="0016147A">
        <w:t>Schmage</w:t>
      </w:r>
      <w:proofErr w:type="spellEnd"/>
      <w:r w:rsidRPr="0016147A">
        <w:t xml:space="preserve"> et al. “Shear Bond Strengths of Five Intraoral Porcelain Repair Systems,” Journal of Adhesion Science &amp; Technology 21 (5–6):409–422, 2007</w:t>
      </w:r>
    </w:p>
    <w:p w:rsidR="00F24347" w:rsidRPr="0016147A" w:rsidRDefault="00A5118A" w:rsidP="00013B32">
      <w:pPr>
        <w:pStyle w:val="Heading4"/>
      </w:pPr>
      <w:r w:rsidRPr="0016147A">
        <w:lastRenderedPageBreak/>
        <w:t>Objective 2: Test a Hypothesis Regarding Three or More Means Using One-Way ANOVA</w:t>
      </w:r>
    </w:p>
    <w:p w:rsidR="00D15F49" w:rsidRPr="0016147A" w:rsidRDefault="00D15F49" w:rsidP="006F07B9">
      <w:pPr>
        <w:pStyle w:val="location"/>
      </w:pPr>
      <w:r w:rsidRPr="0016147A">
        <w:t>Objective 2, Page 1</w:t>
      </w:r>
    </w:p>
    <w:p w:rsidR="00A5118A" w:rsidRPr="0016147A" w:rsidRDefault="00013B32" w:rsidP="006F07B9">
      <w:pPr>
        <w:rPr>
          <w:i/>
          <w:iCs/>
        </w:rPr>
      </w:pPr>
      <w:r w:rsidRPr="0016147A">
        <w:rPr>
          <w:noProof/>
        </w:rPr>
        <w:drawing>
          <wp:inline distT="0" distB="0" distL="0" distR="0">
            <wp:extent cx="308610" cy="23368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6F07B9" w:rsidRPr="0016147A">
        <w:t xml:space="preserve"> </w:t>
      </w:r>
      <w:r w:rsidR="00A5118A" w:rsidRPr="0016147A">
        <w:rPr>
          <w:i/>
          <w:iCs/>
        </w:rPr>
        <w:t>Answer the following after watching the video.</w:t>
      </w:r>
    </w:p>
    <w:p w:rsidR="00652583" w:rsidRPr="0016147A" w:rsidRDefault="00A5118A" w:rsidP="00013B32">
      <w:pPr>
        <w:pStyle w:val="linespace"/>
        <w:numPr>
          <w:ilvl w:val="0"/>
          <w:numId w:val="3"/>
        </w:numPr>
        <w:ind w:left="357" w:hanging="357"/>
      </w:pPr>
      <w:r w:rsidRPr="0016147A">
        <w:t>Explain what is meant by the terms between-sample variability and within-sample variability.</w:t>
      </w:r>
    </w:p>
    <w:p w:rsidR="003E66B5" w:rsidRPr="0016147A" w:rsidRDefault="003E66B5" w:rsidP="008774D7">
      <w:pPr>
        <w:pStyle w:val="linespace"/>
        <w:numPr>
          <w:ilvl w:val="0"/>
          <w:numId w:val="3"/>
        </w:numPr>
        <w:ind w:left="357" w:hanging="357"/>
      </w:pPr>
      <w:r w:rsidRPr="0016147A">
        <w:t xml:space="preserve">What </w:t>
      </w:r>
      <w:r w:rsidR="00A5118A" w:rsidRPr="0016147A">
        <w:t>evidence will suggest that the samples come from populations with different means</w:t>
      </w:r>
      <w:r w:rsidRPr="0016147A">
        <w:t>?</w:t>
      </w:r>
    </w:p>
    <w:p w:rsidR="00D15F49" w:rsidRPr="0016147A" w:rsidRDefault="00D15F49" w:rsidP="00D15F49">
      <w:pPr>
        <w:spacing w:after="0"/>
        <w:rPr>
          <w:smallCaps/>
          <w:sz w:val="20"/>
          <w:szCs w:val="20"/>
          <w:u w:val="single"/>
        </w:rPr>
      </w:pPr>
      <w:r w:rsidRPr="0016147A">
        <w:rPr>
          <w:smallCaps/>
          <w:sz w:val="20"/>
          <w:szCs w:val="20"/>
          <w:u w:val="single"/>
        </w:rPr>
        <w:t>Objective 2, Page 3</w:t>
      </w:r>
    </w:p>
    <w:p w:rsidR="00D15F49" w:rsidRPr="0016147A" w:rsidRDefault="00013B32" w:rsidP="006F07B9">
      <w:pPr>
        <w:rPr>
          <w:i/>
          <w:iCs/>
        </w:rPr>
      </w:pPr>
      <w:r w:rsidRPr="0016147A">
        <w:rPr>
          <w:noProof/>
        </w:rPr>
        <w:drawing>
          <wp:inline distT="0" distB="0" distL="0" distR="0">
            <wp:extent cx="308610" cy="23368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6F07B9" w:rsidRPr="0016147A">
        <w:t xml:space="preserve"> </w:t>
      </w:r>
      <w:r w:rsidR="00D15F49" w:rsidRPr="0016147A">
        <w:rPr>
          <w:i/>
          <w:iCs/>
        </w:rPr>
        <w:t>Watch the video to learn how to compute the F-test statistic.</w:t>
      </w:r>
    </w:p>
    <w:p w:rsidR="00D15F49" w:rsidRPr="0016147A" w:rsidRDefault="00D15F49" w:rsidP="006F07B9">
      <w:pPr>
        <w:pStyle w:val="location"/>
      </w:pPr>
      <w:r w:rsidRPr="0016147A">
        <w:t>Objective 2, Page 4</w:t>
      </w:r>
    </w:p>
    <w:p w:rsidR="003900DB" w:rsidRPr="0016147A" w:rsidRDefault="003900DB" w:rsidP="008774D7">
      <w:pPr>
        <w:pStyle w:val="linespace"/>
        <w:numPr>
          <w:ilvl w:val="0"/>
          <w:numId w:val="3"/>
        </w:numPr>
        <w:ind w:left="357" w:hanging="357"/>
      </w:pPr>
      <w:r w:rsidRPr="0016147A">
        <w:t xml:space="preserve">State the formulas for the mean square due to error (MSE), the mean square due to treatment (MST), and the test statistic for a one-way ANOVA test </w:t>
      </w:r>
      <w:r w:rsidR="0040696C" w:rsidRPr="0016147A">
        <w:rPr>
          <w:position w:val="-12"/>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pen parenthesis F subscript 0 close parenthesis" style="width:22.4pt;height:18.35pt" o:ole="">
            <v:imagedata r:id="rId13" o:title=""/>
          </v:shape>
          <o:OLEObject Type="Embed" ProgID="Equation.DSMT4" ShapeID="_x0000_i1025" DrawAspect="Content" ObjectID="_1607958280" r:id="rId14"/>
        </w:object>
      </w:r>
      <w:r w:rsidRPr="0016147A">
        <w:t>.</w:t>
      </w:r>
    </w:p>
    <w:p w:rsidR="00D15F49" w:rsidRPr="0016147A" w:rsidRDefault="00D15F49" w:rsidP="006F07B9">
      <w:pPr>
        <w:pStyle w:val="location"/>
      </w:pPr>
      <w:r w:rsidRPr="0016147A">
        <w:t>Objective 2, Page 5</w:t>
      </w:r>
    </w:p>
    <w:p w:rsidR="00781A36" w:rsidRPr="0016147A" w:rsidRDefault="00781A36" w:rsidP="00953EF7">
      <w:pPr>
        <w:pStyle w:val="linespace"/>
        <w:numPr>
          <w:ilvl w:val="0"/>
          <w:numId w:val="3"/>
        </w:numPr>
        <w:ind w:left="357" w:hanging="357"/>
      </w:pPr>
      <w:r w:rsidRPr="0016147A">
        <w:t>List the six steps for computing the F-test statistic by hand.</w:t>
      </w:r>
    </w:p>
    <w:p w:rsidR="00D15F49" w:rsidRPr="0016147A" w:rsidRDefault="00D15F49" w:rsidP="006F07B9">
      <w:pPr>
        <w:pStyle w:val="location"/>
      </w:pPr>
      <w:r w:rsidRPr="0016147A">
        <w:t>Objective 2, Page 6</w:t>
      </w:r>
    </w:p>
    <w:p w:rsidR="007B1ED6" w:rsidRPr="0016147A" w:rsidRDefault="007B1ED6" w:rsidP="006F07B9">
      <w:pPr>
        <w:pBdr>
          <w:top w:val="single" w:sz="4" w:space="1" w:color="auto"/>
          <w:left w:val="single" w:sz="4" w:space="4" w:color="auto"/>
          <w:right w:val="single" w:sz="4" w:space="4" w:color="auto"/>
        </w:pBdr>
        <w:autoSpaceDE w:val="0"/>
        <w:autoSpaceDN w:val="0"/>
        <w:adjustRightInd w:val="0"/>
        <w:spacing w:line="240" w:lineRule="auto"/>
        <w:rPr>
          <w:b/>
          <w:i/>
        </w:rPr>
      </w:pPr>
      <w:r w:rsidRPr="0016147A">
        <w:rPr>
          <w:b/>
          <w:shd w:val="clear" w:color="auto" w:fill="BFBFBF"/>
        </w:rPr>
        <w:t>Example 2</w:t>
      </w:r>
      <w:r w:rsidRPr="0016147A">
        <w:rPr>
          <w:b/>
        </w:rPr>
        <w:tab/>
      </w:r>
      <w:r w:rsidRPr="0016147A">
        <w:rPr>
          <w:b/>
          <w:i/>
        </w:rPr>
        <w:t>Computing the F-Test Statistic by Hand</w:t>
      </w:r>
    </w:p>
    <w:p w:rsidR="007B1ED6" w:rsidRPr="0016147A" w:rsidRDefault="007B1ED6" w:rsidP="006F07B9">
      <w:pPr>
        <w:pBdr>
          <w:top w:val="single" w:sz="4" w:space="1" w:color="auto"/>
          <w:left w:val="single" w:sz="4" w:space="4" w:color="auto"/>
          <w:right w:val="single" w:sz="4" w:space="4" w:color="auto"/>
        </w:pBdr>
        <w:tabs>
          <w:tab w:val="left" w:pos="3600"/>
        </w:tabs>
        <w:autoSpaceDE w:val="0"/>
        <w:autoSpaceDN w:val="0"/>
        <w:adjustRightInd w:val="0"/>
        <w:spacing w:line="240" w:lineRule="auto"/>
      </w:pPr>
      <w:r w:rsidRPr="0016147A">
        <w:t>Compute the F-test statistic for the data shown</w:t>
      </w:r>
    </w:p>
    <w:tbl>
      <w:tblPr>
        <w:tblStyle w:val="TableGrid"/>
        <w:tblW w:w="9540"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x subscript 1, x subscript 2, and x subscript 3."/>
      </w:tblPr>
      <w:tblGrid>
        <w:gridCol w:w="1440"/>
        <w:gridCol w:w="1440"/>
        <w:gridCol w:w="6660"/>
      </w:tblGrid>
      <w:tr w:rsidR="00AA4237" w:rsidRPr="0016147A" w:rsidTr="006F07B9">
        <w:trPr>
          <w:tblHeader/>
        </w:trPr>
        <w:tc>
          <w:tcPr>
            <w:tcW w:w="1440" w:type="dxa"/>
            <w:tcBorders>
              <w:left w:val="single" w:sz="6" w:space="0" w:color="auto"/>
            </w:tcBorders>
          </w:tcPr>
          <w:p w:rsidR="00AA4237" w:rsidRPr="0016147A" w:rsidRDefault="000347C5" w:rsidP="00C13FDE">
            <w:pPr>
              <w:autoSpaceDE w:val="0"/>
              <w:autoSpaceDN w:val="0"/>
              <w:adjustRightInd w:val="0"/>
              <w:spacing w:after="0" w:line="240" w:lineRule="auto"/>
            </w:pPr>
            <w:r w:rsidRPr="0016147A">
              <w:rPr>
                <w:i/>
                <w:position w:val="-12"/>
                <w:lang w:bidi="ar-SA"/>
              </w:rPr>
              <w:object w:dxaOrig="240" w:dyaOrig="360">
                <v:shape id="_x0000_i1026" type="#_x0000_t75" alt="x subscript 1" style="width:11.55pt;height:18.35pt" o:ole="">
                  <v:imagedata r:id="rId15" o:title=""/>
                </v:shape>
                <o:OLEObject Type="Embed" ProgID="Equation.DSMT4" ShapeID="_x0000_i1026" DrawAspect="Content" ObjectID="_1607958281" r:id="rId16"/>
              </w:object>
            </w:r>
          </w:p>
        </w:tc>
        <w:tc>
          <w:tcPr>
            <w:tcW w:w="1440" w:type="dxa"/>
          </w:tcPr>
          <w:p w:rsidR="00AA4237" w:rsidRPr="0016147A" w:rsidRDefault="000347C5" w:rsidP="00C13FDE">
            <w:pPr>
              <w:autoSpaceDE w:val="0"/>
              <w:autoSpaceDN w:val="0"/>
              <w:adjustRightInd w:val="0"/>
              <w:spacing w:after="0" w:line="240" w:lineRule="auto"/>
            </w:pPr>
            <w:r w:rsidRPr="0016147A">
              <w:rPr>
                <w:i/>
                <w:position w:val="-12"/>
                <w:lang w:bidi="ar-SA"/>
              </w:rPr>
              <w:object w:dxaOrig="260" w:dyaOrig="360">
                <v:shape id="_x0000_i1027" type="#_x0000_t75" alt="x subscript 2" style="width:12.9pt;height:18.35pt" o:ole="">
                  <v:imagedata r:id="rId17" o:title=""/>
                </v:shape>
                <o:OLEObject Type="Embed" ProgID="Equation.DSMT4" ShapeID="_x0000_i1027" DrawAspect="Content" ObjectID="_1607958282" r:id="rId18"/>
              </w:object>
            </w:r>
          </w:p>
        </w:tc>
        <w:tc>
          <w:tcPr>
            <w:tcW w:w="6660" w:type="dxa"/>
            <w:tcBorders>
              <w:right w:val="single" w:sz="6" w:space="0" w:color="auto"/>
            </w:tcBorders>
          </w:tcPr>
          <w:p w:rsidR="00AA4237" w:rsidRPr="0016147A" w:rsidRDefault="000347C5" w:rsidP="00C13FDE">
            <w:pPr>
              <w:autoSpaceDE w:val="0"/>
              <w:autoSpaceDN w:val="0"/>
              <w:adjustRightInd w:val="0"/>
              <w:spacing w:after="0" w:line="240" w:lineRule="auto"/>
            </w:pPr>
            <w:r w:rsidRPr="0016147A">
              <w:rPr>
                <w:i/>
                <w:position w:val="-12"/>
                <w:lang w:bidi="ar-SA"/>
              </w:rPr>
              <w:object w:dxaOrig="260" w:dyaOrig="360">
                <v:shape id="_x0000_i1028" type="#_x0000_t75" alt="x subscript 3" style="width:12.9pt;height:18.35pt" o:ole="">
                  <v:imagedata r:id="rId19" o:title=""/>
                </v:shape>
                <o:OLEObject Type="Embed" ProgID="Equation.DSMT4" ShapeID="_x0000_i1028" DrawAspect="Content" ObjectID="_1607958283" r:id="rId20"/>
              </w:object>
            </w:r>
          </w:p>
        </w:tc>
      </w:tr>
      <w:tr w:rsidR="00AA4237" w:rsidRPr="0016147A" w:rsidTr="006F07B9">
        <w:tc>
          <w:tcPr>
            <w:tcW w:w="1440" w:type="dxa"/>
            <w:tcBorders>
              <w:left w:val="single" w:sz="6" w:space="0" w:color="auto"/>
            </w:tcBorders>
          </w:tcPr>
          <w:p w:rsidR="00AA4237" w:rsidRPr="0016147A" w:rsidRDefault="00AA4237" w:rsidP="00C13FDE">
            <w:pPr>
              <w:autoSpaceDE w:val="0"/>
              <w:autoSpaceDN w:val="0"/>
              <w:adjustRightInd w:val="0"/>
              <w:spacing w:after="0" w:line="240" w:lineRule="auto"/>
            </w:pPr>
            <w:r w:rsidRPr="0016147A">
              <w:t>4</w:t>
            </w:r>
          </w:p>
        </w:tc>
        <w:tc>
          <w:tcPr>
            <w:tcW w:w="1440" w:type="dxa"/>
          </w:tcPr>
          <w:p w:rsidR="00AA4237" w:rsidRPr="0016147A" w:rsidRDefault="00AA4237" w:rsidP="00C13FDE">
            <w:pPr>
              <w:autoSpaceDE w:val="0"/>
              <w:autoSpaceDN w:val="0"/>
              <w:adjustRightInd w:val="0"/>
              <w:spacing w:after="0" w:line="240" w:lineRule="auto"/>
            </w:pPr>
            <w:r w:rsidRPr="0016147A">
              <w:t>7</w:t>
            </w:r>
          </w:p>
        </w:tc>
        <w:tc>
          <w:tcPr>
            <w:tcW w:w="6660" w:type="dxa"/>
            <w:tcBorders>
              <w:right w:val="single" w:sz="6" w:space="0" w:color="auto"/>
            </w:tcBorders>
          </w:tcPr>
          <w:p w:rsidR="00AA4237" w:rsidRPr="0016147A" w:rsidRDefault="00AA4237" w:rsidP="00C13FDE">
            <w:pPr>
              <w:autoSpaceDE w:val="0"/>
              <w:autoSpaceDN w:val="0"/>
              <w:adjustRightInd w:val="0"/>
              <w:spacing w:after="0" w:line="240" w:lineRule="auto"/>
            </w:pPr>
            <w:r w:rsidRPr="0016147A">
              <w:t>10</w:t>
            </w:r>
          </w:p>
        </w:tc>
      </w:tr>
      <w:tr w:rsidR="00AA4237" w:rsidRPr="0016147A" w:rsidTr="006F07B9">
        <w:tc>
          <w:tcPr>
            <w:tcW w:w="1440" w:type="dxa"/>
            <w:tcBorders>
              <w:left w:val="single" w:sz="6" w:space="0" w:color="auto"/>
            </w:tcBorders>
          </w:tcPr>
          <w:p w:rsidR="00AA4237" w:rsidRPr="0016147A" w:rsidRDefault="00AA4237" w:rsidP="00C13FDE">
            <w:pPr>
              <w:autoSpaceDE w:val="0"/>
              <w:autoSpaceDN w:val="0"/>
              <w:adjustRightInd w:val="0"/>
              <w:spacing w:after="0" w:line="240" w:lineRule="auto"/>
            </w:pPr>
            <w:r w:rsidRPr="0016147A">
              <w:t>5</w:t>
            </w:r>
          </w:p>
        </w:tc>
        <w:tc>
          <w:tcPr>
            <w:tcW w:w="1440" w:type="dxa"/>
          </w:tcPr>
          <w:p w:rsidR="00AA4237" w:rsidRPr="0016147A" w:rsidRDefault="00AA4237" w:rsidP="00C13FDE">
            <w:pPr>
              <w:autoSpaceDE w:val="0"/>
              <w:autoSpaceDN w:val="0"/>
              <w:adjustRightInd w:val="0"/>
              <w:spacing w:after="0" w:line="240" w:lineRule="auto"/>
            </w:pPr>
            <w:r w:rsidRPr="0016147A">
              <w:t>8</w:t>
            </w:r>
          </w:p>
        </w:tc>
        <w:tc>
          <w:tcPr>
            <w:tcW w:w="6660" w:type="dxa"/>
            <w:tcBorders>
              <w:right w:val="single" w:sz="6" w:space="0" w:color="auto"/>
            </w:tcBorders>
          </w:tcPr>
          <w:p w:rsidR="00AA4237" w:rsidRPr="0016147A" w:rsidRDefault="00AA4237" w:rsidP="00C13FDE">
            <w:pPr>
              <w:autoSpaceDE w:val="0"/>
              <w:autoSpaceDN w:val="0"/>
              <w:adjustRightInd w:val="0"/>
              <w:spacing w:after="0" w:line="240" w:lineRule="auto"/>
            </w:pPr>
            <w:r w:rsidRPr="0016147A">
              <w:t>10</w:t>
            </w:r>
          </w:p>
        </w:tc>
      </w:tr>
      <w:tr w:rsidR="00AA4237" w:rsidRPr="0016147A" w:rsidTr="006F07B9">
        <w:tc>
          <w:tcPr>
            <w:tcW w:w="1440" w:type="dxa"/>
            <w:tcBorders>
              <w:left w:val="single" w:sz="6" w:space="0" w:color="auto"/>
            </w:tcBorders>
          </w:tcPr>
          <w:p w:rsidR="00AA4237" w:rsidRPr="0016147A" w:rsidRDefault="00AA4237" w:rsidP="00C13FDE">
            <w:pPr>
              <w:autoSpaceDE w:val="0"/>
              <w:autoSpaceDN w:val="0"/>
              <w:adjustRightInd w:val="0"/>
              <w:spacing w:after="0" w:line="240" w:lineRule="auto"/>
            </w:pPr>
            <w:r w:rsidRPr="0016147A">
              <w:t>6</w:t>
            </w:r>
          </w:p>
        </w:tc>
        <w:tc>
          <w:tcPr>
            <w:tcW w:w="1440" w:type="dxa"/>
          </w:tcPr>
          <w:p w:rsidR="00AA4237" w:rsidRPr="0016147A" w:rsidRDefault="00AA4237" w:rsidP="00C13FDE">
            <w:pPr>
              <w:autoSpaceDE w:val="0"/>
              <w:autoSpaceDN w:val="0"/>
              <w:adjustRightInd w:val="0"/>
              <w:spacing w:after="0" w:line="240" w:lineRule="auto"/>
            </w:pPr>
            <w:r w:rsidRPr="0016147A">
              <w:t>9</w:t>
            </w:r>
          </w:p>
        </w:tc>
        <w:tc>
          <w:tcPr>
            <w:tcW w:w="6660" w:type="dxa"/>
            <w:tcBorders>
              <w:right w:val="single" w:sz="6" w:space="0" w:color="auto"/>
            </w:tcBorders>
          </w:tcPr>
          <w:p w:rsidR="00AA4237" w:rsidRPr="0016147A" w:rsidRDefault="00AA4237" w:rsidP="00C13FDE">
            <w:pPr>
              <w:autoSpaceDE w:val="0"/>
              <w:autoSpaceDN w:val="0"/>
              <w:adjustRightInd w:val="0"/>
              <w:spacing w:after="0" w:line="240" w:lineRule="auto"/>
            </w:pPr>
            <w:r w:rsidRPr="0016147A">
              <w:t>11</w:t>
            </w:r>
          </w:p>
        </w:tc>
      </w:tr>
      <w:tr w:rsidR="00AA4237" w:rsidRPr="0016147A" w:rsidTr="006F07B9">
        <w:tc>
          <w:tcPr>
            <w:tcW w:w="1440" w:type="dxa"/>
            <w:tcBorders>
              <w:left w:val="single" w:sz="6" w:space="0" w:color="auto"/>
            </w:tcBorders>
          </w:tcPr>
          <w:p w:rsidR="00AA4237" w:rsidRPr="0016147A" w:rsidRDefault="00AA4237" w:rsidP="00C13FDE">
            <w:pPr>
              <w:autoSpaceDE w:val="0"/>
              <w:autoSpaceDN w:val="0"/>
              <w:adjustRightInd w:val="0"/>
              <w:spacing w:after="0" w:line="240" w:lineRule="auto"/>
            </w:pPr>
            <w:r w:rsidRPr="0016147A">
              <w:t>6</w:t>
            </w:r>
          </w:p>
        </w:tc>
        <w:tc>
          <w:tcPr>
            <w:tcW w:w="1440" w:type="dxa"/>
          </w:tcPr>
          <w:p w:rsidR="00AA4237" w:rsidRPr="0016147A" w:rsidRDefault="00AA4237" w:rsidP="00C13FDE">
            <w:pPr>
              <w:autoSpaceDE w:val="0"/>
              <w:autoSpaceDN w:val="0"/>
              <w:adjustRightInd w:val="0"/>
              <w:spacing w:after="0" w:line="240" w:lineRule="auto"/>
            </w:pPr>
            <w:r w:rsidRPr="0016147A">
              <w:t>7</w:t>
            </w:r>
          </w:p>
        </w:tc>
        <w:tc>
          <w:tcPr>
            <w:tcW w:w="6660" w:type="dxa"/>
            <w:tcBorders>
              <w:right w:val="single" w:sz="6" w:space="0" w:color="auto"/>
            </w:tcBorders>
          </w:tcPr>
          <w:p w:rsidR="00AA4237" w:rsidRPr="0016147A" w:rsidRDefault="00AA4237" w:rsidP="00C13FDE">
            <w:pPr>
              <w:autoSpaceDE w:val="0"/>
              <w:autoSpaceDN w:val="0"/>
              <w:adjustRightInd w:val="0"/>
              <w:spacing w:after="0" w:line="240" w:lineRule="auto"/>
            </w:pPr>
            <w:r w:rsidRPr="0016147A">
              <w:t>11</w:t>
            </w:r>
          </w:p>
        </w:tc>
      </w:tr>
      <w:tr w:rsidR="00AA4237" w:rsidRPr="0016147A" w:rsidTr="006F07B9">
        <w:tc>
          <w:tcPr>
            <w:tcW w:w="1440" w:type="dxa"/>
            <w:tcBorders>
              <w:left w:val="single" w:sz="6" w:space="0" w:color="auto"/>
              <w:bottom w:val="single" w:sz="6" w:space="0" w:color="auto"/>
            </w:tcBorders>
          </w:tcPr>
          <w:p w:rsidR="00AA4237" w:rsidRPr="0016147A" w:rsidRDefault="00AA4237" w:rsidP="006F07B9">
            <w:pPr>
              <w:autoSpaceDE w:val="0"/>
              <w:autoSpaceDN w:val="0"/>
              <w:adjustRightInd w:val="0"/>
              <w:spacing w:after="800" w:line="240" w:lineRule="auto"/>
            </w:pPr>
            <w:r w:rsidRPr="0016147A">
              <w:t>4</w:t>
            </w:r>
          </w:p>
        </w:tc>
        <w:tc>
          <w:tcPr>
            <w:tcW w:w="1440" w:type="dxa"/>
            <w:tcBorders>
              <w:bottom w:val="single" w:sz="6" w:space="0" w:color="auto"/>
            </w:tcBorders>
          </w:tcPr>
          <w:p w:rsidR="00AA4237" w:rsidRPr="0016147A" w:rsidRDefault="00AA4237" w:rsidP="006F07B9">
            <w:pPr>
              <w:autoSpaceDE w:val="0"/>
              <w:autoSpaceDN w:val="0"/>
              <w:adjustRightInd w:val="0"/>
              <w:spacing w:after="800" w:line="240" w:lineRule="auto"/>
            </w:pPr>
            <w:r w:rsidRPr="0016147A">
              <w:t>9</w:t>
            </w:r>
          </w:p>
        </w:tc>
        <w:tc>
          <w:tcPr>
            <w:tcW w:w="6660" w:type="dxa"/>
            <w:tcBorders>
              <w:bottom w:val="single" w:sz="6" w:space="0" w:color="auto"/>
              <w:right w:val="single" w:sz="6" w:space="0" w:color="auto"/>
            </w:tcBorders>
          </w:tcPr>
          <w:p w:rsidR="00AA4237" w:rsidRPr="0016147A" w:rsidRDefault="00AA4237" w:rsidP="006F07B9">
            <w:pPr>
              <w:autoSpaceDE w:val="0"/>
              <w:autoSpaceDN w:val="0"/>
              <w:adjustRightInd w:val="0"/>
              <w:spacing w:after="800" w:line="240" w:lineRule="auto"/>
            </w:pPr>
            <w:r w:rsidRPr="0016147A">
              <w:t>13</w:t>
            </w:r>
          </w:p>
        </w:tc>
      </w:tr>
    </w:tbl>
    <w:p w:rsidR="00D15F49" w:rsidRPr="0016147A" w:rsidRDefault="00D15F49" w:rsidP="006F07B9">
      <w:pPr>
        <w:pStyle w:val="location"/>
      </w:pPr>
      <w:r w:rsidRPr="0016147A">
        <w:lastRenderedPageBreak/>
        <w:t xml:space="preserve">Objective 2, Page </w:t>
      </w:r>
      <w:r w:rsidR="005C74E7" w:rsidRPr="0016147A">
        <w:t>8</w:t>
      </w:r>
    </w:p>
    <w:p w:rsidR="005C74E7" w:rsidRPr="0016147A" w:rsidRDefault="005C74E7" w:rsidP="005C74E7">
      <w:pPr>
        <w:spacing w:after="0"/>
      </w:pPr>
      <w:r w:rsidRPr="0016147A">
        <w:t xml:space="preserve">The data from Example 2 was from Table (a) in the video that presented a conceptual understanding of one-way ANOVA video, and the </w:t>
      </w:r>
      <w:r w:rsidRPr="0016147A">
        <w:rPr>
          <w:i/>
        </w:rPr>
        <w:t>F</w:t>
      </w:r>
      <w:r w:rsidRPr="0016147A">
        <w:t>-test statistic was 38.57.</w:t>
      </w:r>
    </w:p>
    <w:p w:rsidR="005C74E7" w:rsidRPr="0016147A" w:rsidRDefault="005C74E7" w:rsidP="00241AE3">
      <w:pPr>
        <w:spacing w:after="240"/>
      </w:pPr>
      <w:r w:rsidRPr="0016147A">
        <w:t>For the data in Table (b) in the conceptual understanding of one-way ANOVA video, MST=</w:t>
      </w:r>
      <w:r w:rsidR="006F07B9" w:rsidRPr="0016147A">
        <w:t xml:space="preserve"> </w:t>
      </w:r>
      <w:r w:rsidRPr="0016147A">
        <w:t>45,</w:t>
      </w:r>
      <w:r w:rsidR="006F07B9" w:rsidRPr="0016147A">
        <w:t xml:space="preserve"> </w:t>
      </w:r>
      <w:r w:rsidRPr="0016147A">
        <w:t>MSE</w:t>
      </w:r>
      <w:r w:rsidR="006F07B9" w:rsidRPr="0016147A">
        <w:t xml:space="preserve"> </w:t>
      </w:r>
      <w:r w:rsidRPr="0016147A">
        <w:t>=</w:t>
      </w:r>
      <w:r w:rsidR="006F07B9" w:rsidRPr="0016147A">
        <w:t xml:space="preserve"> </w:t>
      </w:r>
      <w:r w:rsidRPr="0016147A">
        <w:t xml:space="preserve">24.1667, and the </w:t>
      </w:r>
      <w:r w:rsidRPr="0016147A">
        <w:rPr>
          <w:i/>
        </w:rPr>
        <w:t>F</w:t>
      </w:r>
      <w:r w:rsidRPr="0016147A">
        <w:t>-test statistic is 1.86.</w:t>
      </w:r>
    </w:p>
    <w:p w:rsidR="005C74E7" w:rsidRPr="0016147A" w:rsidRDefault="005C74E7" w:rsidP="00241AE3">
      <w:pPr>
        <w:spacing w:after="0"/>
      </w:pPr>
      <w:r w:rsidRPr="0016147A">
        <w:t xml:space="preserve">The small </w:t>
      </w:r>
      <w:r w:rsidRPr="0016147A">
        <w:rPr>
          <w:i/>
        </w:rPr>
        <w:t>F</w:t>
      </w:r>
      <w:r w:rsidRPr="0016147A">
        <w:t xml:space="preserve">-test statistic for the data in Table (b) is evidence that the sample means for each treatment do not differ. </w:t>
      </w:r>
    </w:p>
    <w:p w:rsidR="005C74E7" w:rsidRPr="0016147A" w:rsidRDefault="005C74E7" w:rsidP="006F07B9">
      <w:pPr>
        <w:pStyle w:val="location"/>
      </w:pPr>
      <w:r w:rsidRPr="0016147A">
        <w:t>Objective 2, Page 9</w:t>
      </w:r>
    </w:p>
    <w:p w:rsidR="007B1ED6" w:rsidRPr="0016147A" w:rsidRDefault="00F51C00" w:rsidP="00812D91">
      <w:r w:rsidRPr="0016147A">
        <w:rPr>
          <w:b/>
        </w:rPr>
        <w:t>Note:</w:t>
      </w:r>
      <w:r w:rsidRPr="0016147A">
        <w:t xml:space="preserve"> The computations that lead to the </w:t>
      </w:r>
      <w:r w:rsidRPr="0016147A">
        <w:rPr>
          <w:i/>
        </w:rPr>
        <w:t>F</w:t>
      </w:r>
      <w:r w:rsidRPr="0016147A">
        <w:t>-test statistic are presented in Table 2, which is called an ANOVA table.</w:t>
      </w:r>
    </w:p>
    <w:p w:rsidR="00F51C00" w:rsidRPr="0016147A" w:rsidRDefault="00F51C00" w:rsidP="00BB614C">
      <w:pPr>
        <w:spacing w:after="0"/>
        <w:rPr>
          <w:b/>
        </w:rPr>
      </w:pPr>
      <w:r w:rsidRPr="0016147A">
        <w:rPr>
          <w:b/>
        </w:rPr>
        <w:t>Table 2</w:t>
      </w:r>
    </w:p>
    <w:tbl>
      <w:tblPr>
        <w:tblStyle w:val="TableGrid"/>
        <w:tblW w:w="9350" w:type="dxa"/>
        <w:tblLook w:val="04A0" w:firstRow="1" w:lastRow="0" w:firstColumn="1" w:lastColumn="0" w:noHBand="0" w:noVBand="1"/>
        <w:tblDescription w:val="Table with five column headers and three row headers. Column headers: Source of Variation, Sum of Squares, Degrees of Freedom, Mean Squares, and F-Test Statistic. Row headers: Treatment, Error, and Total."/>
      </w:tblPr>
      <w:tblGrid>
        <w:gridCol w:w="1870"/>
        <w:gridCol w:w="1870"/>
        <w:gridCol w:w="1870"/>
        <w:gridCol w:w="1870"/>
        <w:gridCol w:w="1870"/>
      </w:tblGrid>
      <w:tr w:rsidR="00A15982" w:rsidRPr="0016147A" w:rsidTr="004F1135">
        <w:trPr>
          <w:tblHeader/>
        </w:trPr>
        <w:tc>
          <w:tcPr>
            <w:tcW w:w="1870" w:type="dxa"/>
          </w:tcPr>
          <w:p w:rsidR="00A15982" w:rsidRPr="0016147A" w:rsidRDefault="00A15982" w:rsidP="00A15982">
            <w:pPr>
              <w:rPr>
                <w:b/>
                <w:bCs/>
              </w:rPr>
            </w:pPr>
            <w:r w:rsidRPr="0016147A">
              <w:rPr>
                <w:b/>
                <w:bCs/>
              </w:rPr>
              <w:t>Source of Variation</w:t>
            </w:r>
          </w:p>
        </w:tc>
        <w:tc>
          <w:tcPr>
            <w:tcW w:w="1870" w:type="dxa"/>
          </w:tcPr>
          <w:p w:rsidR="00A15982" w:rsidRPr="0016147A" w:rsidRDefault="00A15982" w:rsidP="00A15982">
            <w:pPr>
              <w:rPr>
                <w:b/>
                <w:bCs/>
              </w:rPr>
            </w:pPr>
            <w:r w:rsidRPr="0016147A">
              <w:rPr>
                <w:b/>
                <w:bCs/>
              </w:rPr>
              <w:t>Sum of Squares</w:t>
            </w:r>
          </w:p>
        </w:tc>
        <w:tc>
          <w:tcPr>
            <w:tcW w:w="1870" w:type="dxa"/>
          </w:tcPr>
          <w:p w:rsidR="00A15982" w:rsidRPr="0016147A" w:rsidRDefault="00A15982" w:rsidP="00A15982">
            <w:pPr>
              <w:rPr>
                <w:b/>
                <w:bCs/>
              </w:rPr>
            </w:pPr>
            <w:r w:rsidRPr="0016147A">
              <w:rPr>
                <w:b/>
                <w:bCs/>
              </w:rPr>
              <w:t>Degrees of Freedom</w:t>
            </w:r>
          </w:p>
        </w:tc>
        <w:tc>
          <w:tcPr>
            <w:tcW w:w="1870" w:type="dxa"/>
          </w:tcPr>
          <w:p w:rsidR="00A15982" w:rsidRPr="0016147A" w:rsidRDefault="00A15982" w:rsidP="00A15982">
            <w:pPr>
              <w:rPr>
                <w:b/>
                <w:bCs/>
              </w:rPr>
            </w:pPr>
            <w:r w:rsidRPr="0016147A">
              <w:rPr>
                <w:b/>
                <w:bCs/>
              </w:rPr>
              <w:t>Mean Squares</w:t>
            </w:r>
          </w:p>
        </w:tc>
        <w:tc>
          <w:tcPr>
            <w:tcW w:w="1870" w:type="dxa"/>
          </w:tcPr>
          <w:p w:rsidR="00A15982" w:rsidRPr="0016147A" w:rsidRDefault="00A15982" w:rsidP="00A15982">
            <w:pPr>
              <w:rPr>
                <w:b/>
                <w:bCs/>
              </w:rPr>
            </w:pPr>
            <w:r w:rsidRPr="0016147A">
              <w:rPr>
                <w:b/>
                <w:bCs/>
                <w:i/>
              </w:rPr>
              <w:t>F</w:t>
            </w:r>
            <w:r w:rsidRPr="0016147A">
              <w:rPr>
                <w:b/>
                <w:bCs/>
              </w:rPr>
              <w:t>-Test Statistic</w:t>
            </w:r>
          </w:p>
        </w:tc>
      </w:tr>
      <w:tr w:rsidR="00A15982" w:rsidRPr="0016147A" w:rsidTr="00A15982">
        <w:tc>
          <w:tcPr>
            <w:tcW w:w="1870" w:type="dxa"/>
          </w:tcPr>
          <w:p w:rsidR="00A15982" w:rsidRPr="0016147A" w:rsidRDefault="00A15982" w:rsidP="00A15982">
            <w:r w:rsidRPr="0016147A">
              <w:t>Treatment</w:t>
            </w:r>
          </w:p>
        </w:tc>
        <w:tc>
          <w:tcPr>
            <w:tcW w:w="1870" w:type="dxa"/>
          </w:tcPr>
          <w:p w:rsidR="00A15982" w:rsidRPr="0016147A" w:rsidRDefault="004E502D" w:rsidP="00A15982">
            <w:pPr>
              <w:rPr>
                <w:i/>
              </w:rPr>
            </w:pPr>
            <w:r w:rsidRPr="0016147A">
              <w:rPr>
                <w:i/>
                <w:lang w:bidi="ar-SA"/>
              </w:rPr>
              <w:t>SST</w:t>
            </w:r>
          </w:p>
        </w:tc>
        <w:tc>
          <w:tcPr>
            <w:tcW w:w="1870" w:type="dxa"/>
          </w:tcPr>
          <w:p w:rsidR="00A15982" w:rsidRPr="0016147A" w:rsidRDefault="00A41C17" w:rsidP="00A15982">
            <w:r w:rsidRPr="0016147A">
              <w:rPr>
                <w:i/>
                <w:position w:val="-6"/>
                <w:lang w:bidi="ar-SA"/>
              </w:rPr>
              <w:object w:dxaOrig="480" w:dyaOrig="279">
                <v:shape id="_x0000_i1029" type="#_x0000_t75" alt="k minus 1" style="width:23.75pt;height:14.25pt" o:ole="">
                  <v:imagedata r:id="rId21" o:title=""/>
                </v:shape>
                <o:OLEObject Type="Embed" ProgID="Equation.DSMT4" ShapeID="_x0000_i1029" DrawAspect="Content" ObjectID="_1607958284" r:id="rId22"/>
              </w:object>
            </w:r>
          </w:p>
        </w:tc>
        <w:tc>
          <w:tcPr>
            <w:tcW w:w="1870" w:type="dxa"/>
          </w:tcPr>
          <w:p w:rsidR="00A15982" w:rsidRPr="0016147A" w:rsidRDefault="00860E62" w:rsidP="00A15982">
            <w:r w:rsidRPr="0016147A">
              <w:rPr>
                <w:i/>
                <w:position w:val="-24"/>
                <w:lang w:bidi="ar-SA"/>
              </w:rPr>
              <w:object w:dxaOrig="1260" w:dyaOrig="620">
                <v:shape id="_x0000_i1030" type="#_x0000_t75" alt="MST equals fraction numerator SST divided by denominator k minus 1 end fraction" style="width:63.15pt;height:31.25pt" o:ole="">
                  <v:imagedata r:id="rId23" o:title=""/>
                </v:shape>
                <o:OLEObject Type="Embed" ProgID="Equation.DSMT4" ShapeID="_x0000_i1030" DrawAspect="Content" ObjectID="_1607958285" r:id="rId24"/>
              </w:object>
            </w:r>
          </w:p>
        </w:tc>
        <w:tc>
          <w:tcPr>
            <w:tcW w:w="1870" w:type="dxa"/>
          </w:tcPr>
          <w:p w:rsidR="00A15982" w:rsidRPr="0016147A" w:rsidRDefault="0016509B" w:rsidP="00A15982">
            <w:r w:rsidRPr="0016147A">
              <w:rPr>
                <w:i/>
                <w:position w:val="-24"/>
                <w:lang w:bidi="ar-SA"/>
              </w:rPr>
              <w:object w:dxaOrig="1060" w:dyaOrig="620">
                <v:shape id="_x0000_i1031" type="#_x0000_t75" alt="F subscript 0 equals MST divided by MSE" style="width:52.3pt;height:31.25pt" o:ole="">
                  <v:imagedata r:id="rId25" o:title=""/>
                </v:shape>
                <o:OLEObject Type="Embed" ProgID="Equation.DSMT4" ShapeID="_x0000_i1031" DrawAspect="Content" ObjectID="_1607958286" r:id="rId26"/>
              </w:object>
            </w:r>
          </w:p>
        </w:tc>
      </w:tr>
      <w:tr w:rsidR="00A15982" w:rsidRPr="0016147A" w:rsidTr="00A15982">
        <w:tc>
          <w:tcPr>
            <w:tcW w:w="1870" w:type="dxa"/>
          </w:tcPr>
          <w:p w:rsidR="00A15982" w:rsidRPr="0016147A" w:rsidRDefault="00A15982" w:rsidP="00A15982">
            <w:r w:rsidRPr="0016147A">
              <w:t>Error</w:t>
            </w:r>
          </w:p>
        </w:tc>
        <w:tc>
          <w:tcPr>
            <w:tcW w:w="1870" w:type="dxa"/>
          </w:tcPr>
          <w:p w:rsidR="00A15982" w:rsidRPr="0016147A" w:rsidRDefault="00367D79" w:rsidP="00A15982">
            <w:pPr>
              <w:rPr>
                <w:i/>
              </w:rPr>
            </w:pPr>
            <w:r w:rsidRPr="0016147A">
              <w:rPr>
                <w:i/>
                <w:lang w:bidi="ar-SA"/>
              </w:rPr>
              <w:t>SSE</w:t>
            </w:r>
          </w:p>
        </w:tc>
        <w:tc>
          <w:tcPr>
            <w:tcW w:w="1870" w:type="dxa"/>
          </w:tcPr>
          <w:p w:rsidR="00A15982" w:rsidRPr="0016147A" w:rsidRDefault="00CB7E27" w:rsidP="00A15982">
            <w:r w:rsidRPr="0016147A">
              <w:rPr>
                <w:i/>
                <w:position w:val="-6"/>
                <w:lang w:bidi="ar-SA"/>
              </w:rPr>
              <w:object w:dxaOrig="620" w:dyaOrig="279">
                <v:shape id="_x0000_i1032" type="#_x0000_t75" alt="N minus k" style="width:31.25pt;height:14.25pt" o:ole="">
                  <v:imagedata r:id="rId27" o:title=""/>
                </v:shape>
                <o:OLEObject Type="Embed" ProgID="Equation.DSMT4" ShapeID="_x0000_i1032" DrawAspect="Content" ObjectID="_1607958287" r:id="rId28"/>
              </w:object>
            </w:r>
          </w:p>
        </w:tc>
        <w:tc>
          <w:tcPr>
            <w:tcW w:w="1870" w:type="dxa"/>
          </w:tcPr>
          <w:p w:rsidR="00A15982" w:rsidRPr="0016147A" w:rsidRDefault="00AE460E" w:rsidP="00A15982">
            <w:r w:rsidRPr="0016147A">
              <w:rPr>
                <w:i/>
                <w:position w:val="-24"/>
                <w:lang w:bidi="ar-SA"/>
              </w:rPr>
              <w:object w:dxaOrig="1380" w:dyaOrig="620">
                <v:shape id="_x0000_i1033" type="#_x0000_t75" alt="MST equals fraction numerator SSE divided by denominator N minus k end fraction" style="width:68.6pt;height:31.25pt" o:ole="">
                  <v:imagedata r:id="rId29" o:title=""/>
                </v:shape>
                <o:OLEObject Type="Embed" ProgID="Equation.DSMT4" ShapeID="_x0000_i1033" DrawAspect="Content" ObjectID="_1607958288" r:id="rId30"/>
              </w:object>
            </w:r>
          </w:p>
        </w:tc>
        <w:tc>
          <w:tcPr>
            <w:tcW w:w="1870" w:type="dxa"/>
          </w:tcPr>
          <w:p w:rsidR="00A15982" w:rsidRPr="0016147A" w:rsidRDefault="00A15982" w:rsidP="00A15982"/>
        </w:tc>
      </w:tr>
      <w:tr w:rsidR="00A15982" w:rsidRPr="0016147A" w:rsidTr="00A15982">
        <w:tc>
          <w:tcPr>
            <w:tcW w:w="1870" w:type="dxa"/>
          </w:tcPr>
          <w:p w:rsidR="00A15982" w:rsidRPr="0016147A" w:rsidRDefault="00A15982" w:rsidP="00A15982">
            <w:r w:rsidRPr="0016147A">
              <w:t>Total</w:t>
            </w:r>
          </w:p>
        </w:tc>
        <w:tc>
          <w:tcPr>
            <w:tcW w:w="1870" w:type="dxa"/>
          </w:tcPr>
          <w:p w:rsidR="00A15982" w:rsidRPr="0016147A" w:rsidRDefault="00B31570" w:rsidP="00A15982">
            <w:r w:rsidRPr="0016147A">
              <w:rPr>
                <w:i/>
                <w:lang w:bidi="ar-SA"/>
              </w:rPr>
              <w:t>SST + SSE</w:t>
            </w:r>
          </w:p>
        </w:tc>
        <w:tc>
          <w:tcPr>
            <w:tcW w:w="1870" w:type="dxa"/>
          </w:tcPr>
          <w:p w:rsidR="00A15982" w:rsidRPr="0016147A" w:rsidRDefault="00F34A67" w:rsidP="00A15982">
            <w:r w:rsidRPr="0016147A">
              <w:rPr>
                <w:i/>
                <w:position w:val="-6"/>
                <w:lang w:bidi="ar-SA"/>
              </w:rPr>
              <w:object w:dxaOrig="560" w:dyaOrig="279">
                <v:shape id="_x0000_i1034" type="#_x0000_t75" alt="N minus 1" style="width:27.85pt;height:14.25pt" o:ole="">
                  <v:imagedata r:id="rId31" o:title=""/>
                </v:shape>
                <o:OLEObject Type="Embed" ProgID="Equation.DSMT4" ShapeID="_x0000_i1034" DrawAspect="Content" ObjectID="_1607958289" r:id="rId32"/>
              </w:object>
            </w:r>
          </w:p>
        </w:tc>
        <w:tc>
          <w:tcPr>
            <w:tcW w:w="1870" w:type="dxa"/>
          </w:tcPr>
          <w:p w:rsidR="00A15982" w:rsidRPr="0016147A" w:rsidRDefault="00A15982" w:rsidP="00A15982"/>
        </w:tc>
        <w:tc>
          <w:tcPr>
            <w:tcW w:w="1870" w:type="dxa"/>
          </w:tcPr>
          <w:p w:rsidR="00A15982" w:rsidRPr="0016147A" w:rsidRDefault="00A15982" w:rsidP="00A15982"/>
        </w:tc>
      </w:tr>
    </w:tbl>
    <w:p w:rsidR="005C74E7" w:rsidRPr="0016147A" w:rsidRDefault="005C74E7" w:rsidP="006F07B9">
      <w:pPr>
        <w:pStyle w:val="location"/>
      </w:pPr>
      <w:r w:rsidRPr="0016147A">
        <w:t>Objective 2, Page 11</w:t>
      </w:r>
    </w:p>
    <w:p w:rsidR="00A12A22" w:rsidRPr="0016147A" w:rsidRDefault="00A12A22" w:rsidP="0094013E">
      <w:pPr>
        <w:pStyle w:val="linespace"/>
        <w:numPr>
          <w:ilvl w:val="0"/>
          <w:numId w:val="3"/>
        </w:numPr>
        <w:ind w:left="357" w:hanging="357"/>
      </w:pPr>
      <w:r w:rsidRPr="0016147A">
        <w:t>State the decision rule for a one-way ANOVA test.</w:t>
      </w:r>
    </w:p>
    <w:p w:rsidR="005C74E7" w:rsidRPr="0016147A" w:rsidRDefault="005C74E7" w:rsidP="006F07B9">
      <w:pPr>
        <w:pStyle w:val="location"/>
      </w:pPr>
      <w:r w:rsidRPr="0016147A">
        <w:t>Objective 2, Page 12</w:t>
      </w:r>
    </w:p>
    <w:p w:rsidR="00E141A4" w:rsidRPr="0016147A" w:rsidRDefault="00E141A4" w:rsidP="006F07B9">
      <w:pPr>
        <w:pBdr>
          <w:top w:val="single" w:sz="4" w:space="1" w:color="auto"/>
          <w:left w:val="single" w:sz="4" w:space="4" w:color="auto"/>
          <w:right w:val="single" w:sz="4" w:space="4" w:color="auto"/>
        </w:pBdr>
        <w:autoSpaceDE w:val="0"/>
        <w:autoSpaceDN w:val="0"/>
        <w:adjustRightInd w:val="0"/>
        <w:spacing w:after="0" w:line="240" w:lineRule="auto"/>
        <w:rPr>
          <w:b/>
          <w:i/>
        </w:rPr>
      </w:pPr>
      <w:r w:rsidRPr="0016147A">
        <w:rPr>
          <w:b/>
          <w:shd w:val="clear" w:color="auto" w:fill="BFBFBF"/>
        </w:rPr>
        <w:t xml:space="preserve">Example </w:t>
      </w:r>
      <w:r w:rsidR="00580EE5" w:rsidRPr="0016147A">
        <w:rPr>
          <w:b/>
          <w:shd w:val="clear" w:color="auto" w:fill="BFBFBF"/>
        </w:rPr>
        <w:t>3</w:t>
      </w:r>
      <w:r w:rsidRPr="0016147A">
        <w:rPr>
          <w:b/>
        </w:rPr>
        <w:tab/>
      </w:r>
      <w:r w:rsidR="00444249" w:rsidRPr="0016147A">
        <w:rPr>
          <w:b/>
          <w:i/>
        </w:rPr>
        <w:t>Performing One-Way ANOVA Using Technology</w:t>
      </w:r>
    </w:p>
    <w:p w:rsidR="00444249" w:rsidRPr="0016147A" w:rsidRDefault="00444249" w:rsidP="006F07B9">
      <w:pPr>
        <w:pBdr>
          <w:top w:val="single" w:sz="4" w:space="1" w:color="auto"/>
          <w:left w:val="single" w:sz="4" w:space="4" w:color="auto"/>
          <w:right w:val="single" w:sz="4" w:space="4" w:color="auto"/>
        </w:pBdr>
        <w:tabs>
          <w:tab w:val="left" w:pos="720"/>
          <w:tab w:val="left" w:pos="3600"/>
        </w:tabs>
        <w:autoSpaceDE w:val="0"/>
        <w:autoSpaceDN w:val="0"/>
        <w:adjustRightInd w:val="0"/>
        <w:spacing w:after="0" w:line="240" w:lineRule="auto"/>
      </w:pPr>
      <w:proofErr w:type="spellStart"/>
      <w:r w:rsidRPr="0016147A">
        <w:t>Prosthodentists</w:t>
      </w:r>
      <w:proofErr w:type="spellEnd"/>
      <w:r w:rsidRPr="0016147A">
        <w:t xml:space="preserve"> specialize in the restoration of oral function, including the use of dental implants, veneers, dentures, and crowns. Since repairing chipped veneer is less costly and time consuming than complete restoration, a researcher wanted to compare the shear bond strength of different kits for repairs of chipped porcelain veneer in fixed prosthodontics. He randomly divided 20 porcelain specimens into four treatment groups. Group 1 specimens used the </w:t>
      </w:r>
      <w:proofErr w:type="spellStart"/>
      <w:r w:rsidRPr="0016147A">
        <w:t>Cojet</w:t>
      </w:r>
      <w:proofErr w:type="spellEnd"/>
      <w:r w:rsidRPr="0016147A">
        <w:t xml:space="preserve"> system, group 2 used the </w:t>
      </w:r>
      <w:proofErr w:type="spellStart"/>
      <w:r w:rsidRPr="0016147A">
        <w:t>Silistor</w:t>
      </w:r>
      <w:proofErr w:type="spellEnd"/>
      <w:r w:rsidRPr="0016147A">
        <w:t xml:space="preserve"> system, group 3 used the </w:t>
      </w:r>
      <w:proofErr w:type="spellStart"/>
      <w:r w:rsidRPr="0016147A">
        <w:t>Cimara</w:t>
      </w:r>
      <w:proofErr w:type="spellEnd"/>
      <w:r w:rsidRPr="0016147A">
        <w:t xml:space="preserve"> system, and group 4 specimens used the Ceramic Repair system. At the conclusion of the study, shear bond strength (in megapascals, MPa) was measured according to ISO 10477. The data in Table 3 are based on the results of the study. Do the data suggest that there is a difference in the mean shear bond strength among the four</w:t>
      </w:r>
      <w:r w:rsidR="00A74192" w:rsidRPr="0016147A">
        <w:t xml:space="preserve"> treatment groups at the </w:t>
      </w:r>
      <w:r w:rsidR="000347C5" w:rsidRPr="0016147A">
        <w:rPr>
          <w:position w:val="-6"/>
        </w:rPr>
        <w:object w:dxaOrig="820" w:dyaOrig="260">
          <v:shape id="_x0000_i1035" type="#_x0000_t75" alt="alpha equals 0.05" style="width:40.75pt;height:12.9pt" o:ole="">
            <v:imagedata r:id="rId33" o:title=""/>
          </v:shape>
          <o:OLEObject Type="Embed" ProgID="Equation.DSMT4" ShapeID="_x0000_i1035" DrawAspect="Content" ObjectID="_1607958290" r:id="rId34"/>
        </w:object>
      </w:r>
      <w:r w:rsidRPr="0016147A">
        <w:t xml:space="preserve"> level of significance?</w:t>
      </w:r>
    </w:p>
    <w:p w:rsidR="00444249" w:rsidRPr="0016147A" w:rsidRDefault="00444249" w:rsidP="006F07B9">
      <w:pPr>
        <w:pBdr>
          <w:left w:val="single" w:sz="6" w:space="4" w:color="auto"/>
          <w:right w:val="single" w:sz="6" w:space="4" w:color="auto"/>
        </w:pBdr>
        <w:tabs>
          <w:tab w:val="left" w:pos="720"/>
          <w:tab w:val="left" w:pos="3600"/>
        </w:tabs>
        <w:autoSpaceDE w:val="0"/>
        <w:autoSpaceDN w:val="0"/>
        <w:adjustRightInd w:val="0"/>
        <w:spacing w:before="240" w:after="240" w:line="240" w:lineRule="auto"/>
        <w:rPr>
          <w:b/>
        </w:rPr>
      </w:pPr>
      <w:r w:rsidRPr="0016147A">
        <w:rPr>
          <w:b/>
        </w:rPr>
        <w:t xml:space="preserve">Table </w:t>
      </w:r>
      <w:r w:rsidR="00DA02A2" w:rsidRPr="0016147A">
        <w:rPr>
          <w:b/>
        </w:rPr>
        <w:t>3</w:t>
      </w:r>
      <w:r w:rsidRPr="0016147A">
        <w:rPr>
          <w:b/>
        </w:rPr>
        <w:t xml:space="preserve"> </w:t>
      </w:r>
    </w:p>
    <w:tbl>
      <w:tblPr>
        <w:tblStyle w:val="TableGrid"/>
        <w:tblW w:w="9540"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Cojet, Silistor, Cimara, and Ceramic Repair."/>
      </w:tblPr>
      <w:tblGrid>
        <w:gridCol w:w="1538"/>
        <w:gridCol w:w="1440"/>
        <w:gridCol w:w="1440"/>
        <w:gridCol w:w="5122"/>
      </w:tblGrid>
      <w:tr w:rsidR="006F07B9" w:rsidRPr="0016147A" w:rsidTr="004F1135">
        <w:trPr>
          <w:tblHeader/>
        </w:trPr>
        <w:tc>
          <w:tcPr>
            <w:tcW w:w="1538" w:type="dxa"/>
            <w:tcBorders>
              <w:left w:val="single" w:sz="6" w:space="0" w:color="auto"/>
            </w:tcBorders>
          </w:tcPr>
          <w:p w:rsidR="006F07B9" w:rsidRPr="0016147A" w:rsidRDefault="006F07B9" w:rsidP="00873E95">
            <w:pPr>
              <w:autoSpaceDE w:val="0"/>
              <w:autoSpaceDN w:val="0"/>
              <w:adjustRightInd w:val="0"/>
              <w:spacing w:after="0" w:line="240" w:lineRule="auto"/>
              <w:rPr>
                <w:b/>
                <w:bCs/>
              </w:rPr>
            </w:pPr>
            <w:proofErr w:type="spellStart"/>
            <w:r w:rsidRPr="0016147A">
              <w:rPr>
                <w:b/>
                <w:bCs/>
              </w:rPr>
              <w:lastRenderedPageBreak/>
              <w:t>Cojet</w:t>
            </w:r>
            <w:proofErr w:type="spellEnd"/>
          </w:p>
        </w:tc>
        <w:tc>
          <w:tcPr>
            <w:tcW w:w="1440" w:type="dxa"/>
          </w:tcPr>
          <w:p w:rsidR="006F07B9" w:rsidRPr="0016147A" w:rsidRDefault="006F07B9" w:rsidP="00873E95">
            <w:pPr>
              <w:autoSpaceDE w:val="0"/>
              <w:autoSpaceDN w:val="0"/>
              <w:adjustRightInd w:val="0"/>
              <w:spacing w:after="0" w:line="240" w:lineRule="auto"/>
              <w:rPr>
                <w:b/>
                <w:bCs/>
              </w:rPr>
            </w:pPr>
            <w:proofErr w:type="spellStart"/>
            <w:r w:rsidRPr="0016147A">
              <w:rPr>
                <w:b/>
                <w:bCs/>
              </w:rPr>
              <w:t>Silistor</w:t>
            </w:r>
            <w:proofErr w:type="spellEnd"/>
          </w:p>
        </w:tc>
        <w:tc>
          <w:tcPr>
            <w:tcW w:w="1440" w:type="dxa"/>
          </w:tcPr>
          <w:p w:rsidR="006F07B9" w:rsidRPr="0016147A" w:rsidRDefault="006F07B9" w:rsidP="00873E95">
            <w:pPr>
              <w:autoSpaceDE w:val="0"/>
              <w:autoSpaceDN w:val="0"/>
              <w:adjustRightInd w:val="0"/>
              <w:spacing w:after="0" w:line="240" w:lineRule="auto"/>
              <w:rPr>
                <w:b/>
                <w:bCs/>
              </w:rPr>
            </w:pPr>
            <w:proofErr w:type="spellStart"/>
            <w:r w:rsidRPr="0016147A">
              <w:rPr>
                <w:b/>
                <w:bCs/>
              </w:rPr>
              <w:t>Cimara</w:t>
            </w:r>
            <w:proofErr w:type="spellEnd"/>
          </w:p>
        </w:tc>
        <w:tc>
          <w:tcPr>
            <w:tcW w:w="5122" w:type="dxa"/>
            <w:tcBorders>
              <w:right w:val="single" w:sz="6" w:space="0" w:color="auto"/>
            </w:tcBorders>
          </w:tcPr>
          <w:p w:rsidR="006F07B9" w:rsidRPr="0016147A" w:rsidRDefault="006F07B9" w:rsidP="00873E95">
            <w:pPr>
              <w:autoSpaceDE w:val="0"/>
              <w:autoSpaceDN w:val="0"/>
              <w:adjustRightInd w:val="0"/>
              <w:spacing w:after="0" w:line="240" w:lineRule="auto"/>
              <w:rPr>
                <w:b/>
                <w:bCs/>
              </w:rPr>
            </w:pPr>
            <w:r w:rsidRPr="0016147A">
              <w:rPr>
                <w:b/>
                <w:bCs/>
              </w:rPr>
              <w:t>Ceramic Repair</w:t>
            </w:r>
          </w:p>
        </w:tc>
      </w:tr>
      <w:tr w:rsidR="006F07B9" w:rsidRPr="0016147A" w:rsidTr="006F07B9">
        <w:tc>
          <w:tcPr>
            <w:tcW w:w="1538" w:type="dxa"/>
            <w:tcBorders>
              <w:left w:val="single" w:sz="6" w:space="0" w:color="auto"/>
            </w:tcBorders>
          </w:tcPr>
          <w:p w:rsidR="006F07B9" w:rsidRPr="0016147A" w:rsidRDefault="006F07B9" w:rsidP="00873E95">
            <w:pPr>
              <w:autoSpaceDE w:val="0"/>
              <w:autoSpaceDN w:val="0"/>
              <w:adjustRightInd w:val="0"/>
              <w:spacing w:after="0" w:line="240" w:lineRule="auto"/>
            </w:pPr>
            <w:r w:rsidRPr="0016147A">
              <w:t>15.4</w:t>
            </w:r>
          </w:p>
        </w:tc>
        <w:tc>
          <w:tcPr>
            <w:tcW w:w="1440" w:type="dxa"/>
          </w:tcPr>
          <w:p w:rsidR="006F07B9" w:rsidRPr="0016147A" w:rsidRDefault="006F07B9" w:rsidP="00873E95">
            <w:pPr>
              <w:autoSpaceDE w:val="0"/>
              <w:autoSpaceDN w:val="0"/>
              <w:adjustRightInd w:val="0"/>
              <w:spacing w:after="0" w:line="240" w:lineRule="auto"/>
            </w:pPr>
            <w:r w:rsidRPr="0016147A">
              <w:t>17.2</w:t>
            </w:r>
          </w:p>
        </w:tc>
        <w:tc>
          <w:tcPr>
            <w:tcW w:w="1440" w:type="dxa"/>
          </w:tcPr>
          <w:p w:rsidR="006F07B9" w:rsidRPr="0016147A" w:rsidRDefault="006F07B9" w:rsidP="00873E95">
            <w:pPr>
              <w:autoSpaceDE w:val="0"/>
              <w:autoSpaceDN w:val="0"/>
              <w:adjustRightInd w:val="0"/>
              <w:spacing w:after="0" w:line="240" w:lineRule="auto"/>
            </w:pPr>
            <w:r w:rsidRPr="0016147A">
              <w:t>5.5</w:t>
            </w:r>
          </w:p>
        </w:tc>
        <w:tc>
          <w:tcPr>
            <w:tcW w:w="5122" w:type="dxa"/>
            <w:tcBorders>
              <w:right w:val="single" w:sz="6" w:space="0" w:color="auto"/>
            </w:tcBorders>
          </w:tcPr>
          <w:p w:rsidR="006F07B9" w:rsidRPr="0016147A" w:rsidRDefault="006F07B9" w:rsidP="00873E95">
            <w:pPr>
              <w:autoSpaceDE w:val="0"/>
              <w:autoSpaceDN w:val="0"/>
              <w:adjustRightInd w:val="0"/>
              <w:spacing w:after="0" w:line="240" w:lineRule="auto"/>
            </w:pPr>
            <w:r w:rsidRPr="0016147A">
              <w:t>11.0</w:t>
            </w:r>
          </w:p>
        </w:tc>
      </w:tr>
      <w:tr w:rsidR="006F07B9" w:rsidRPr="0016147A" w:rsidTr="006F07B9">
        <w:tc>
          <w:tcPr>
            <w:tcW w:w="1538" w:type="dxa"/>
            <w:tcBorders>
              <w:left w:val="single" w:sz="6" w:space="0" w:color="auto"/>
            </w:tcBorders>
          </w:tcPr>
          <w:p w:rsidR="006F07B9" w:rsidRPr="0016147A" w:rsidRDefault="006F07B9" w:rsidP="00873E95">
            <w:pPr>
              <w:autoSpaceDE w:val="0"/>
              <w:autoSpaceDN w:val="0"/>
              <w:adjustRightInd w:val="0"/>
              <w:spacing w:after="0" w:line="240" w:lineRule="auto"/>
            </w:pPr>
            <w:r w:rsidRPr="0016147A">
              <w:t>12.9</w:t>
            </w:r>
          </w:p>
        </w:tc>
        <w:tc>
          <w:tcPr>
            <w:tcW w:w="1440" w:type="dxa"/>
          </w:tcPr>
          <w:p w:rsidR="006F07B9" w:rsidRPr="0016147A" w:rsidRDefault="006F07B9" w:rsidP="00873E95">
            <w:pPr>
              <w:autoSpaceDE w:val="0"/>
              <w:autoSpaceDN w:val="0"/>
              <w:adjustRightInd w:val="0"/>
              <w:spacing w:after="0" w:line="240" w:lineRule="auto"/>
            </w:pPr>
            <w:r w:rsidRPr="0016147A">
              <w:t>14.3</w:t>
            </w:r>
          </w:p>
        </w:tc>
        <w:tc>
          <w:tcPr>
            <w:tcW w:w="1440" w:type="dxa"/>
          </w:tcPr>
          <w:p w:rsidR="006F07B9" w:rsidRPr="0016147A" w:rsidRDefault="006F07B9" w:rsidP="00873E95">
            <w:pPr>
              <w:autoSpaceDE w:val="0"/>
              <w:autoSpaceDN w:val="0"/>
              <w:adjustRightInd w:val="0"/>
              <w:spacing w:after="0" w:line="240" w:lineRule="auto"/>
            </w:pPr>
            <w:r w:rsidRPr="0016147A">
              <w:t>7.7</w:t>
            </w:r>
          </w:p>
        </w:tc>
        <w:tc>
          <w:tcPr>
            <w:tcW w:w="5122" w:type="dxa"/>
            <w:tcBorders>
              <w:right w:val="single" w:sz="6" w:space="0" w:color="auto"/>
            </w:tcBorders>
          </w:tcPr>
          <w:p w:rsidR="006F07B9" w:rsidRPr="0016147A" w:rsidRDefault="006F07B9" w:rsidP="00873E95">
            <w:pPr>
              <w:autoSpaceDE w:val="0"/>
              <w:autoSpaceDN w:val="0"/>
              <w:adjustRightInd w:val="0"/>
              <w:spacing w:after="0" w:line="240" w:lineRule="auto"/>
            </w:pPr>
            <w:r w:rsidRPr="0016147A">
              <w:t>12.4</w:t>
            </w:r>
          </w:p>
        </w:tc>
      </w:tr>
      <w:tr w:rsidR="006F07B9" w:rsidRPr="0016147A" w:rsidTr="006F07B9">
        <w:tc>
          <w:tcPr>
            <w:tcW w:w="1538" w:type="dxa"/>
            <w:tcBorders>
              <w:left w:val="single" w:sz="6" w:space="0" w:color="auto"/>
            </w:tcBorders>
          </w:tcPr>
          <w:p w:rsidR="006F07B9" w:rsidRPr="0016147A" w:rsidRDefault="006F07B9" w:rsidP="00873E95">
            <w:pPr>
              <w:autoSpaceDE w:val="0"/>
              <w:autoSpaceDN w:val="0"/>
              <w:adjustRightInd w:val="0"/>
              <w:spacing w:after="0" w:line="240" w:lineRule="auto"/>
            </w:pPr>
            <w:r w:rsidRPr="0016147A">
              <w:t>17.2</w:t>
            </w:r>
          </w:p>
        </w:tc>
        <w:tc>
          <w:tcPr>
            <w:tcW w:w="1440" w:type="dxa"/>
          </w:tcPr>
          <w:p w:rsidR="006F07B9" w:rsidRPr="0016147A" w:rsidRDefault="006F07B9" w:rsidP="00873E95">
            <w:pPr>
              <w:autoSpaceDE w:val="0"/>
              <w:autoSpaceDN w:val="0"/>
              <w:adjustRightInd w:val="0"/>
              <w:spacing w:after="0" w:line="240" w:lineRule="auto"/>
            </w:pPr>
            <w:r w:rsidRPr="0016147A">
              <w:t>17.6</w:t>
            </w:r>
          </w:p>
        </w:tc>
        <w:tc>
          <w:tcPr>
            <w:tcW w:w="1440" w:type="dxa"/>
          </w:tcPr>
          <w:p w:rsidR="006F07B9" w:rsidRPr="0016147A" w:rsidRDefault="006F07B9" w:rsidP="00873E95">
            <w:pPr>
              <w:autoSpaceDE w:val="0"/>
              <w:autoSpaceDN w:val="0"/>
              <w:adjustRightInd w:val="0"/>
              <w:spacing w:after="0" w:line="240" w:lineRule="auto"/>
            </w:pPr>
            <w:r w:rsidRPr="0016147A">
              <w:t>12.2</w:t>
            </w:r>
          </w:p>
        </w:tc>
        <w:tc>
          <w:tcPr>
            <w:tcW w:w="5122" w:type="dxa"/>
            <w:tcBorders>
              <w:right w:val="single" w:sz="6" w:space="0" w:color="auto"/>
            </w:tcBorders>
          </w:tcPr>
          <w:p w:rsidR="006F07B9" w:rsidRPr="0016147A" w:rsidRDefault="006F07B9" w:rsidP="00873E95">
            <w:pPr>
              <w:autoSpaceDE w:val="0"/>
              <w:autoSpaceDN w:val="0"/>
              <w:adjustRightInd w:val="0"/>
              <w:spacing w:after="0" w:line="240" w:lineRule="auto"/>
            </w:pPr>
            <w:r w:rsidRPr="0016147A">
              <w:t>13.5</w:t>
            </w:r>
          </w:p>
        </w:tc>
      </w:tr>
      <w:tr w:rsidR="006F07B9" w:rsidRPr="0016147A" w:rsidTr="006F07B9">
        <w:tc>
          <w:tcPr>
            <w:tcW w:w="1538" w:type="dxa"/>
            <w:tcBorders>
              <w:left w:val="single" w:sz="6" w:space="0" w:color="auto"/>
            </w:tcBorders>
          </w:tcPr>
          <w:p w:rsidR="006F07B9" w:rsidRPr="0016147A" w:rsidRDefault="006F07B9" w:rsidP="00873E95">
            <w:pPr>
              <w:autoSpaceDE w:val="0"/>
              <w:autoSpaceDN w:val="0"/>
              <w:adjustRightInd w:val="0"/>
              <w:spacing w:after="0" w:line="240" w:lineRule="auto"/>
            </w:pPr>
            <w:r w:rsidRPr="0016147A">
              <w:t>16.6</w:t>
            </w:r>
          </w:p>
        </w:tc>
        <w:tc>
          <w:tcPr>
            <w:tcW w:w="1440" w:type="dxa"/>
          </w:tcPr>
          <w:p w:rsidR="006F07B9" w:rsidRPr="0016147A" w:rsidRDefault="006F07B9" w:rsidP="00873E95">
            <w:pPr>
              <w:autoSpaceDE w:val="0"/>
              <w:autoSpaceDN w:val="0"/>
              <w:adjustRightInd w:val="0"/>
              <w:spacing w:after="0" w:line="240" w:lineRule="auto"/>
            </w:pPr>
            <w:r w:rsidRPr="0016147A">
              <w:t>21.6</w:t>
            </w:r>
          </w:p>
        </w:tc>
        <w:tc>
          <w:tcPr>
            <w:tcW w:w="1440" w:type="dxa"/>
          </w:tcPr>
          <w:p w:rsidR="006F07B9" w:rsidRPr="0016147A" w:rsidRDefault="006F07B9" w:rsidP="00873E95">
            <w:pPr>
              <w:autoSpaceDE w:val="0"/>
              <w:autoSpaceDN w:val="0"/>
              <w:adjustRightInd w:val="0"/>
              <w:spacing w:after="0" w:line="240" w:lineRule="auto"/>
            </w:pPr>
            <w:r w:rsidRPr="0016147A">
              <w:t>11.4</w:t>
            </w:r>
          </w:p>
        </w:tc>
        <w:tc>
          <w:tcPr>
            <w:tcW w:w="5122" w:type="dxa"/>
            <w:tcBorders>
              <w:right w:val="single" w:sz="6" w:space="0" w:color="auto"/>
            </w:tcBorders>
          </w:tcPr>
          <w:p w:rsidR="006F07B9" w:rsidRPr="0016147A" w:rsidRDefault="006F07B9" w:rsidP="00873E95">
            <w:pPr>
              <w:autoSpaceDE w:val="0"/>
              <w:autoSpaceDN w:val="0"/>
              <w:adjustRightInd w:val="0"/>
              <w:spacing w:after="0" w:line="240" w:lineRule="auto"/>
            </w:pPr>
            <w:r w:rsidRPr="0016147A">
              <w:t>8.9</w:t>
            </w:r>
          </w:p>
        </w:tc>
      </w:tr>
      <w:tr w:rsidR="006F07B9" w:rsidRPr="0016147A" w:rsidTr="006F07B9">
        <w:tc>
          <w:tcPr>
            <w:tcW w:w="1538" w:type="dxa"/>
            <w:tcBorders>
              <w:left w:val="single" w:sz="6" w:space="0" w:color="auto"/>
            </w:tcBorders>
          </w:tcPr>
          <w:p w:rsidR="006F07B9" w:rsidRPr="0016147A" w:rsidRDefault="006F07B9" w:rsidP="006F07B9">
            <w:pPr>
              <w:autoSpaceDE w:val="0"/>
              <w:autoSpaceDN w:val="0"/>
              <w:adjustRightInd w:val="0"/>
              <w:spacing w:after="0" w:line="480" w:lineRule="auto"/>
            </w:pPr>
            <w:r w:rsidRPr="0016147A">
              <w:t>19.3</w:t>
            </w:r>
          </w:p>
        </w:tc>
        <w:tc>
          <w:tcPr>
            <w:tcW w:w="1440" w:type="dxa"/>
          </w:tcPr>
          <w:p w:rsidR="006F07B9" w:rsidRPr="0016147A" w:rsidRDefault="006F07B9" w:rsidP="006F07B9">
            <w:pPr>
              <w:autoSpaceDE w:val="0"/>
              <w:autoSpaceDN w:val="0"/>
              <w:adjustRightInd w:val="0"/>
              <w:spacing w:after="0" w:line="480" w:lineRule="auto"/>
            </w:pPr>
            <w:r w:rsidRPr="0016147A">
              <w:t>17.5</w:t>
            </w:r>
          </w:p>
        </w:tc>
        <w:tc>
          <w:tcPr>
            <w:tcW w:w="1440" w:type="dxa"/>
          </w:tcPr>
          <w:p w:rsidR="006F07B9" w:rsidRPr="0016147A" w:rsidRDefault="006F07B9" w:rsidP="006F07B9">
            <w:pPr>
              <w:autoSpaceDE w:val="0"/>
              <w:autoSpaceDN w:val="0"/>
              <w:adjustRightInd w:val="0"/>
              <w:spacing w:after="0" w:line="480" w:lineRule="auto"/>
            </w:pPr>
            <w:r w:rsidRPr="0016147A">
              <w:t>16.4</w:t>
            </w:r>
          </w:p>
        </w:tc>
        <w:tc>
          <w:tcPr>
            <w:tcW w:w="5122" w:type="dxa"/>
            <w:tcBorders>
              <w:right w:val="single" w:sz="6" w:space="0" w:color="auto"/>
            </w:tcBorders>
          </w:tcPr>
          <w:p w:rsidR="006F07B9" w:rsidRPr="0016147A" w:rsidRDefault="006F07B9" w:rsidP="006F07B9">
            <w:pPr>
              <w:autoSpaceDE w:val="0"/>
              <w:autoSpaceDN w:val="0"/>
              <w:adjustRightInd w:val="0"/>
              <w:spacing w:after="0" w:line="480" w:lineRule="auto"/>
            </w:pPr>
            <w:r w:rsidRPr="0016147A">
              <w:t>8.1</w:t>
            </w:r>
          </w:p>
        </w:tc>
      </w:tr>
    </w:tbl>
    <w:p w:rsidR="00444249" w:rsidRPr="0016147A" w:rsidRDefault="00444249" w:rsidP="006F07B9">
      <w:pPr>
        <w:pBdr>
          <w:left w:val="single" w:sz="6" w:space="4" w:color="auto"/>
          <w:right w:val="single" w:sz="6" w:space="4" w:color="auto"/>
        </w:pBdr>
        <w:tabs>
          <w:tab w:val="left" w:pos="720"/>
          <w:tab w:val="left" w:pos="3600"/>
        </w:tabs>
        <w:autoSpaceDE w:val="0"/>
        <w:autoSpaceDN w:val="0"/>
        <w:adjustRightInd w:val="0"/>
        <w:spacing w:after="600" w:line="240" w:lineRule="auto"/>
      </w:pPr>
      <w:r w:rsidRPr="0016147A">
        <w:t xml:space="preserve">Data from P. </w:t>
      </w:r>
      <w:proofErr w:type="spellStart"/>
      <w:r w:rsidRPr="0016147A">
        <w:t>Schmage</w:t>
      </w:r>
      <w:proofErr w:type="spellEnd"/>
      <w:r w:rsidRPr="0016147A">
        <w:t xml:space="preserve"> et al. “Shear Bond Strengths of Five Intraoral Porcelain Repair Sy</w:t>
      </w:r>
      <w:r w:rsidR="00AB67EA" w:rsidRPr="0016147A">
        <w:t>s</w:t>
      </w:r>
      <w:r w:rsidRPr="0016147A">
        <w:t>tems,” Journal of Adhesion Science &amp; Technology 21 (5–6):409–422, 2007</w:t>
      </w:r>
    </w:p>
    <w:p w:rsidR="005C74E7" w:rsidRPr="0016147A" w:rsidRDefault="005C74E7" w:rsidP="006F07B9">
      <w:pPr>
        <w:pStyle w:val="location"/>
        <w:pBdr>
          <w:top w:val="single" w:sz="6" w:space="1" w:color="auto"/>
        </w:pBdr>
      </w:pPr>
      <w:r w:rsidRPr="0016147A">
        <w:t>Objective 2, Page 13</w:t>
      </w:r>
    </w:p>
    <w:p w:rsidR="00F67600" w:rsidRPr="0016147A" w:rsidRDefault="00F67600" w:rsidP="006F07B9">
      <w:pPr>
        <w:pStyle w:val="linespace"/>
      </w:pPr>
      <w:r w:rsidRPr="0016147A">
        <w:rPr>
          <w:b/>
        </w:rPr>
        <w:t xml:space="preserve">Note: </w:t>
      </w:r>
      <w:r w:rsidRPr="0016147A">
        <w:t>Whenever performing analysis of variance, it is a good idea to present visual evidence that supports the conclusions of the test. Side-by-side boxplots are a great way to help visually reinforce the results of the ANOVA procedure.</w:t>
      </w:r>
    </w:p>
    <w:p w:rsidR="005C74E7" w:rsidRPr="0016147A" w:rsidRDefault="005C74E7" w:rsidP="006F07B9">
      <w:pPr>
        <w:pStyle w:val="location"/>
      </w:pPr>
      <w:r w:rsidRPr="0016147A">
        <w:t>Objective 2, Page 15</w:t>
      </w:r>
    </w:p>
    <w:p w:rsidR="005C74E7" w:rsidRPr="0016147A" w:rsidRDefault="005C74E7" w:rsidP="005C74E7">
      <w:pPr>
        <w:autoSpaceDE w:val="0"/>
        <w:autoSpaceDN w:val="0"/>
        <w:adjustRightInd w:val="0"/>
        <w:spacing w:after="0" w:line="240" w:lineRule="auto"/>
      </w:pPr>
      <w:r w:rsidRPr="0016147A">
        <w:rPr>
          <w:b/>
        </w:rPr>
        <w:t xml:space="preserve">Note: </w:t>
      </w:r>
      <w:r w:rsidRPr="0016147A">
        <w:t>When we reject the null hypothesis of equal population means, as in Example 3, we know that at least one population mean differs from the others. However, we do not know which means differ.</w:t>
      </w:r>
    </w:p>
    <w:p w:rsidR="005C74E7" w:rsidRPr="0016147A" w:rsidRDefault="005C74E7" w:rsidP="006F07B9">
      <w:pPr>
        <w:pStyle w:val="linespace"/>
      </w:pPr>
      <w:r w:rsidRPr="0016147A">
        <w:t>Side-by-side boxplots can give us some idea, but we can more formally answer this question using Tukey's test, which will be discussed in the next section.</w:t>
      </w:r>
    </w:p>
    <w:p w:rsidR="005C74E7" w:rsidRPr="0016147A" w:rsidRDefault="005C74E7" w:rsidP="006F07B9">
      <w:pPr>
        <w:pStyle w:val="location"/>
      </w:pPr>
      <w:r w:rsidRPr="0016147A">
        <w:t>Objective 2, Page 16</w:t>
      </w:r>
    </w:p>
    <w:p w:rsidR="00AB67EA" w:rsidRPr="0016147A" w:rsidRDefault="00AB67EA" w:rsidP="006F07B9">
      <w:pPr>
        <w:pStyle w:val="linespace"/>
      </w:pPr>
      <w:r w:rsidRPr="0016147A">
        <w:rPr>
          <w:b/>
        </w:rPr>
        <w:t>Note:</w:t>
      </w:r>
      <w:r w:rsidRPr="0016147A">
        <w:t xml:space="preserve"> Another way to verify the normality requirement in a one-way ANOVA test is through a residual plot. The residual of each value is the difference between the value and its sample’s mean. Once the residual has been calculated for each value in each sample, create a normal probability plot for the residuals. If the residuals are found to be normally distributed, the normality requirement is satisfied.</w:t>
      </w:r>
    </w:p>
    <w:p w:rsidR="00F63EF9" w:rsidRPr="0016147A" w:rsidRDefault="005C74E7" w:rsidP="006F07B9">
      <w:pPr>
        <w:pStyle w:val="location"/>
      </w:pPr>
      <w:r w:rsidRPr="0016147A">
        <w:t>Objective 2, Page 17</w:t>
      </w:r>
    </w:p>
    <w:p w:rsidR="00D35659" w:rsidRPr="0016147A" w:rsidRDefault="00D35659" w:rsidP="006F07B9">
      <w:pPr>
        <w:pStyle w:val="box"/>
        <w:pBdr>
          <w:bottom w:val="none" w:sz="0" w:space="0" w:color="auto"/>
        </w:pBdr>
        <w:spacing w:line="360" w:lineRule="auto"/>
      </w:pPr>
      <w:r w:rsidRPr="0016147A">
        <w:rPr>
          <w:b/>
          <w:bCs/>
          <w:shd w:val="clear" w:color="auto" w:fill="BFBFBF"/>
        </w:rPr>
        <w:t xml:space="preserve">Example </w:t>
      </w:r>
      <w:r w:rsidR="00B56C5E" w:rsidRPr="0016147A">
        <w:rPr>
          <w:b/>
          <w:bCs/>
          <w:shd w:val="clear" w:color="auto" w:fill="BFBFBF"/>
        </w:rPr>
        <w:t>4</w:t>
      </w:r>
      <w:r w:rsidRPr="0016147A">
        <w:tab/>
      </w:r>
      <w:r w:rsidR="00AB67EA" w:rsidRPr="0016147A">
        <w:rPr>
          <w:i/>
          <w:iCs/>
        </w:rPr>
        <w:t>Verifying the Normality Requirement by Analyzing Residuals</w:t>
      </w:r>
    </w:p>
    <w:p w:rsidR="00B56C5E" w:rsidRPr="0016147A" w:rsidRDefault="00AB67EA" w:rsidP="006F07B9">
      <w:pPr>
        <w:pBdr>
          <w:top w:val="single" w:sz="4" w:space="1" w:color="auto"/>
          <w:left w:val="single" w:sz="4" w:space="4" w:color="auto"/>
          <w:right w:val="single" w:sz="4" w:space="4" w:color="auto"/>
        </w:pBdr>
        <w:autoSpaceDE w:val="0"/>
        <w:autoSpaceDN w:val="0"/>
        <w:adjustRightInd w:val="0"/>
        <w:spacing w:line="240" w:lineRule="auto"/>
      </w:pPr>
      <w:r w:rsidRPr="0016147A">
        <w:t>Verify the normality requirement for the data analyzed in Example 3.</w:t>
      </w:r>
    </w:p>
    <w:p w:rsidR="00AB67EA" w:rsidRPr="0016147A" w:rsidRDefault="00AB67EA" w:rsidP="006F07B9">
      <w:pPr>
        <w:pBdr>
          <w:left w:val="single" w:sz="6" w:space="4" w:color="auto"/>
          <w:right w:val="single" w:sz="6" w:space="4" w:color="auto"/>
        </w:pBdr>
        <w:tabs>
          <w:tab w:val="left" w:pos="720"/>
          <w:tab w:val="left" w:pos="3600"/>
        </w:tabs>
        <w:autoSpaceDE w:val="0"/>
        <w:autoSpaceDN w:val="0"/>
        <w:adjustRightInd w:val="0"/>
        <w:spacing w:after="0" w:line="240" w:lineRule="auto"/>
        <w:rPr>
          <w:b/>
        </w:rPr>
      </w:pPr>
      <w:r w:rsidRPr="0016147A">
        <w:rPr>
          <w:b/>
        </w:rPr>
        <w:t xml:space="preserve">Table 3 </w:t>
      </w:r>
    </w:p>
    <w:tbl>
      <w:tblPr>
        <w:tblStyle w:val="TableGrid"/>
        <w:tblW w:w="9540"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Cojet, Silistor, Cimara, and Ceramic Repair."/>
      </w:tblPr>
      <w:tblGrid>
        <w:gridCol w:w="1538"/>
        <w:gridCol w:w="1440"/>
        <w:gridCol w:w="1440"/>
        <w:gridCol w:w="5122"/>
      </w:tblGrid>
      <w:tr w:rsidR="006F07B9" w:rsidRPr="0016147A" w:rsidTr="00153087">
        <w:trPr>
          <w:tblHeader/>
        </w:trPr>
        <w:tc>
          <w:tcPr>
            <w:tcW w:w="1538" w:type="dxa"/>
            <w:tcBorders>
              <w:left w:val="single" w:sz="6" w:space="0" w:color="auto"/>
            </w:tcBorders>
          </w:tcPr>
          <w:p w:rsidR="006F07B9" w:rsidRPr="0016147A" w:rsidRDefault="006F07B9" w:rsidP="00056DEA">
            <w:pPr>
              <w:autoSpaceDE w:val="0"/>
              <w:autoSpaceDN w:val="0"/>
              <w:adjustRightInd w:val="0"/>
              <w:spacing w:after="0" w:line="240" w:lineRule="auto"/>
              <w:rPr>
                <w:b/>
                <w:bCs/>
              </w:rPr>
            </w:pPr>
            <w:proofErr w:type="spellStart"/>
            <w:r w:rsidRPr="0016147A">
              <w:rPr>
                <w:b/>
                <w:bCs/>
              </w:rPr>
              <w:t>Cojet</w:t>
            </w:r>
            <w:proofErr w:type="spellEnd"/>
          </w:p>
        </w:tc>
        <w:tc>
          <w:tcPr>
            <w:tcW w:w="1440" w:type="dxa"/>
          </w:tcPr>
          <w:p w:rsidR="006F07B9" w:rsidRPr="0016147A" w:rsidRDefault="006F07B9" w:rsidP="00056DEA">
            <w:pPr>
              <w:autoSpaceDE w:val="0"/>
              <w:autoSpaceDN w:val="0"/>
              <w:adjustRightInd w:val="0"/>
              <w:spacing w:after="0" w:line="240" w:lineRule="auto"/>
              <w:rPr>
                <w:b/>
                <w:bCs/>
              </w:rPr>
            </w:pPr>
            <w:proofErr w:type="spellStart"/>
            <w:r w:rsidRPr="0016147A">
              <w:rPr>
                <w:b/>
                <w:bCs/>
              </w:rPr>
              <w:t>Silistor</w:t>
            </w:r>
            <w:proofErr w:type="spellEnd"/>
          </w:p>
        </w:tc>
        <w:tc>
          <w:tcPr>
            <w:tcW w:w="1440" w:type="dxa"/>
          </w:tcPr>
          <w:p w:rsidR="006F07B9" w:rsidRPr="0016147A" w:rsidRDefault="006F07B9" w:rsidP="00056DEA">
            <w:pPr>
              <w:autoSpaceDE w:val="0"/>
              <w:autoSpaceDN w:val="0"/>
              <w:adjustRightInd w:val="0"/>
              <w:spacing w:after="0" w:line="240" w:lineRule="auto"/>
              <w:rPr>
                <w:b/>
                <w:bCs/>
              </w:rPr>
            </w:pPr>
            <w:proofErr w:type="spellStart"/>
            <w:r w:rsidRPr="0016147A">
              <w:rPr>
                <w:b/>
                <w:bCs/>
              </w:rPr>
              <w:t>Cimara</w:t>
            </w:r>
            <w:proofErr w:type="spellEnd"/>
          </w:p>
        </w:tc>
        <w:tc>
          <w:tcPr>
            <w:tcW w:w="5122" w:type="dxa"/>
            <w:tcBorders>
              <w:right w:val="single" w:sz="6" w:space="0" w:color="auto"/>
            </w:tcBorders>
          </w:tcPr>
          <w:p w:rsidR="006F07B9" w:rsidRPr="0016147A" w:rsidRDefault="006F07B9" w:rsidP="00056DEA">
            <w:pPr>
              <w:autoSpaceDE w:val="0"/>
              <w:autoSpaceDN w:val="0"/>
              <w:adjustRightInd w:val="0"/>
              <w:spacing w:after="0" w:line="240" w:lineRule="auto"/>
              <w:rPr>
                <w:b/>
                <w:bCs/>
              </w:rPr>
            </w:pPr>
            <w:r w:rsidRPr="0016147A">
              <w:rPr>
                <w:b/>
                <w:bCs/>
              </w:rPr>
              <w:t>Ceramic Repair</w:t>
            </w:r>
          </w:p>
        </w:tc>
      </w:tr>
      <w:tr w:rsidR="006F07B9" w:rsidRPr="0016147A" w:rsidTr="00153087">
        <w:tc>
          <w:tcPr>
            <w:tcW w:w="1538" w:type="dxa"/>
            <w:tcBorders>
              <w:left w:val="single" w:sz="6" w:space="0" w:color="auto"/>
            </w:tcBorders>
          </w:tcPr>
          <w:p w:rsidR="006F07B9" w:rsidRPr="0016147A" w:rsidRDefault="006F07B9" w:rsidP="00056DEA">
            <w:pPr>
              <w:autoSpaceDE w:val="0"/>
              <w:autoSpaceDN w:val="0"/>
              <w:adjustRightInd w:val="0"/>
              <w:spacing w:after="0" w:line="240" w:lineRule="auto"/>
            </w:pPr>
            <w:r w:rsidRPr="0016147A">
              <w:t>15.4</w:t>
            </w:r>
          </w:p>
        </w:tc>
        <w:tc>
          <w:tcPr>
            <w:tcW w:w="1440" w:type="dxa"/>
          </w:tcPr>
          <w:p w:rsidR="006F07B9" w:rsidRPr="0016147A" w:rsidRDefault="006F07B9" w:rsidP="00056DEA">
            <w:pPr>
              <w:autoSpaceDE w:val="0"/>
              <w:autoSpaceDN w:val="0"/>
              <w:adjustRightInd w:val="0"/>
              <w:spacing w:after="0" w:line="240" w:lineRule="auto"/>
            </w:pPr>
            <w:r w:rsidRPr="0016147A">
              <w:t>17.2</w:t>
            </w:r>
          </w:p>
        </w:tc>
        <w:tc>
          <w:tcPr>
            <w:tcW w:w="1440" w:type="dxa"/>
          </w:tcPr>
          <w:p w:rsidR="006F07B9" w:rsidRPr="0016147A" w:rsidRDefault="006F07B9" w:rsidP="00056DEA">
            <w:pPr>
              <w:autoSpaceDE w:val="0"/>
              <w:autoSpaceDN w:val="0"/>
              <w:adjustRightInd w:val="0"/>
              <w:spacing w:after="0" w:line="240" w:lineRule="auto"/>
            </w:pPr>
            <w:r w:rsidRPr="0016147A">
              <w:t>5.5</w:t>
            </w:r>
          </w:p>
        </w:tc>
        <w:tc>
          <w:tcPr>
            <w:tcW w:w="5122" w:type="dxa"/>
            <w:tcBorders>
              <w:right w:val="single" w:sz="6" w:space="0" w:color="auto"/>
            </w:tcBorders>
          </w:tcPr>
          <w:p w:rsidR="006F07B9" w:rsidRPr="0016147A" w:rsidRDefault="006F07B9" w:rsidP="00056DEA">
            <w:pPr>
              <w:autoSpaceDE w:val="0"/>
              <w:autoSpaceDN w:val="0"/>
              <w:adjustRightInd w:val="0"/>
              <w:spacing w:after="0" w:line="240" w:lineRule="auto"/>
            </w:pPr>
            <w:r w:rsidRPr="0016147A">
              <w:t>11.0</w:t>
            </w:r>
          </w:p>
        </w:tc>
      </w:tr>
      <w:tr w:rsidR="006F07B9" w:rsidRPr="0016147A" w:rsidTr="00153087">
        <w:tc>
          <w:tcPr>
            <w:tcW w:w="1538" w:type="dxa"/>
            <w:tcBorders>
              <w:left w:val="single" w:sz="6" w:space="0" w:color="auto"/>
            </w:tcBorders>
          </w:tcPr>
          <w:p w:rsidR="006F07B9" w:rsidRPr="0016147A" w:rsidRDefault="006F07B9" w:rsidP="00056DEA">
            <w:pPr>
              <w:autoSpaceDE w:val="0"/>
              <w:autoSpaceDN w:val="0"/>
              <w:adjustRightInd w:val="0"/>
              <w:spacing w:after="0" w:line="240" w:lineRule="auto"/>
            </w:pPr>
            <w:r w:rsidRPr="0016147A">
              <w:t>12.9</w:t>
            </w:r>
          </w:p>
        </w:tc>
        <w:tc>
          <w:tcPr>
            <w:tcW w:w="1440" w:type="dxa"/>
          </w:tcPr>
          <w:p w:rsidR="006F07B9" w:rsidRPr="0016147A" w:rsidRDefault="006F07B9" w:rsidP="00056DEA">
            <w:pPr>
              <w:autoSpaceDE w:val="0"/>
              <w:autoSpaceDN w:val="0"/>
              <w:adjustRightInd w:val="0"/>
              <w:spacing w:after="0" w:line="240" w:lineRule="auto"/>
            </w:pPr>
            <w:r w:rsidRPr="0016147A">
              <w:t>14.3</w:t>
            </w:r>
          </w:p>
        </w:tc>
        <w:tc>
          <w:tcPr>
            <w:tcW w:w="1440" w:type="dxa"/>
          </w:tcPr>
          <w:p w:rsidR="006F07B9" w:rsidRPr="0016147A" w:rsidRDefault="006F07B9" w:rsidP="00056DEA">
            <w:pPr>
              <w:autoSpaceDE w:val="0"/>
              <w:autoSpaceDN w:val="0"/>
              <w:adjustRightInd w:val="0"/>
              <w:spacing w:after="0" w:line="240" w:lineRule="auto"/>
            </w:pPr>
            <w:r w:rsidRPr="0016147A">
              <w:t>7.7</w:t>
            </w:r>
          </w:p>
        </w:tc>
        <w:tc>
          <w:tcPr>
            <w:tcW w:w="5122" w:type="dxa"/>
            <w:tcBorders>
              <w:right w:val="single" w:sz="6" w:space="0" w:color="auto"/>
            </w:tcBorders>
          </w:tcPr>
          <w:p w:rsidR="006F07B9" w:rsidRPr="0016147A" w:rsidRDefault="006F07B9" w:rsidP="00056DEA">
            <w:pPr>
              <w:autoSpaceDE w:val="0"/>
              <w:autoSpaceDN w:val="0"/>
              <w:adjustRightInd w:val="0"/>
              <w:spacing w:after="0" w:line="240" w:lineRule="auto"/>
            </w:pPr>
            <w:r w:rsidRPr="0016147A">
              <w:t>12.4</w:t>
            </w:r>
          </w:p>
        </w:tc>
      </w:tr>
      <w:tr w:rsidR="006F07B9" w:rsidRPr="0016147A" w:rsidTr="00153087">
        <w:tc>
          <w:tcPr>
            <w:tcW w:w="1538" w:type="dxa"/>
            <w:tcBorders>
              <w:left w:val="single" w:sz="6" w:space="0" w:color="auto"/>
            </w:tcBorders>
          </w:tcPr>
          <w:p w:rsidR="006F07B9" w:rsidRPr="0016147A" w:rsidRDefault="006F07B9" w:rsidP="00056DEA">
            <w:pPr>
              <w:autoSpaceDE w:val="0"/>
              <w:autoSpaceDN w:val="0"/>
              <w:adjustRightInd w:val="0"/>
              <w:spacing w:after="0" w:line="240" w:lineRule="auto"/>
            </w:pPr>
            <w:r w:rsidRPr="0016147A">
              <w:t>17.2</w:t>
            </w:r>
          </w:p>
        </w:tc>
        <w:tc>
          <w:tcPr>
            <w:tcW w:w="1440" w:type="dxa"/>
          </w:tcPr>
          <w:p w:rsidR="006F07B9" w:rsidRPr="0016147A" w:rsidRDefault="006F07B9" w:rsidP="00056DEA">
            <w:pPr>
              <w:autoSpaceDE w:val="0"/>
              <w:autoSpaceDN w:val="0"/>
              <w:adjustRightInd w:val="0"/>
              <w:spacing w:after="0" w:line="240" w:lineRule="auto"/>
            </w:pPr>
            <w:r w:rsidRPr="0016147A">
              <w:t>17.6</w:t>
            </w:r>
          </w:p>
        </w:tc>
        <w:tc>
          <w:tcPr>
            <w:tcW w:w="1440" w:type="dxa"/>
          </w:tcPr>
          <w:p w:rsidR="006F07B9" w:rsidRPr="0016147A" w:rsidRDefault="006F07B9" w:rsidP="00056DEA">
            <w:pPr>
              <w:autoSpaceDE w:val="0"/>
              <w:autoSpaceDN w:val="0"/>
              <w:adjustRightInd w:val="0"/>
              <w:spacing w:after="0" w:line="240" w:lineRule="auto"/>
            </w:pPr>
            <w:r w:rsidRPr="0016147A">
              <w:t>12.2</w:t>
            </w:r>
          </w:p>
        </w:tc>
        <w:tc>
          <w:tcPr>
            <w:tcW w:w="5122" w:type="dxa"/>
            <w:tcBorders>
              <w:right w:val="single" w:sz="6" w:space="0" w:color="auto"/>
            </w:tcBorders>
          </w:tcPr>
          <w:p w:rsidR="006F07B9" w:rsidRPr="0016147A" w:rsidRDefault="006F07B9" w:rsidP="00056DEA">
            <w:pPr>
              <w:autoSpaceDE w:val="0"/>
              <w:autoSpaceDN w:val="0"/>
              <w:adjustRightInd w:val="0"/>
              <w:spacing w:after="0" w:line="240" w:lineRule="auto"/>
            </w:pPr>
            <w:r w:rsidRPr="0016147A">
              <w:t>13.5</w:t>
            </w:r>
          </w:p>
        </w:tc>
      </w:tr>
      <w:tr w:rsidR="006F07B9" w:rsidRPr="0016147A" w:rsidTr="00153087">
        <w:tc>
          <w:tcPr>
            <w:tcW w:w="1538" w:type="dxa"/>
            <w:tcBorders>
              <w:left w:val="single" w:sz="6" w:space="0" w:color="auto"/>
            </w:tcBorders>
          </w:tcPr>
          <w:p w:rsidR="006F07B9" w:rsidRPr="0016147A" w:rsidRDefault="006F07B9" w:rsidP="00056DEA">
            <w:pPr>
              <w:autoSpaceDE w:val="0"/>
              <w:autoSpaceDN w:val="0"/>
              <w:adjustRightInd w:val="0"/>
              <w:spacing w:after="0" w:line="240" w:lineRule="auto"/>
            </w:pPr>
            <w:r w:rsidRPr="0016147A">
              <w:lastRenderedPageBreak/>
              <w:t>16.6</w:t>
            </w:r>
          </w:p>
        </w:tc>
        <w:tc>
          <w:tcPr>
            <w:tcW w:w="1440" w:type="dxa"/>
          </w:tcPr>
          <w:p w:rsidR="006F07B9" w:rsidRPr="0016147A" w:rsidRDefault="006F07B9" w:rsidP="00056DEA">
            <w:pPr>
              <w:autoSpaceDE w:val="0"/>
              <w:autoSpaceDN w:val="0"/>
              <w:adjustRightInd w:val="0"/>
              <w:spacing w:after="0" w:line="240" w:lineRule="auto"/>
            </w:pPr>
            <w:r w:rsidRPr="0016147A">
              <w:t>21.6</w:t>
            </w:r>
          </w:p>
        </w:tc>
        <w:tc>
          <w:tcPr>
            <w:tcW w:w="1440" w:type="dxa"/>
          </w:tcPr>
          <w:p w:rsidR="006F07B9" w:rsidRPr="0016147A" w:rsidRDefault="006F07B9" w:rsidP="00056DEA">
            <w:pPr>
              <w:autoSpaceDE w:val="0"/>
              <w:autoSpaceDN w:val="0"/>
              <w:adjustRightInd w:val="0"/>
              <w:spacing w:after="0" w:line="240" w:lineRule="auto"/>
            </w:pPr>
            <w:r w:rsidRPr="0016147A">
              <w:t>11.4</w:t>
            </w:r>
          </w:p>
        </w:tc>
        <w:tc>
          <w:tcPr>
            <w:tcW w:w="5122" w:type="dxa"/>
            <w:tcBorders>
              <w:right w:val="single" w:sz="6" w:space="0" w:color="auto"/>
            </w:tcBorders>
          </w:tcPr>
          <w:p w:rsidR="006F07B9" w:rsidRPr="0016147A" w:rsidRDefault="006F07B9" w:rsidP="00056DEA">
            <w:pPr>
              <w:autoSpaceDE w:val="0"/>
              <w:autoSpaceDN w:val="0"/>
              <w:adjustRightInd w:val="0"/>
              <w:spacing w:after="0" w:line="240" w:lineRule="auto"/>
            </w:pPr>
            <w:r w:rsidRPr="0016147A">
              <w:t>8.9</w:t>
            </w:r>
          </w:p>
        </w:tc>
      </w:tr>
      <w:tr w:rsidR="006F07B9" w:rsidRPr="0016147A" w:rsidTr="00153087">
        <w:tc>
          <w:tcPr>
            <w:tcW w:w="1538" w:type="dxa"/>
            <w:tcBorders>
              <w:left w:val="single" w:sz="6" w:space="0" w:color="auto"/>
            </w:tcBorders>
          </w:tcPr>
          <w:p w:rsidR="006F07B9" w:rsidRPr="0016147A" w:rsidRDefault="006F07B9" w:rsidP="006F07B9">
            <w:pPr>
              <w:autoSpaceDE w:val="0"/>
              <w:autoSpaceDN w:val="0"/>
              <w:adjustRightInd w:val="0"/>
              <w:spacing w:after="0" w:line="360" w:lineRule="auto"/>
            </w:pPr>
            <w:r w:rsidRPr="0016147A">
              <w:t>19.3</w:t>
            </w:r>
          </w:p>
        </w:tc>
        <w:tc>
          <w:tcPr>
            <w:tcW w:w="1440" w:type="dxa"/>
          </w:tcPr>
          <w:p w:rsidR="006F07B9" w:rsidRPr="0016147A" w:rsidRDefault="006F07B9" w:rsidP="006F07B9">
            <w:pPr>
              <w:autoSpaceDE w:val="0"/>
              <w:autoSpaceDN w:val="0"/>
              <w:adjustRightInd w:val="0"/>
              <w:spacing w:after="0" w:line="360" w:lineRule="auto"/>
            </w:pPr>
            <w:r w:rsidRPr="0016147A">
              <w:t>17.5</w:t>
            </w:r>
          </w:p>
        </w:tc>
        <w:tc>
          <w:tcPr>
            <w:tcW w:w="1440" w:type="dxa"/>
          </w:tcPr>
          <w:p w:rsidR="006F07B9" w:rsidRPr="0016147A" w:rsidRDefault="006F07B9" w:rsidP="006F07B9">
            <w:pPr>
              <w:autoSpaceDE w:val="0"/>
              <w:autoSpaceDN w:val="0"/>
              <w:adjustRightInd w:val="0"/>
              <w:spacing w:after="0" w:line="360" w:lineRule="auto"/>
            </w:pPr>
            <w:r w:rsidRPr="0016147A">
              <w:t>16.4</w:t>
            </w:r>
          </w:p>
        </w:tc>
        <w:tc>
          <w:tcPr>
            <w:tcW w:w="5122" w:type="dxa"/>
            <w:tcBorders>
              <w:right w:val="single" w:sz="6" w:space="0" w:color="auto"/>
            </w:tcBorders>
          </w:tcPr>
          <w:p w:rsidR="006F07B9" w:rsidRPr="0016147A" w:rsidRDefault="006F07B9" w:rsidP="006F07B9">
            <w:pPr>
              <w:autoSpaceDE w:val="0"/>
              <w:autoSpaceDN w:val="0"/>
              <w:adjustRightInd w:val="0"/>
              <w:spacing w:after="0" w:line="360" w:lineRule="auto"/>
            </w:pPr>
            <w:r w:rsidRPr="0016147A">
              <w:t>8.1</w:t>
            </w:r>
          </w:p>
        </w:tc>
      </w:tr>
    </w:tbl>
    <w:p w:rsidR="002F7D50" w:rsidRPr="0016147A" w:rsidRDefault="00AB67EA" w:rsidP="00153087">
      <w:pPr>
        <w:pBdr>
          <w:left w:val="single" w:sz="6" w:space="4" w:color="auto"/>
          <w:bottom w:val="single" w:sz="6" w:space="1" w:color="auto"/>
          <w:right w:val="single" w:sz="6" w:space="4" w:color="auto"/>
        </w:pBdr>
        <w:tabs>
          <w:tab w:val="left" w:pos="720"/>
          <w:tab w:val="left" w:pos="3600"/>
        </w:tabs>
        <w:autoSpaceDE w:val="0"/>
        <w:autoSpaceDN w:val="0"/>
        <w:adjustRightInd w:val="0"/>
        <w:spacing w:after="0" w:line="240" w:lineRule="auto"/>
      </w:pPr>
      <w:r w:rsidRPr="0016147A">
        <w:t xml:space="preserve">Data from P. </w:t>
      </w:r>
      <w:proofErr w:type="spellStart"/>
      <w:r w:rsidRPr="0016147A">
        <w:t>Schmage</w:t>
      </w:r>
      <w:proofErr w:type="spellEnd"/>
      <w:r w:rsidRPr="0016147A">
        <w:t xml:space="preserve"> et al. “Shear Bond Strengths of Five Intraoral Porcelain Repair Systems,” Journal of Adhesion Science &amp; Technology 21 (5–6):409–422, 2007</w:t>
      </w:r>
    </w:p>
    <w:p w:rsidR="004830CA" w:rsidRPr="0016147A" w:rsidRDefault="004830CA" w:rsidP="00153087">
      <w:pPr>
        <w:pBdr>
          <w:left w:val="single" w:sz="6" w:space="4" w:color="auto"/>
        </w:pBdr>
        <w:sectPr w:rsidR="004830CA" w:rsidRPr="0016147A" w:rsidSect="00A845B0">
          <w:headerReference w:type="first" r:id="rId35"/>
          <w:pgSz w:w="12240" w:h="15840" w:code="1"/>
          <w:pgMar w:top="1440" w:right="1080" w:bottom="1440" w:left="1800" w:header="720" w:footer="720" w:gutter="0"/>
          <w:cols w:space="720"/>
          <w:titlePg/>
          <w:docGrid w:linePitch="360"/>
        </w:sectPr>
      </w:pPr>
    </w:p>
    <w:p w:rsidR="007E1512" w:rsidRPr="0016147A" w:rsidRDefault="007E1512" w:rsidP="007E1512">
      <w:pPr>
        <w:pStyle w:val="Heading2"/>
      </w:pPr>
      <w:r w:rsidRPr="0016147A">
        <w:lastRenderedPageBreak/>
        <w:t>Section 13.2 Post-Hoc Tests on One-Way Analysis of Variance</w:t>
      </w:r>
    </w:p>
    <w:p w:rsidR="007E1512" w:rsidRPr="0016147A" w:rsidRDefault="007E1512" w:rsidP="007E1512">
      <w:pPr>
        <w:pStyle w:val="Heading3"/>
      </w:pPr>
      <w:r w:rsidRPr="0016147A">
        <w:t>Objective</w:t>
      </w:r>
    </w:p>
    <w:p w:rsidR="007E1512" w:rsidRPr="0016147A" w:rsidRDefault="007E1512" w:rsidP="007E1512">
      <w:pPr>
        <w:pStyle w:val="ListParagraph"/>
        <w:numPr>
          <w:ilvl w:val="0"/>
          <w:numId w:val="6"/>
        </w:numPr>
        <w:spacing w:after="0"/>
        <w:ind w:left="426"/>
        <w:rPr>
          <w:smallCaps/>
          <w:sz w:val="20"/>
          <w:szCs w:val="20"/>
          <w:u w:val="single"/>
        </w:rPr>
      </w:pPr>
      <w:r w:rsidRPr="0016147A">
        <w:t>Perform Tukey’s Test</w:t>
      </w:r>
    </w:p>
    <w:p w:rsidR="001D03E1" w:rsidRPr="0016147A" w:rsidRDefault="001D03E1" w:rsidP="006F07B9">
      <w:pPr>
        <w:pStyle w:val="location"/>
      </w:pPr>
      <w:r w:rsidRPr="0016147A">
        <w:t>Introduction, Page 1</w:t>
      </w:r>
    </w:p>
    <w:p w:rsidR="001D03E1" w:rsidRPr="0016147A" w:rsidRDefault="001D03E1" w:rsidP="001D03E1">
      <w:pPr>
        <w:spacing w:after="0"/>
      </w:pPr>
      <w:r w:rsidRPr="0016147A">
        <w:t xml:space="preserve">Suppose the results of a one-way ANOVA show that at least one population mean is different from the others. To determine which </w:t>
      </w:r>
      <w:proofErr w:type="gramStart"/>
      <w:r w:rsidRPr="0016147A">
        <w:t>means</w:t>
      </w:r>
      <w:proofErr w:type="gramEnd"/>
      <w:r w:rsidRPr="0016147A">
        <w:t xml:space="preserve"> differ significantly, we make additi</w:t>
      </w:r>
      <w:r w:rsidR="00D50067" w:rsidRPr="0016147A">
        <w:t xml:space="preserve">onal comparisons between means </w:t>
      </w:r>
      <w:r w:rsidRPr="0016147A">
        <w:t>using procedures called multiple comparison methods.</w:t>
      </w:r>
    </w:p>
    <w:p w:rsidR="003807B8" w:rsidRPr="0016147A" w:rsidRDefault="003807B8" w:rsidP="007E1512">
      <w:pPr>
        <w:pStyle w:val="Heading4"/>
      </w:pPr>
      <w:r w:rsidRPr="0016147A">
        <w:t xml:space="preserve">Objective 1: </w:t>
      </w:r>
      <w:r w:rsidR="00630764" w:rsidRPr="0016147A">
        <w:t xml:space="preserve">Perform </w:t>
      </w:r>
      <w:r w:rsidR="005C12CA" w:rsidRPr="0016147A">
        <w:t>Tukey’s</w:t>
      </w:r>
      <w:r w:rsidR="00630764" w:rsidRPr="0016147A">
        <w:t xml:space="preserve"> Test </w:t>
      </w:r>
    </w:p>
    <w:p w:rsidR="001D03E1" w:rsidRPr="0016147A" w:rsidRDefault="001D03E1" w:rsidP="006F07B9">
      <w:pPr>
        <w:pStyle w:val="location"/>
      </w:pPr>
      <w:r w:rsidRPr="0016147A">
        <w:t>Objective 1, Page 1</w:t>
      </w:r>
    </w:p>
    <w:p w:rsidR="00B764E7" w:rsidRPr="0016147A" w:rsidRDefault="00630764" w:rsidP="00156B42">
      <w:pPr>
        <w:pStyle w:val="linespace"/>
        <w:numPr>
          <w:ilvl w:val="0"/>
          <w:numId w:val="7"/>
        </w:numPr>
        <w:spacing w:line="480" w:lineRule="auto"/>
        <w:ind w:left="284"/>
      </w:pPr>
      <w:r w:rsidRPr="0016147A">
        <w:t xml:space="preserve">What </w:t>
      </w:r>
      <w:r w:rsidR="005C12CA" w:rsidRPr="0016147A">
        <w:t xml:space="preserve">is compared in </w:t>
      </w:r>
      <w:r w:rsidR="00317233" w:rsidRPr="0016147A">
        <w:t>the</w:t>
      </w:r>
      <w:r w:rsidR="005C12CA" w:rsidRPr="0016147A">
        <w:t xml:space="preserve"> Tukey test? What is the goal of the test?</w:t>
      </w:r>
    </w:p>
    <w:p w:rsidR="0099046D" w:rsidRPr="0016147A" w:rsidRDefault="004B7FD6" w:rsidP="00156B42">
      <w:pPr>
        <w:pStyle w:val="linespace"/>
        <w:numPr>
          <w:ilvl w:val="0"/>
          <w:numId w:val="7"/>
        </w:numPr>
        <w:spacing w:line="480" w:lineRule="auto"/>
        <w:ind w:left="284"/>
      </w:pPr>
      <w:r w:rsidRPr="0016147A">
        <w:t>State the formula for the standard error when using Tukey’s test.</w:t>
      </w:r>
    </w:p>
    <w:p w:rsidR="001D03E1" w:rsidRPr="0016147A" w:rsidRDefault="001D03E1" w:rsidP="006F07B9">
      <w:pPr>
        <w:pStyle w:val="location"/>
      </w:pPr>
      <w:r w:rsidRPr="0016147A">
        <w:t>Objective 1, Page 2</w:t>
      </w:r>
    </w:p>
    <w:p w:rsidR="000D0727" w:rsidRPr="0016147A" w:rsidRDefault="000D0727" w:rsidP="007E1512">
      <w:pPr>
        <w:pStyle w:val="linespace"/>
        <w:numPr>
          <w:ilvl w:val="0"/>
          <w:numId w:val="7"/>
        </w:numPr>
        <w:ind w:left="284"/>
      </w:pPr>
      <w:r w:rsidRPr="0016147A">
        <w:t xml:space="preserve">State the test statistic for Tukey’s test when testing </w:t>
      </w:r>
      <w:r w:rsidR="000347C5" w:rsidRPr="0016147A">
        <w:rPr>
          <w:position w:val="-14"/>
        </w:rPr>
        <w:object w:dxaOrig="1100" w:dyaOrig="360">
          <v:shape id="_x0000_i1036" type="#_x0000_t75" alt="H subscript 0: mu subscript i equals mu subscript j" style="width:55pt;height:18.35pt" o:ole="">
            <v:imagedata r:id="rId36" o:title=""/>
          </v:shape>
          <o:OLEObject Type="Embed" ProgID="Equation.DSMT4" ShapeID="_x0000_i1036" DrawAspect="Content" ObjectID="_1607958291" r:id="rId37"/>
        </w:object>
      </w:r>
      <w:r w:rsidRPr="0016147A">
        <w:t xml:space="preserve"> versus </w:t>
      </w:r>
      <w:r w:rsidR="000347C5" w:rsidRPr="0016147A">
        <w:rPr>
          <w:position w:val="-14"/>
        </w:rPr>
        <w:object w:dxaOrig="1080" w:dyaOrig="360">
          <v:shape id="_x0000_i1037" type="#_x0000_t75" alt="H subscript 1: mu subscript i not equals to mu subscript j" style="width:53.65pt;height:18.35pt" o:ole="">
            <v:imagedata r:id="rId38" o:title=""/>
          </v:shape>
          <o:OLEObject Type="Embed" ProgID="Equation.DSMT4" ShapeID="_x0000_i1037" DrawAspect="Content" ObjectID="_1607958292" r:id="rId39"/>
        </w:object>
      </w:r>
      <w:r w:rsidRPr="0016147A">
        <w:t>.</w:t>
      </w:r>
    </w:p>
    <w:p w:rsidR="001D03E1" w:rsidRPr="0016147A" w:rsidRDefault="001D03E1" w:rsidP="006F07B9">
      <w:pPr>
        <w:pStyle w:val="location"/>
      </w:pPr>
      <w:r w:rsidRPr="0016147A">
        <w:t>Objective 1, Page 3</w:t>
      </w:r>
    </w:p>
    <w:p w:rsidR="00095637" w:rsidRPr="0016147A" w:rsidRDefault="00095637" w:rsidP="00095637">
      <w:pPr>
        <w:spacing w:after="0"/>
      </w:pPr>
      <w:r w:rsidRPr="0016147A">
        <w:rPr>
          <w:b/>
        </w:rPr>
        <w:t>Note:</w:t>
      </w:r>
      <w:r w:rsidRPr="0016147A">
        <w:t xml:space="preserve"> The critical value for Tukey's test using a familywise error rate α is given by </w:t>
      </w:r>
    </w:p>
    <w:p w:rsidR="00095637" w:rsidRPr="0016147A" w:rsidRDefault="00B94E7B" w:rsidP="00095637">
      <w:pPr>
        <w:spacing w:after="0"/>
        <w:jc w:val="center"/>
      </w:pPr>
      <w:r w:rsidRPr="0016147A">
        <w:rPr>
          <w:position w:val="-12"/>
        </w:rPr>
        <w:object w:dxaOrig="480" w:dyaOrig="340">
          <v:shape id="_x0000_i1038" type="#_x0000_t75" alt="q subscript alpha, v, k" style="width:23.75pt;height:17pt" o:ole="">
            <v:imagedata r:id="rId40" o:title=""/>
          </v:shape>
          <o:OLEObject Type="Embed" ProgID="Equation.DSMT4" ShapeID="_x0000_i1038" DrawAspect="Content" ObjectID="_1607958293" r:id="rId41"/>
        </w:object>
      </w:r>
    </w:p>
    <w:p w:rsidR="00E335CD" w:rsidRPr="0016147A" w:rsidRDefault="00156B42" w:rsidP="00156B42">
      <w:pPr>
        <w:spacing w:after="0" w:line="480" w:lineRule="auto"/>
      </w:pPr>
      <w:r w:rsidRPr="0016147A">
        <w:t>w</w:t>
      </w:r>
      <w:r w:rsidR="00095637" w:rsidRPr="0016147A">
        <w:t>here</w:t>
      </w:r>
    </w:p>
    <w:p w:rsidR="00E335CD" w:rsidRPr="0016147A" w:rsidRDefault="00095637" w:rsidP="00156B42">
      <w:pPr>
        <w:spacing w:after="240"/>
        <w:ind w:left="630"/>
      </w:pPr>
      <w:r w:rsidRPr="0016147A">
        <w:rPr>
          <w:i/>
        </w:rPr>
        <w:t>v</w:t>
      </w:r>
      <w:r w:rsidRPr="0016147A">
        <w:t xml:space="preserve"> is the degrees of freedom due to error, which is the total number of subjects sampled minus the</w:t>
      </w:r>
      <w:r w:rsidR="003A2928" w:rsidRPr="0016147A">
        <w:t xml:space="preserve"> </w:t>
      </w:r>
      <w:r w:rsidRPr="0016147A">
        <w:t xml:space="preserve">number of means being compared, or </w:t>
      </w:r>
      <w:r w:rsidR="00C170D6" w:rsidRPr="0016147A">
        <w:rPr>
          <w:position w:val="-6"/>
        </w:rPr>
        <w:object w:dxaOrig="520" w:dyaOrig="260">
          <v:shape id="_x0000_i1039" type="#_x0000_t75" alt="n minus k" style="width:25.8pt;height:12.9pt" o:ole="">
            <v:imagedata r:id="rId42" o:title=""/>
          </v:shape>
          <o:OLEObject Type="Embed" ProgID="Equation.DSMT4" ShapeID="_x0000_i1039" DrawAspect="Content" ObjectID="_1607958294" r:id="rId43"/>
        </w:object>
      </w:r>
      <w:r w:rsidR="00553407" w:rsidRPr="0016147A">
        <w:t xml:space="preserve"> </w:t>
      </w:r>
    </w:p>
    <w:p w:rsidR="00095637" w:rsidRPr="0016147A" w:rsidRDefault="00095637" w:rsidP="00156B42">
      <w:pPr>
        <w:spacing w:after="0"/>
        <w:ind w:left="630"/>
      </w:pPr>
      <w:r w:rsidRPr="0016147A">
        <w:rPr>
          <w:i/>
        </w:rPr>
        <w:t>k</w:t>
      </w:r>
      <w:r w:rsidRPr="0016147A">
        <w:t xml:space="preserve"> is the total number of means being compared</w:t>
      </w:r>
    </w:p>
    <w:p w:rsidR="00095637" w:rsidRPr="0016147A" w:rsidRDefault="00095637" w:rsidP="00156B42">
      <w:pPr>
        <w:spacing w:after="0" w:line="480" w:lineRule="auto"/>
      </w:pPr>
      <w:r w:rsidRPr="0016147A">
        <w:t>We can determine the critical value from the Studentized range distribution by referring to Table X.</w:t>
      </w:r>
    </w:p>
    <w:p w:rsidR="001D03E1" w:rsidRPr="0016147A" w:rsidRDefault="001D03E1" w:rsidP="006F07B9">
      <w:pPr>
        <w:pStyle w:val="location"/>
      </w:pPr>
      <w:r w:rsidRPr="0016147A">
        <w:lastRenderedPageBreak/>
        <w:t>Objective 1, Page 4</w:t>
      </w:r>
    </w:p>
    <w:p w:rsidR="009E4717" w:rsidRPr="0016147A" w:rsidRDefault="009E4717" w:rsidP="00D94280">
      <w:p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b/>
          <w:i/>
        </w:rPr>
      </w:pPr>
      <w:r w:rsidRPr="0016147A">
        <w:rPr>
          <w:b/>
          <w:shd w:val="clear" w:color="auto" w:fill="BFBFBF"/>
        </w:rPr>
        <w:t>Example 1</w:t>
      </w:r>
      <w:r w:rsidRPr="0016147A">
        <w:rPr>
          <w:b/>
        </w:rPr>
        <w:tab/>
      </w:r>
      <w:r w:rsidR="00812ABE" w:rsidRPr="0016147A">
        <w:rPr>
          <w:b/>
          <w:i/>
        </w:rPr>
        <w:t>Finding Critical Values from the Studentized Range Distribution</w:t>
      </w:r>
    </w:p>
    <w:p w:rsidR="00D252D3" w:rsidRPr="0016147A" w:rsidRDefault="00D252D3" w:rsidP="00D252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16147A">
        <w:t xml:space="preserve">Find the critical value from the Studentized range distribution with </w:t>
      </w:r>
      <w:r w:rsidRPr="0016147A">
        <w:rPr>
          <w:i/>
        </w:rPr>
        <w:t>v</w:t>
      </w:r>
      <w:r w:rsidRPr="0016147A">
        <w:t xml:space="preserve"> = 7 degrees of freedom and </w:t>
      </w:r>
      <w:r w:rsidRPr="0016147A">
        <w:rPr>
          <w:i/>
        </w:rPr>
        <w:t>k</w:t>
      </w:r>
      <w:r w:rsidRPr="0016147A">
        <w:t xml:space="preserve"> = 3 degrees of freedom, with a familywise error rate </w:t>
      </w:r>
      <w:r w:rsidR="00126CFB" w:rsidRPr="0016147A">
        <w:rPr>
          <w:position w:val="-6"/>
        </w:rPr>
        <w:object w:dxaOrig="880" w:dyaOrig="260">
          <v:shape id="_x0000_i1040" type="#_x0000_t75" alt="alpha equals 0.05." style="width:44.15pt;height:12.9pt" o:ole="">
            <v:imagedata r:id="rId44" o:title=""/>
          </v:shape>
          <o:OLEObject Type="Embed" ProgID="Equation.DSMT4" ShapeID="_x0000_i1040" DrawAspect="Content" ObjectID="_1607958295" r:id="rId45"/>
        </w:object>
      </w:r>
      <w:r w:rsidRPr="0016147A">
        <w:t xml:space="preserve"> </w:t>
      </w:r>
    </w:p>
    <w:p w:rsidR="001D03E1" w:rsidRPr="0016147A" w:rsidRDefault="001D03E1" w:rsidP="006F07B9">
      <w:pPr>
        <w:pStyle w:val="location"/>
      </w:pPr>
      <w:r w:rsidRPr="0016147A">
        <w:t>Objective 1, Page 6</w:t>
      </w:r>
    </w:p>
    <w:p w:rsidR="00E66456" w:rsidRPr="0016147A" w:rsidRDefault="00812ABE" w:rsidP="00006F11">
      <w:pPr>
        <w:pStyle w:val="linespace"/>
        <w:numPr>
          <w:ilvl w:val="0"/>
          <w:numId w:val="9"/>
        </w:numPr>
        <w:ind w:left="357" w:hanging="357"/>
      </w:pPr>
      <w:r w:rsidRPr="0016147A">
        <w:t xml:space="preserve">After rejecting the null hypothesis </w:t>
      </w:r>
      <w:r w:rsidR="000347C5" w:rsidRPr="0016147A">
        <w:rPr>
          <w:position w:val="-10"/>
        </w:rPr>
        <w:object w:dxaOrig="1939" w:dyaOrig="320">
          <v:shape id="_x0000_i1041" type="#_x0000_t75" alt="H subscript 0: mu subscript 1 equals mu subscript 2 equals ... equals mu subscript k" style="width:96.45pt;height:16.3pt" o:ole="">
            <v:imagedata r:id="rId46" o:title=""/>
          </v:shape>
          <o:OLEObject Type="Embed" ProgID="Equation.DSMT4" ShapeID="_x0000_i1041" DrawAspect="Content" ObjectID="_1607958296" r:id="rId47"/>
        </w:object>
      </w:r>
      <w:r w:rsidRPr="0016147A">
        <w:t>, what are the six steps when performing Tukey’s test</w:t>
      </w:r>
      <w:r w:rsidR="00B5443A" w:rsidRPr="0016147A">
        <w:t>?</w:t>
      </w:r>
    </w:p>
    <w:p w:rsidR="00812ABE" w:rsidRPr="0016147A" w:rsidRDefault="00812ABE" w:rsidP="00156B42">
      <w:pPr>
        <w:tabs>
          <w:tab w:val="left" w:pos="720"/>
        </w:tabs>
        <w:autoSpaceDE w:val="0"/>
        <w:autoSpaceDN w:val="0"/>
        <w:adjustRightInd w:val="0"/>
        <w:spacing w:after="800" w:line="240" w:lineRule="auto"/>
      </w:pPr>
      <w:r w:rsidRPr="0016147A">
        <w:t xml:space="preserve">Step 1 </w:t>
      </w:r>
    </w:p>
    <w:p w:rsidR="00812ABE" w:rsidRPr="0016147A" w:rsidRDefault="001D03E1" w:rsidP="00156B42">
      <w:pPr>
        <w:tabs>
          <w:tab w:val="left" w:pos="720"/>
        </w:tabs>
        <w:autoSpaceDE w:val="0"/>
        <w:autoSpaceDN w:val="0"/>
        <w:adjustRightInd w:val="0"/>
        <w:spacing w:after="800" w:line="240" w:lineRule="auto"/>
      </w:pPr>
      <w:r w:rsidRPr="0016147A">
        <w:t xml:space="preserve">Step 2 </w:t>
      </w:r>
    </w:p>
    <w:p w:rsidR="00812ABE" w:rsidRPr="0016147A" w:rsidRDefault="00812ABE" w:rsidP="00156B42">
      <w:pPr>
        <w:tabs>
          <w:tab w:val="left" w:pos="720"/>
        </w:tabs>
        <w:autoSpaceDE w:val="0"/>
        <w:autoSpaceDN w:val="0"/>
        <w:adjustRightInd w:val="0"/>
        <w:spacing w:after="800" w:line="240" w:lineRule="auto"/>
      </w:pPr>
      <w:r w:rsidRPr="0016147A">
        <w:t xml:space="preserve">Step 3 </w:t>
      </w:r>
    </w:p>
    <w:p w:rsidR="00812ABE" w:rsidRPr="0016147A" w:rsidRDefault="00812ABE" w:rsidP="00156B42">
      <w:pPr>
        <w:tabs>
          <w:tab w:val="left" w:pos="720"/>
        </w:tabs>
        <w:autoSpaceDE w:val="0"/>
        <w:autoSpaceDN w:val="0"/>
        <w:adjustRightInd w:val="0"/>
        <w:spacing w:after="800" w:line="240" w:lineRule="auto"/>
      </w:pPr>
      <w:r w:rsidRPr="0016147A">
        <w:t xml:space="preserve">Step 4 </w:t>
      </w:r>
    </w:p>
    <w:p w:rsidR="00A84463" w:rsidRPr="0016147A" w:rsidRDefault="00812ABE" w:rsidP="00156B42">
      <w:pPr>
        <w:tabs>
          <w:tab w:val="left" w:pos="720"/>
        </w:tabs>
        <w:autoSpaceDE w:val="0"/>
        <w:autoSpaceDN w:val="0"/>
        <w:adjustRightInd w:val="0"/>
        <w:spacing w:after="800" w:line="240" w:lineRule="auto"/>
      </w:pPr>
      <w:r w:rsidRPr="0016147A">
        <w:t xml:space="preserve">Step 5 </w:t>
      </w:r>
    </w:p>
    <w:p w:rsidR="00A84463" w:rsidRPr="0016147A" w:rsidRDefault="00812ABE" w:rsidP="00156B42">
      <w:pPr>
        <w:tabs>
          <w:tab w:val="left" w:pos="720"/>
        </w:tabs>
        <w:autoSpaceDE w:val="0"/>
        <w:autoSpaceDN w:val="0"/>
        <w:adjustRightInd w:val="0"/>
        <w:spacing w:after="800" w:line="480" w:lineRule="auto"/>
      </w:pPr>
      <w:r w:rsidRPr="0016147A">
        <w:t xml:space="preserve">Step 6 </w:t>
      </w:r>
    </w:p>
    <w:p w:rsidR="001D03E1" w:rsidRPr="0016147A" w:rsidRDefault="001D03E1" w:rsidP="006F07B9">
      <w:pPr>
        <w:pStyle w:val="location"/>
      </w:pPr>
      <w:r w:rsidRPr="0016147A">
        <w:t>Objective 1, Page 7</w:t>
      </w:r>
    </w:p>
    <w:p w:rsidR="00987BD7" w:rsidRPr="0016147A" w:rsidRDefault="00987BD7" w:rsidP="00156B42">
      <w:pPr>
        <w:pBdr>
          <w:top w:val="single" w:sz="4" w:space="1" w:color="auto"/>
          <w:left w:val="single" w:sz="4" w:space="4" w:color="auto"/>
          <w:right w:val="single" w:sz="4" w:space="4" w:color="auto"/>
        </w:pBdr>
        <w:autoSpaceDE w:val="0"/>
        <w:autoSpaceDN w:val="0"/>
        <w:adjustRightInd w:val="0"/>
        <w:spacing w:after="0" w:line="240" w:lineRule="auto"/>
        <w:rPr>
          <w:b/>
          <w:i/>
        </w:rPr>
      </w:pPr>
      <w:r w:rsidRPr="0016147A">
        <w:rPr>
          <w:b/>
          <w:shd w:val="clear" w:color="auto" w:fill="BFBFBF"/>
        </w:rPr>
        <w:t>Example 2</w:t>
      </w:r>
      <w:r w:rsidRPr="0016147A">
        <w:rPr>
          <w:b/>
        </w:rPr>
        <w:tab/>
      </w:r>
      <w:r w:rsidRPr="0016147A">
        <w:rPr>
          <w:b/>
          <w:i/>
        </w:rPr>
        <w:t xml:space="preserve">Performing </w:t>
      </w:r>
      <w:r w:rsidR="003B74BA" w:rsidRPr="0016147A">
        <w:rPr>
          <w:b/>
          <w:i/>
        </w:rPr>
        <w:t xml:space="preserve">Tukey’s </w:t>
      </w:r>
      <w:r w:rsidRPr="0016147A">
        <w:rPr>
          <w:b/>
          <w:i/>
        </w:rPr>
        <w:t xml:space="preserve">Test </w:t>
      </w:r>
      <w:r w:rsidR="003B74BA" w:rsidRPr="0016147A">
        <w:rPr>
          <w:b/>
          <w:i/>
        </w:rPr>
        <w:t>by Hand</w:t>
      </w:r>
    </w:p>
    <w:p w:rsidR="00987BD7" w:rsidRPr="0016147A" w:rsidRDefault="003B74BA" w:rsidP="00156B42">
      <w:pPr>
        <w:pBdr>
          <w:top w:val="single" w:sz="4" w:space="1" w:color="auto"/>
          <w:left w:val="single" w:sz="4" w:space="4" w:color="auto"/>
          <w:right w:val="single" w:sz="4" w:space="4" w:color="auto"/>
        </w:pBdr>
        <w:autoSpaceDE w:val="0"/>
        <w:autoSpaceDN w:val="0"/>
        <w:adjustRightInd w:val="0"/>
        <w:spacing w:after="800" w:line="240" w:lineRule="auto"/>
      </w:pPr>
      <w:r w:rsidRPr="0016147A">
        <w:t xml:space="preserve">In Example 3 from Section 13.1, we rejected the null hypothesis </w:t>
      </w:r>
      <w:r w:rsidR="00126CFB" w:rsidRPr="0016147A">
        <w:rPr>
          <w:i/>
          <w:position w:val="-14"/>
        </w:rPr>
        <w:object w:dxaOrig="3180" w:dyaOrig="360">
          <v:shape id="_x0000_i1042" type="#_x0000_t75" alt="mu subscript Cojet equals mu subscript Silistor equals mu subscript Cimara equals mu subscript Ceramic Repair" style="width:158.95pt;height:18.35pt" o:ole="">
            <v:imagedata r:id="rId48" o:title=""/>
          </v:shape>
          <o:OLEObject Type="Embed" ProgID="Equation.DSMT4" ShapeID="_x0000_i1042" DrawAspect="Content" ObjectID="_1607958297" r:id="rId49"/>
        </w:object>
      </w:r>
      <w:r w:rsidRPr="0016147A">
        <w:t>. Use Tukey's test to determine which pairwise means differ using a familywise error rate of α= 0.05.</w:t>
      </w:r>
    </w:p>
    <w:p w:rsidR="001D03E1" w:rsidRPr="0016147A" w:rsidRDefault="001D03E1" w:rsidP="00156B42">
      <w:pPr>
        <w:pStyle w:val="location"/>
        <w:pBdr>
          <w:top w:val="single" w:sz="6" w:space="1" w:color="auto"/>
        </w:pBdr>
      </w:pPr>
      <w:r w:rsidRPr="0016147A">
        <w:t>Objective 1, Page 8</w:t>
      </w:r>
    </w:p>
    <w:p w:rsidR="00987BD7" w:rsidRPr="0016147A" w:rsidRDefault="00987BD7" w:rsidP="00C34CD5">
      <w:pPr>
        <w:pBdr>
          <w:top w:val="single" w:sz="4" w:space="1" w:color="auto"/>
          <w:left w:val="single" w:sz="4" w:space="4" w:color="auto"/>
          <w:right w:val="single" w:sz="4" w:space="4" w:color="auto"/>
        </w:pBdr>
        <w:autoSpaceDE w:val="0"/>
        <w:autoSpaceDN w:val="0"/>
        <w:adjustRightInd w:val="0"/>
        <w:spacing w:after="0" w:line="480" w:lineRule="auto"/>
        <w:rPr>
          <w:b/>
          <w:i/>
        </w:rPr>
      </w:pPr>
      <w:r w:rsidRPr="0016147A">
        <w:rPr>
          <w:b/>
          <w:shd w:val="clear" w:color="auto" w:fill="BFBFBF"/>
        </w:rPr>
        <w:lastRenderedPageBreak/>
        <w:t>Example 3</w:t>
      </w:r>
      <w:r w:rsidRPr="0016147A">
        <w:rPr>
          <w:b/>
        </w:rPr>
        <w:tab/>
      </w:r>
      <w:r w:rsidR="00627ABE" w:rsidRPr="0016147A">
        <w:rPr>
          <w:b/>
          <w:i/>
        </w:rPr>
        <w:t>Performing Tukey's Test Using Technology</w:t>
      </w:r>
    </w:p>
    <w:p w:rsidR="00987BD7" w:rsidRPr="0016147A" w:rsidRDefault="00627ABE" w:rsidP="00156B42">
      <w:pPr>
        <w:pBdr>
          <w:top w:val="single" w:sz="4" w:space="1" w:color="auto"/>
          <w:left w:val="single" w:sz="4" w:space="4" w:color="auto"/>
          <w:right w:val="single" w:sz="4" w:space="4" w:color="auto"/>
        </w:pBdr>
        <w:autoSpaceDE w:val="0"/>
        <w:autoSpaceDN w:val="0"/>
        <w:adjustRightInd w:val="0"/>
        <w:spacing w:after="600" w:line="240" w:lineRule="auto"/>
      </w:pPr>
      <w:r w:rsidRPr="0016147A">
        <w:t xml:space="preserve">In Example 3 from Section 13.1, we rejected the null hypothesis. Use </w:t>
      </w:r>
      <w:proofErr w:type="spellStart"/>
      <w:r w:rsidRPr="0016147A">
        <w:t>StatCrunch</w:t>
      </w:r>
      <w:proofErr w:type="spellEnd"/>
      <w:r w:rsidRPr="0016147A">
        <w:t xml:space="preserve"> to conduct Tukey's test to determine which pairwise means differ using a familywise error rate of</w:t>
      </w:r>
      <w:r w:rsidR="00156B42" w:rsidRPr="0016147A">
        <w:t xml:space="preserve"> </w:t>
      </w:r>
      <w:r w:rsidR="000347C5" w:rsidRPr="0016147A">
        <w:rPr>
          <w:position w:val="-6"/>
        </w:rPr>
        <w:object w:dxaOrig="880" w:dyaOrig="279">
          <v:shape id="_x0000_i1043" type="#_x0000_t75" alt="alpha equals 0.05" style="width:44.15pt;height:14.25pt" o:ole="">
            <v:imagedata r:id="rId50" o:title=""/>
          </v:shape>
          <o:OLEObject Type="Embed" ProgID="Equation.DSMT4" ShapeID="_x0000_i1043" DrawAspect="Content" ObjectID="_1607958298" r:id="rId51"/>
        </w:object>
      </w:r>
      <w:r w:rsidRPr="0016147A">
        <w:t>.</w:t>
      </w:r>
    </w:p>
    <w:p w:rsidR="001D03E1" w:rsidRPr="0016147A" w:rsidRDefault="001D03E1" w:rsidP="00156B42">
      <w:pPr>
        <w:pStyle w:val="location"/>
        <w:pBdr>
          <w:top w:val="single" w:sz="6" w:space="1" w:color="auto"/>
        </w:pBdr>
      </w:pPr>
      <w:r w:rsidRPr="0016147A">
        <w:t xml:space="preserve">Objective 1, Page </w:t>
      </w:r>
      <w:r w:rsidR="00366835" w:rsidRPr="0016147A">
        <w:t>10</w:t>
      </w:r>
    </w:p>
    <w:p w:rsidR="001D03E1" w:rsidRPr="0016147A" w:rsidRDefault="001D03E1" w:rsidP="009369EF">
      <w:pPr>
        <w:tabs>
          <w:tab w:val="left" w:pos="720"/>
        </w:tabs>
        <w:autoSpaceDE w:val="0"/>
        <w:autoSpaceDN w:val="0"/>
        <w:adjustRightInd w:val="0"/>
        <w:spacing w:after="240" w:line="240" w:lineRule="auto"/>
      </w:pPr>
      <w:r w:rsidRPr="0016147A">
        <w:t>Sometimes the results of Tukey’s</w:t>
      </w:r>
      <w:r w:rsidR="00366835" w:rsidRPr="0016147A">
        <w:t xml:space="preserve"> test are ambiguous. Suppose the null hypothesis </w:t>
      </w:r>
      <w:r w:rsidR="000347C5" w:rsidRPr="0016147A">
        <w:rPr>
          <w:position w:val="-10"/>
        </w:rPr>
        <w:object w:dxaOrig="2020" w:dyaOrig="320">
          <v:shape id="_x0000_i1044" type="#_x0000_t75" alt="H subscript 0: mu subscript 1 equals mu subscript 2 equals mu subscript 3 equals mu subscript 4" style="width:101.2pt;height:16.3pt" o:ole="">
            <v:imagedata r:id="rId52" o:title=""/>
          </v:shape>
          <o:OLEObject Type="Embed" ProgID="Equation.DSMT4" ShapeID="_x0000_i1044" DrawAspect="Content" ObjectID="_1607958299" r:id="rId53"/>
        </w:object>
      </w:r>
      <w:r w:rsidR="00366835" w:rsidRPr="0016147A">
        <w:t xml:space="preserve"> is rejected and the results of Tukey’s test indicate the following:</w:t>
      </w:r>
    </w:p>
    <w:p w:rsidR="00156B42" w:rsidRPr="0016147A" w:rsidRDefault="000347C5" w:rsidP="00156B42">
      <w:pPr>
        <w:tabs>
          <w:tab w:val="left" w:pos="720"/>
        </w:tabs>
        <w:autoSpaceDE w:val="0"/>
        <w:autoSpaceDN w:val="0"/>
        <w:adjustRightInd w:val="0"/>
        <w:spacing w:after="240" w:line="240" w:lineRule="auto"/>
        <w:jc w:val="center"/>
      </w:pPr>
      <w:r w:rsidRPr="0016147A">
        <w:rPr>
          <w:position w:val="-12"/>
        </w:rPr>
        <w:object w:dxaOrig="1080" w:dyaOrig="360">
          <v:shape id="_x0000_i1045" type="#_x0000_t75" alt="mu subscript 1 mu subscript 2 mu subscript 3 mu subscript 4" style="width:54.35pt;height:18.35pt" o:ole="">
            <v:imagedata r:id="rId54" o:title=""/>
          </v:shape>
          <o:OLEObject Type="Embed" ProgID="Equation.DSMT4" ShapeID="_x0000_i1045" DrawAspect="Content" ObjectID="_1607958300" r:id="rId55"/>
        </w:object>
      </w:r>
    </w:p>
    <w:p w:rsidR="00366835" w:rsidRPr="0016147A" w:rsidRDefault="00366835" w:rsidP="00156B42">
      <w:pPr>
        <w:pStyle w:val="linespace"/>
      </w:pPr>
      <w:r w:rsidRPr="0016147A">
        <w:t xml:space="preserve">We can conclude from this result that </w:t>
      </w:r>
      <w:r w:rsidR="000347C5" w:rsidRPr="0016147A">
        <w:rPr>
          <w:position w:val="-10"/>
        </w:rPr>
        <w:object w:dxaOrig="1140" w:dyaOrig="320">
          <v:shape id="_x0000_i1046" type="#_x0000_t75" alt="mu subscript 1 equals mu subscript 2 not equals to mu subscript 4" style="width:57.05pt;height:16.3pt" o:ole="">
            <v:imagedata r:id="rId56" o:title=""/>
          </v:shape>
          <o:OLEObject Type="Embed" ProgID="Equation.DSMT4" ShapeID="_x0000_i1046" DrawAspect="Content" ObjectID="_1607958301" r:id="rId57"/>
        </w:object>
      </w:r>
      <w:r w:rsidRPr="0016147A">
        <w:t xml:space="preserve">, but we cannot tell how </w:t>
      </w:r>
      <w:r w:rsidR="000347C5" w:rsidRPr="0016147A">
        <w:rPr>
          <w:position w:val="-10"/>
        </w:rPr>
        <w:object w:dxaOrig="279" w:dyaOrig="320">
          <v:shape id="_x0000_i1047" type="#_x0000_t75" alt="mu subscript 3" style="width:14.25pt;height:16.3pt" o:ole="">
            <v:imagedata r:id="rId58" o:title=""/>
          </v:shape>
          <o:OLEObject Type="Embed" ProgID="Equation.DSMT4" ShapeID="_x0000_i1047" DrawAspect="Content" ObjectID="_1607958302" r:id="rId59"/>
        </w:object>
      </w:r>
      <w:r w:rsidRPr="0016147A">
        <w:t xml:space="preserve"> is related to </w:t>
      </w:r>
      <w:r w:rsidR="000347C5" w:rsidRPr="0016147A">
        <w:rPr>
          <w:position w:val="-10"/>
        </w:rPr>
        <w:object w:dxaOrig="260" w:dyaOrig="320">
          <v:shape id="_x0000_i1048" type="#_x0000_t75" alt="mu subscript 1" style="width:12.9pt;height:16.3pt" o:ole="">
            <v:imagedata r:id="rId60" o:title=""/>
          </v:shape>
          <o:OLEObject Type="Embed" ProgID="Equation.DSMT4" ShapeID="_x0000_i1048" DrawAspect="Content" ObjectID="_1607958303" r:id="rId61"/>
        </w:object>
      </w:r>
      <w:r w:rsidRPr="0016147A">
        <w:t xml:space="preserve">, </w:t>
      </w:r>
      <w:r w:rsidR="000347C5" w:rsidRPr="0016147A">
        <w:rPr>
          <w:position w:val="-10"/>
        </w:rPr>
        <w:object w:dxaOrig="279" w:dyaOrig="320">
          <v:shape id="_x0000_i1049" type="#_x0000_t75" alt="mu subscript 2" style="width:14.25pt;height:16.3pt" o:ole="">
            <v:imagedata r:id="rId62" o:title=""/>
          </v:shape>
          <o:OLEObject Type="Embed" ProgID="Equation.DSMT4" ShapeID="_x0000_i1049" DrawAspect="Content" ObjectID="_1607958304" r:id="rId63"/>
        </w:object>
      </w:r>
      <w:r w:rsidRPr="0016147A">
        <w:t xml:space="preserve">, or </w:t>
      </w:r>
      <w:r w:rsidR="000347C5" w:rsidRPr="0016147A">
        <w:rPr>
          <w:position w:val="-10"/>
        </w:rPr>
        <w:object w:dxaOrig="279" w:dyaOrig="320">
          <v:shape id="_x0000_i1050" type="#_x0000_t75" alt="mu subscript 4" style="width:14.25pt;height:16.3pt" o:ole="">
            <v:imagedata r:id="rId64" o:title=""/>
          </v:shape>
          <o:OLEObject Type="Embed" ProgID="Equation.DSMT4" ShapeID="_x0000_i1050" DrawAspect="Content" ObjectID="_1607958305" r:id="rId65"/>
        </w:object>
      </w:r>
      <w:r w:rsidRPr="0016147A">
        <w:t>. A solution to this problem is to increase the sample size so that the test is more powerful.</w:t>
      </w:r>
    </w:p>
    <w:p w:rsidR="00366835" w:rsidRPr="0016147A" w:rsidRDefault="00366835" w:rsidP="009C46DB">
      <w:pPr>
        <w:tabs>
          <w:tab w:val="left" w:pos="720"/>
        </w:tabs>
        <w:autoSpaceDE w:val="0"/>
        <w:autoSpaceDN w:val="0"/>
        <w:adjustRightInd w:val="0"/>
        <w:spacing w:after="240" w:line="240" w:lineRule="auto"/>
      </w:pPr>
      <w:r w:rsidRPr="0016147A">
        <w:t>It can also happen that the one-way AN</w:t>
      </w:r>
      <w:bookmarkStart w:id="0" w:name="_GoBack"/>
      <w:bookmarkEnd w:id="0"/>
      <w:r w:rsidRPr="0016147A">
        <w:t xml:space="preserve">OVA rejects </w:t>
      </w:r>
      <w:r w:rsidR="000347C5" w:rsidRPr="0016147A">
        <w:rPr>
          <w:position w:val="-10"/>
        </w:rPr>
        <w:object w:dxaOrig="2000" w:dyaOrig="320">
          <v:shape id="_x0000_i1051" type="#_x0000_t75" alt="H subscript 0: mu subscript 1 equals mu subscript 2 equals ... equals mu subscript k" style="width:99.85pt;height:16.3pt" o:ole="">
            <v:imagedata r:id="rId66" o:title=""/>
          </v:shape>
          <o:OLEObject Type="Embed" ProgID="Equation.DSMT4" ShapeID="_x0000_i1051" DrawAspect="Content" ObjectID="_1607958306" r:id="rId67"/>
        </w:object>
      </w:r>
      <w:r w:rsidRPr="0016147A">
        <w:t xml:space="preserve"> but the Tukey test does not detect any pairwise differences. The result occurs because one-way ANOVA is more powerful than Tukey’s test. Again, the solution is to increase the sample size.</w:t>
      </w:r>
    </w:p>
    <w:sectPr w:rsidR="00366835" w:rsidRPr="0016147A" w:rsidSect="00A845B0">
      <w:headerReference w:type="default" r:id="rId68"/>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FCA" w:rsidRDefault="00A22FCA">
      <w:r>
        <w:separator/>
      </w:r>
    </w:p>
  </w:endnote>
  <w:endnote w:type="continuationSeparator" w:id="0">
    <w:p w:rsidR="00A22FCA" w:rsidRDefault="00A22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Default="00AC41A7"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126CFB">
      <w:rPr>
        <w:rStyle w:val="PageNumber"/>
        <w:b/>
        <w:noProof/>
        <w:sz w:val="24"/>
      </w:rPr>
      <w:t>328</w:t>
    </w:r>
    <w:r w:rsidRPr="004830CA">
      <w:rPr>
        <w:rStyle w:val="PageNumber"/>
        <w:b/>
        <w:sz w:val="24"/>
      </w:rPr>
      <w:fldChar w:fldCharType="end"/>
    </w:r>
  </w:p>
  <w:p w:rsidR="006B1849" w:rsidRPr="006B1849" w:rsidRDefault="006B1849" w:rsidP="006B1849">
    <w:pPr>
      <w:pStyle w:val="Footer"/>
      <w:spacing w:after="0" w:line="240" w:lineRule="auto"/>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Default="00AC41A7"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126CFB">
      <w:rPr>
        <w:rStyle w:val="PageNumber"/>
        <w:b/>
        <w:noProof/>
        <w:sz w:val="24"/>
      </w:rPr>
      <w:t>325</w:t>
    </w:r>
    <w:r w:rsidRPr="004830CA">
      <w:rPr>
        <w:rStyle w:val="PageNumber"/>
        <w:b/>
        <w:sz w:val="24"/>
      </w:rPr>
      <w:fldChar w:fldCharType="end"/>
    </w:r>
  </w:p>
  <w:p w:rsidR="006B1849" w:rsidRPr="006B1849" w:rsidRDefault="006B1849" w:rsidP="006B1849">
    <w:pPr>
      <w:pStyle w:val="Footer"/>
      <w:spacing w:after="0" w:line="240" w:lineRule="auto"/>
      <w:jc w:val="center"/>
    </w:pPr>
    <w:r w:rsidRPr="00507C1D">
      <w:t>Copyright © 201</w:t>
    </w:r>
    <w: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849" w:rsidRDefault="006B1849" w:rsidP="006B1849">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126CFB">
      <w:rPr>
        <w:rStyle w:val="PageNumber"/>
        <w:b/>
        <w:noProof/>
        <w:sz w:val="24"/>
      </w:rPr>
      <w:t>326</w:t>
    </w:r>
    <w:r w:rsidRPr="004830CA">
      <w:rPr>
        <w:rStyle w:val="PageNumber"/>
        <w:b/>
        <w:sz w:val="24"/>
      </w:rPr>
      <w:fldChar w:fldCharType="end"/>
    </w:r>
  </w:p>
  <w:p w:rsidR="00AC41A7" w:rsidRPr="00507C1D" w:rsidRDefault="00AC41A7" w:rsidP="004830CA">
    <w:pPr>
      <w:pStyle w:val="Footer"/>
      <w:spacing w:after="0" w:line="240" w:lineRule="auto"/>
      <w:jc w:val="center"/>
    </w:pPr>
    <w:r w:rsidRPr="00507C1D">
      <w:t>Copyright © 201</w:t>
    </w:r>
    <w:r w:rsidR="00C95EB3">
      <w:t>9</w:t>
    </w:r>
    <w:r w:rsidRPr="00507C1D">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FCA" w:rsidRDefault="00A22FCA">
      <w:r>
        <w:separator/>
      </w:r>
    </w:p>
  </w:footnote>
  <w:footnote w:type="continuationSeparator" w:id="0">
    <w:p w:rsidR="00A22FCA" w:rsidRDefault="00A22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FB74DF" w:rsidRDefault="00FB74DF" w:rsidP="00FB74DF">
    <w:pPr>
      <w:pStyle w:val="Header"/>
    </w:pPr>
    <w:r>
      <w:t xml:space="preserve">Chapter </w:t>
    </w:r>
    <w:r w:rsidR="00D349C9">
      <w:t xml:space="preserve">13: Comparing Three or More Means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875C37" w:rsidRDefault="00875C37" w:rsidP="001D7189">
    <w:pPr>
      <w:pStyle w:val="Header"/>
      <w:jc w:val="right"/>
    </w:pPr>
    <w:r w:rsidRPr="00875C37">
      <w:t>Chapter 13 - Comparing Three or More Means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FA4776" w:rsidRDefault="00D349C9" w:rsidP="00D349C9">
    <w:pPr>
      <w:pStyle w:val="Header"/>
    </w:pPr>
    <w:r>
      <w:t>Chapter 13: Comparing Three or More Means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875C37" w:rsidRDefault="00875C37" w:rsidP="00875C37">
    <w:pPr>
      <w:pStyle w:val="Header"/>
      <w:jc w:val="right"/>
    </w:pPr>
    <w:r w:rsidRPr="00875C37">
      <w:t>Chapter 13 - Comparing Three or More Means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5F30"/>
    <w:multiLevelType w:val="hybridMultilevel"/>
    <w:tmpl w:val="C3C85FB4"/>
    <w:lvl w:ilvl="0" w:tplc="40090011">
      <w:start w:val="1"/>
      <w:numFmt w:val="decimal"/>
      <w:lvlText w:val="%1)"/>
      <w:lvlJc w:val="left"/>
      <w:pPr>
        <w:ind w:left="10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BA0781"/>
    <w:multiLevelType w:val="hybridMultilevel"/>
    <w:tmpl w:val="12D24F48"/>
    <w:lvl w:ilvl="0" w:tplc="214263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167485"/>
    <w:multiLevelType w:val="hybridMultilevel"/>
    <w:tmpl w:val="677A2A08"/>
    <w:lvl w:ilvl="0" w:tplc="214263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11D02"/>
    <w:multiLevelType w:val="hybridMultilevel"/>
    <w:tmpl w:val="2AD0B8CA"/>
    <w:lvl w:ilvl="0" w:tplc="57BC4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3F04DA"/>
    <w:multiLevelType w:val="hybridMultilevel"/>
    <w:tmpl w:val="B5867848"/>
    <w:lvl w:ilvl="0" w:tplc="02D625B2">
      <w:start w:val="1"/>
      <w:numFmt w:val="decimal"/>
      <w:lvlText w:val="13.%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9A2EB7"/>
    <w:multiLevelType w:val="hybridMultilevel"/>
    <w:tmpl w:val="E452D7C6"/>
    <w:lvl w:ilvl="0" w:tplc="146A639C">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F44AF"/>
    <w:multiLevelType w:val="hybridMultilevel"/>
    <w:tmpl w:val="6950B23E"/>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FA4CC0"/>
    <w:multiLevelType w:val="hybridMultilevel"/>
    <w:tmpl w:val="2F46100E"/>
    <w:lvl w:ilvl="0" w:tplc="F62C90E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AB0C75"/>
    <w:multiLevelType w:val="hybridMultilevel"/>
    <w:tmpl w:val="D56E564E"/>
    <w:lvl w:ilvl="0" w:tplc="57BC4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6"/>
  </w:num>
  <w:num w:numId="6">
    <w:abstractNumId w:val="8"/>
  </w:num>
  <w:num w:numId="7">
    <w:abstractNumId w:val="2"/>
  </w:num>
  <w:num w:numId="8">
    <w:abstractNumId w:val="1"/>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B2"/>
    <w:rsid w:val="00001A42"/>
    <w:rsid w:val="00002D15"/>
    <w:rsid w:val="00006BA6"/>
    <w:rsid w:val="00006CE8"/>
    <w:rsid w:val="00006F11"/>
    <w:rsid w:val="000109C1"/>
    <w:rsid w:val="00011E0D"/>
    <w:rsid w:val="000135E8"/>
    <w:rsid w:val="00013B32"/>
    <w:rsid w:val="00023F32"/>
    <w:rsid w:val="00024C43"/>
    <w:rsid w:val="000251CD"/>
    <w:rsid w:val="0002690E"/>
    <w:rsid w:val="00027947"/>
    <w:rsid w:val="000339C2"/>
    <w:rsid w:val="000347C5"/>
    <w:rsid w:val="00034FE6"/>
    <w:rsid w:val="0003695C"/>
    <w:rsid w:val="00040E60"/>
    <w:rsid w:val="0004288E"/>
    <w:rsid w:val="000438AB"/>
    <w:rsid w:val="00047D2C"/>
    <w:rsid w:val="00060B5A"/>
    <w:rsid w:val="00062890"/>
    <w:rsid w:val="000646E7"/>
    <w:rsid w:val="00070F0A"/>
    <w:rsid w:val="00071E5D"/>
    <w:rsid w:val="000720C3"/>
    <w:rsid w:val="00073688"/>
    <w:rsid w:val="0008071B"/>
    <w:rsid w:val="00093AB9"/>
    <w:rsid w:val="00095637"/>
    <w:rsid w:val="00095B84"/>
    <w:rsid w:val="000965D2"/>
    <w:rsid w:val="00097449"/>
    <w:rsid w:val="000A04FF"/>
    <w:rsid w:val="000A2531"/>
    <w:rsid w:val="000A2737"/>
    <w:rsid w:val="000B2A12"/>
    <w:rsid w:val="000B7486"/>
    <w:rsid w:val="000C0651"/>
    <w:rsid w:val="000C7011"/>
    <w:rsid w:val="000D0727"/>
    <w:rsid w:val="000D211A"/>
    <w:rsid w:val="000D7E78"/>
    <w:rsid w:val="000E1360"/>
    <w:rsid w:val="000E17AA"/>
    <w:rsid w:val="000F6BB7"/>
    <w:rsid w:val="0010073E"/>
    <w:rsid w:val="00103FE4"/>
    <w:rsid w:val="00104DD1"/>
    <w:rsid w:val="001121BA"/>
    <w:rsid w:val="00116137"/>
    <w:rsid w:val="00126CFB"/>
    <w:rsid w:val="00126D76"/>
    <w:rsid w:val="00126D8B"/>
    <w:rsid w:val="00126F65"/>
    <w:rsid w:val="001300A2"/>
    <w:rsid w:val="0013156B"/>
    <w:rsid w:val="00131C50"/>
    <w:rsid w:val="00145027"/>
    <w:rsid w:val="00145EBE"/>
    <w:rsid w:val="00152931"/>
    <w:rsid w:val="00153087"/>
    <w:rsid w:val="00153FAC"/>
    <w:rsid w:val="0015562F"/>
    <w:rsid w:val="00156B42"/>
    <w:rsid w:val="00157A2A"/>
    <w:rsid w:val="0016147A"/>
    <w:rsid w:val="0016509B"/>
    <w:rsid w:val="0016748F"/>
    <w:rsid w:val="00171E53"/>
    <w:rsid w:val="00173B59"/>
    <w:rsid w:val="00176D66"/>
    <w:rsid w:val="001816A5"/>
    <w:rsid w:val="001837F5"/>
    <w:rsid w:val="0018527C"/>
    <w:rsid w:val="00196051"/>
    <w:rsid w:val="001A04AA"/>
    <w:rsid w:val="001A2607"/>
    <w:rsid w:val="001B0EA8"/>
    <w:rsid w:val="001B3E3F"/>
    <w:rsid w:val="001B4E09"/>
    <w:rsid w:val="001B6DA0"/>
    <w:rsid w:val="001C183C"/>
    <w:rsid w:val="001C253E"/>
    <w:rsid w:val="001C37F1"/>
    <w:rsid w:val="001D03E1"/>
    <w:rsid w:val="001D310C"/>
    <w:rsid w:val="001D3F1B"/>
    <w:rsid w:val="001D5D44"/>
    <w:rsid w:val="001D7189"/>
    <w:rsid w:val="001E2C67"/>
    <w:rsid w:val="001E42C0"/>
    <w:rsid w:val="001E6384"/>
    <w:rsid w:val="001F461B"/>
    <w:rsid w:val="001F6DF9"/>
    <w:rsid w:val="001F7109"/>
    <w:rsid w:val="001F77C1"/>
    <w:rsid w:val="00201612"/>
    <w:rsid w:val="00203516"/>
    <w:rsid w:val="00204CAC"/>
    <w:rsid w:val="00212751"/>
    <w:rsid w:val="00212DE2"/>
    <w:rsid w:val="00222E3E"/>
    <w:rsid w:val="00226ECB"/>
    <w:rsid w:val="00231099"/>
    <w:rsid w:val="00231510"/>
    <w:rsid w:val="00231927"/>
    <w:rsid w:val="00233417"/>
    <w:rsid w:val="00233EA2"/>
    <w:rsid w:val="00235635"/>
    <w:rsid w:val="00241AE3"/>
    <w:rsid w:val="00246A59"/>
    <w:rsid w:val="0024793D"/>
    <w:rsid w:val="0026571D"/>
    <w:rsid w:val="00265CA6"/>
    <w:rsid w:val="00266287"/>
    <w:rsid w:val="002749E5"/>
    <w:rsid w:val="00276267"/>
    <w:rsid w:val="002775C0"/>
    <w:rsid w:val="00283EF1"/>
    <w:rsid w:val="00285259"/>
    <w:rsid w:val="002861C0"/>
    <w:rsid w:val="00292B0B"/>
    <w:rsid w:val="00296A0C"/>
    <w:rsid w:val="002A549F"/>
    <w:rsid w:val="002B02E6"/>
    <w:rsid w:val="002B34DD"/>
    <w:rsid w:val="002B350A"/>
    <w:rsid w:val="002B386E"/>
    <w:rsid w:val="002B6478"/>
    <w:rsid w:val="002B6FF7"/>
    <w:rsid w:val="002C1608"/>
    <w:rsid w:val="002C1F64"/>
    <w:rsid w:val="002C2184"/>
    <w:rsid w:val="002C33C3"/>
    <w:rsid w:val="002D05F7"/>
    <w:rsid w:val="002D12F1"/>
    <w:rsid w:val="002D375F"/>
    <w:rsid w:val="002E028C"/>
    <w:rsid w:val="002E2837"/>
    <w:rsid w:val="002E3445"/>
    <w:rsid w:val="002F03CD"/>
    <w:rsid w:val="002F5909"/>
    <w:rsid w:val="002F7D50"/>
    <w:rsid w:val="0030082E"/>
    <w:rsid w:val="00302F80"/>
    <w:rsid w:val="0030467E"/>
    <w:rsid w:val="00306643"/>
    <w:rsid w:val="0031069E"/>
    <w:rsid w:val="00310875"/>
    <w:rsid w:val="00310E49"/>
    <w:rsid w:val="00317233"/>
    <w:rsid w:val="00317A66"/>
    <w:rsid w:val="00325441"/>
    <w:rsid w:val="003258BE"/>
    <w:rsid w:val="00327469"/>
    <w:rsid w:val="00327E1E"/>
    <w:rsid w:val="003335C7"/>
    <w:rsid w:val="00334B33"/>
    <w:rsid w:val="00336328"/>
    <w:rsid w:val="00345472"/>
    <w:rsid w:val="00345C28"/>
    <w:rsid w:val="003550B6"/>
    <w:rsid w:val="003559FB"/>
    <w:rsid w:val="00356F5C"/>
    <w:rsid w:val="00361D49"/>
    <w:rsid w:val="00365C54"/>
    <w:rsid w:val="00366835"/>
    <w:rsid w:val="00367D79"/>
    <w:rsid w:val="0037191E"/>
    <w:rsid w:val="00374C3B"/>
    <w:rsid w:val="003807B8"/>
    <w:rsid w:val="00380BDE"/>
    <w:rsid w:val="003860DA"/>
    <w:rsid w:val="00386CE4"/>
    <w:rsid w:val="003900DB"/>
    <w:rsid w:val="00391BED"/>
    <w:rsid w:val="00396027"/>
    <w:rsid w:val="003A1993"/>
    <w:rsid w:val="003A2928"/>
    <w:rsid w:val="003A680C"/>
    <w:rsid w:val="003B4AB5"/>
    <w:rsid w:val="003B529D"/>
    <w:rsid w:val="003B74BA"/>
    <w:rsid w:val="003C1B9D"/>
    <w:rsid w:val="003C249C"/>
    <w:rsid w:val="003C3F0F"/>
    <w:rsid w:val="003C4C28"/>
    <w:rsid w:val="003C589B"/>
    <w:rsid w:val="003C7725"/>
    <w:rsid w:val="003C7D2B"/>
    <w:rsid w:val="003D082F"/>
    <w:rsid w:val="003D2B8B"/>
    <w:rsid w:val="003D2EED"/>
    <w:rsid w:val="003D3F88"/>
    <w:rsid w:val="003D69C3"/>
    <w:rsid w:val="003E1676"/>
    <w:rsid w:val="003E4346"/>
    <w:rsid w:val="003E66B5"/>
    <w:rsid w:val="003E7CAB"/>
    <w:rsid w:val="003F0D7E"/>
    <w:rsid w:val="003F150B"/>
    <w:rsid w:val="003F3576"/>
    <w:rsid w:val="003F3961"/>
    <w:rsid w:val="00404341"/>
    <w:rsid w:val="0040696C"/>
    <w:rsid w:val="0040784F"/>
    <w:rsid w:val="00412C3C"/>
    <w:rsid w:val="00415684"/>
    <w:rsid w:val="00416B73"/>
    <w:rsid w:val="0042099A"/>
    <w:rsid w:val="00421A58"/>
    <w:rsid w:val="00427278"/>
    <w:rsid w:val="004306BE"/>
    <w:rsid w:val="00431C54"/>
    <w:rsid w:val="0043570A"/>
    <w:rsid w:val="00442BE7"/>
    <w:rsid w:val="00444249"/>
    <w:rsid w:val="00445006"/>
    <w:rsid w:val="0044647F"/>
    <w:rsid w:val="004567C2"/>
    <w:rsid w:val="004576B2"/>
    <w:rsid w:val="004612B7"/>
    <w:rsid w:val="00461D92"/>
    <w:rsid w:val="00466078"/>
    <w:rsid w:val="0047022F"/>
    <w:rsid w:val="00474984"/>
    <w:rsid w:val="004761F4"/>
    <w:rsid w:val="00477BBE"/>
    <w:rsid w:val="0048109A"/>
    <w:rsid w:val="00482297"/>
    <w:rsid w:val="004830CA"/>
    <w:rsid w:val="004836FB"/>
    <w:rsid w:val="00494CE0"/>
    <w:rsid w:val="00497819"/>
    <w:rsid w:val="004A103D"/>
    <w:rsid w:val="004A2A6E"/>
    <w:rsid w:val="004A30E9"/>
    <w:rsid w:val="004A398C"/>
    <w:rsid w:val="004A3F49"/>
    <w:rsid w:val="004A5665"/>
    <w:rsid w:val="004B032C"/>
    <w:rsid w:val="004B1970"/>
    <w:rsid w:val="004B1E6C"/>
    <w:rsid w:val="004B553E"/>
    <w:rsid w:val="004B72DF"/>
    <w:rsid w:val="004B7FD6"/>
    <w:rsid w:val="004C622C"/>
    <w:rsid w:val="004C73C1"/>
    <w:rsid w:val="004D00A2"/>
    <w:rsid w:val="004D27A6"/>
    <w:rsid w:val="004D6903"/>
    <w:rsid w:val="004D7AB1"/>
    <w:rsid w:val="004E0894"/>
    <w:rsid w:val="004E1BCB"/>
    <w:rsid w:val="004E2E08"/>
    <w:rsid w:val="004E31BD"/>
    <w:rsid w:val="004E3DEC"/>
    <w:rsid w:val="004E4259"/>
    <w:rsid w:val="004E488A"/>
    <w:rsid w:val="004E502D"/>
    <w:rsid w:val="004E56B0"/>
    <w:rsid w:val="004E6D55"/>
    <w:rsid w:val="004F1135"/>
    <w:rsid w:val="004F4C01"/>
    <w:rsid w:val="004F5BE3"/>
    <w:rsid w:val="00501520"/>
    <w:rsid w:val="005018F3"/>
    <w:rsid w:val="00503144"/>
    <w:rsid w:val="005063FB"/>
    <w:rsid w:val="00507C1D"/>
    <w:rsid w:val="005100D7"/>
    <w:rsid w:val="00512CA9"/>
    <w:rsid w:val="00514278"/>
    <w:rsid w:val="00514D88"/>
    <w:rsid w:val="00517C2B"/>
    <w:rsid w:val="00520264"/>
    <w:rsid w:val="00520C32"/>
    <w:rsid w:val="005232BB"/>
    <w:rsid w:val="005249B4"/>
    <w:rsid w:val="005266A3"/>
    <w:rsid w:val="005301EE"/>
    <w:rsid w:val="005412BC"/>
    <w:rsid w:val="005412F6"/>
    <w:rsid w:val="00543EAA"/>
    <w:rsid w:val="00546498"/>
    <w:rsid w:val="0054682D"/>
    <w:rsid w:val="00547F6C"/>
    <w:rsid w:val="0055056C"/>
    <w:rsid w:val="00551AE3"/>
    <w:rsid w:val="00552C70"/>
    <w:rsid w:val="00553407"/>
    <w:rsid w:val="005568B7"/>
    <w:rsid w:val="00556A84"/>
    <w:rsid w:val="0056206D"/>
    <w:rsid w:val="00562AB8"/>
    <w:rsid w:val="00562B39"/>
    <w:rsid w:val="005639F7"/>
    <w:rsid w:val="0056546F"/>
    <w:rsid w:val="00570775"/>
    <w:rsid w:val="005709AC"/>
    <w:rsid w:val="005742C1"/>
    <w:rsid w:val="005771E1"/>
    <w:rsid w:val="00577F70"/>
    <w:rsid w:val="00580EE5"/>
    <w:rsid w:val="00583BDB"/>
    <w:rsid w:val="00585E10"/>
    <w:rsid w:val="00595CEF"/>
    <w:rsid w:val="00596B18"/>
    <w:rsid w:val="005A22F3"/>
    <w:rsid w:val="005B2E49"/>
    <w:rsid w:val="005B4974"/>
    <w:rsid w:val="005B7293"/>
    <w:rsid w:val="005C12CA"/>
    <w:rsid w:val="005C1DF0"/>
    <w:rsid w:val="005C4477"/>
    <w:rsid w:val="005C4EA6"/>
    <w:rsid w:val="005C74E7"/>
    <w:rsid w:val="005C76E7"/>
    <w:rsid w:val="005D068F"/>
    <w:rsid w:val="005D5773"/>
    <w:rsid w:val="005D716E"/>
    <w:rsid w:val="005E0AB4"/>
    <w:rsid w:val="005E3188"/>
    <w:rsid w:val="005E3578"/>
    <w:rsid w:val="005E3AFD"/>
    <w:rsid w:val="005E3C99"/>
    <w:rsid w:val="005E46B4"/>
    <w:rsid w:val="005F2F5A"/>
    <w:rsid w:val="005F4D0F"/>
    <w:rsid w:val="005F5A56"/>
    <w:rsid w:val="00602D05"/>
    <w:rsid w:val="00604809"/>
    <w:rsid w:val="00610322"/>
    <w:rsid w:val="00613342"/>
    <w:rsid w:val="006133F3"/>
    <w:rsid w:val="0061379F"/>
    <w:rsid w:val="00613907"/>
    <w:rsid w:val="006140FC"/>
    <w:rsid w:val="00620D12"/>
    <w:rsid w:val="00621DB3"/>
    <w:rsid w:val="00624F60"/>
    <w:rsid w:val="00627ABE"/>
    <w:rsid w:val="00627B75"/>
    <w:rsid w:val="00630764"/>
    <w:rsid w:val="00634AC5"/>
    <w:rsid w:val="006377EF"/>
    <w:rsid w:val="00641EC3"/>
    <w:rsid w:val="006467F6"/>
    <w:rsid w:val="00652583"/>
    <w:rsid w:val="0065597D"/>
    <w:rsid w:val="0066710C"/>
    <w:rsid w:val="006671D4"/>
    <w:rsid w:val="00670875"/>
    <w:rsid w:val="00670C87"/>
    <w:rsid w:val="00686F32"/>
    <w:rsid w:val="006939C1"/>
    <w:rsid w:val="00695E60"/>
    <w:rsid w:val="006972FF"/>
    <w:rsid w:val="00697F23"/>
    <w:rsid w:val="00697F4B"/>
    <w:rsid w:val="006A0983"/>
    <w:rsid w:val="006A12A7"/>
    <w:rsid w:val="006A50D6"/>
    <w:rsid w:val="006A53BE"/>
    <w:rsid w:val="006A7D42"/>
    <w:rsid w:val="006B0F1F"/>
    <w:rsid w:val="006B1849"/>
    <w:rsid w:val="006B2874"/>
    <w:rsid w:val="006B3074"/>
    <w:rsid w:val="006B6523"/>
    <w:rsid w:val="006C2650"/>
    <w:rsid w:val="006C7EF1"/>
    <w:rsid w:val="006D0A35"/>
    <w:rsid w:val="006D4856"/>
    <w:rsid w:val="006D75C6"/>
    <w:rsid w:val="006E0187"/>
    <w:rsid w:val="006E537B"/>
    <w:rsid w:val="006F07B9"/>
    <w:rsid w:val="006F1867"/>
    <w:rsid w:val="006F53E8"/>
    <w:rsid w:val="00702873"/>
    <w:rsid w:val="00703DC1"/>
    <w:rsid w:val="00704981"/>
    <w:rsid w:val="0070793E"/>
    <w:rsid w:val="007125BA"/>
    <w:rsid w:val="00714388"/>
    <w:rsid w:val="0071740B"/>
    <w:rsid w:val="0072072A"/>
    <w:rsid w:val="007256DA"/>
    <w:rsid w:val="0073115D"/>
    <w:rsid w:val="00733C7D"/>
    <w:rsid w:val="007364C4"/>
    <w:rsid w:val="00751580"/>
    <w:rsid w:val="00751F49"/>
    <w:rsid w:val="007537B1"/>
    <w:rsid w:val="00754509"/>
    <w:rsid w:val="00754CB1"/>
    <w:rsid w:val="00760271"/>
    <w:rsid w:val="007605D6"/>
    <w:rsid w:val="00763070"/>
    <w:rsid w:val="00765558"/>
    <w:rsid w:val="00765626"/>
    <w:rsid w:val="00765A99"/>
    <w:rsid w:val="007721C5"/>
    <w:rsid w:val="00776E27"/>
    <w:rsid w:val="00781A36"/>
    <w:rsid w:val="00784DF4"/>
    <w:rsid w:val="00785670"/>
    <w:rsid w:val="00794EE5"/>
    <w:rsid w:val="00795453"/>
    <w:rsid w:val="00795DEA"/>
    <w:rsid w:val="007A0150"/>
    <w:rsid w:val="007A3096"/>
    <w:rsid w:val="007A3FA0"/>
    <w:rsid w:val="007A507E"/>
    <w:rsid w:val="007A54D7"/>
    <w:rsid w:val="007A7C76"/>
    <w:rsid w:val="007B0E66"/>
    <w:rsid w:val="007B1B4B"/>
    <w:rsid w:val="007B1ED6"/>
    <w:rsid w:val="007B27EC"/>
    <w:rsid w:val="007B4E93"/>
    <w:rsid w:val="007B6BED"/>
    <w:rsid w:val="007B6E02"/>
    <w:rsid w:val="007D7F67"/>
    <w:rsid w:val="007E1512"/>
    <w:rsid w:val="007E1827"/>
    <w:rsid w:val="007E1EA7"/>
    <w:rsid w:val="007E2F73"/>
    <w:rsid w:val="007E3A0A"/>
    <w:rsid w:val="007E60FA"/>
    <w:rsid w:val="007F1145"/>
    <w:rsid w:val="007F3312"/>
    <w:rsid w:val="00800A47"/>
    <w:rsid w:val="00803058"/>
    <w:rsid w:val="00803134"/>
    <w:rsid w:val="00803974"/>
    <w:rsid w:val="00807CCB"/>
    <w:rsid w:val="00812ABE"/>
    <w:rsid w:val="00812D91"/>
    <w:rsid w:val="00814B7E"/>
    <w:rsid w:val="00816AA0"/>
    <w:rsid w:val="0081757F"/>
    <w:rsid w:val="00820721"/>
    <w:rsid w:val="00822440"/>
    <w:rsid w:val="00826ADC"/>
    <w:rsid w:val="008272D6"/>
    <w:rsid w:val="008326EA"/>
    <w:rsid w:val="0084000E"/>
    <w:rsid w:val="008406DE"/>
    <w:rsid w:val="008415F1"/>
    <w:rsid w:val="00841D2D"/>
    <w:rsid w:val="00842675"/>
    <w:rsid w:val="00847D4D"/>
    <w:rsid w:val="00847F92"/>
    <w:rsid w:val="00850D01"/>
    <w:rsid w:val="00851887"/>
    <w:rsid w:val="0086060C"/>
    <w:rsid w:val="00860E62"/>
    <w:rsid w:val="0086562D"/>
    <w:rsid w:val="00865D5E"/>
    <w:rsid w:val="00865DAA"/>
    <w:rsid w:val="00867E9C"/>
    <w:rsid w:val="008738F4"/>
    <w:rsid w:val="00875C37"/>
    <w:rsid w:val="00876BB5"/>
    <w:rsid w:val="00876CDE"/>
    <w:rsid w:val="008774D7"/>
    <w:rsid w:val="00883F27"/>
    <w:rsid w:val="00891370"/>
    <w:rsid w:val="00891615"/>
    <w:rsid w:val="00891E63"/>
    <w:rsid w:val="008928BC"/>
    <w:rsid w:val="00892D10"/>
    <w:rsid w:val="0089393F"/>
    <w:rsid w:val="00893E59"/>
    <w:rsid w:val="008A61A8"/>
    <w:rsid w:val="008B52CA"/>
    <w:rsid w:val="008B5CC8"/>
    <w:rsid w:val="008B635D"/>
    <w:rsid w:val="008C5516"/>
    <w:rsid w:val="008C6C79"/>
    <w:rsid w:val="008D28D2"/>
    <w:rsid w:val="008D69FF"/>
    <w:rsid w:val="008E4693"/>
    <w:rsid w:val="008F2FE7"/>
    <w:rsid w:val="008F34E8"/>
    <w:rsid w:val="008F6912"/>
    <w:rsid w:val="0090034B"/>
    <w:rsid w:val="009005B6"/>
    <w:rsid w:val="00900FA7"/>
    <w:rsid w:val="00901D35"/>
    <w:rsid w:val="00901E64"/>
    <w:rsid w:val="009109FF"/>
    <w:rsid w:val="00912828"/>
    <w:rsid w:val="00912D0F"/>
    <w:rsid w:val="0091726C"/>
    <w:rsid w:val="009176EB"/>
    <w:rsid w:val="009216E6"/>
    <w:rsid w:val="009266B3"/>
    <w:rsid w:val="00934A69"/>
    <w:rsid w:val="009369EF"/>
    <w:rsid w:val="00937BEC"/>
    <w:rsid w:val="0094013E"/>
    <w:rsid w:val="009447A7"/>
    <w:rsid w:val="00953EF7"/>
    <w:rsid w:val="00956A93"/>
    <w:rsid w:val="009578E8"/>
    <w:rsid w:val="00960479"/>
    <w:rsid w:val="00964812"/>
    <w:rsid w:val="00966E73"/>
    <w:rsid w:val="00967109"/>
    <w:rsid w:val="00970458"/>
    <w:rsid w:val="00970B6F"/>
    <w:rsid w:val="0097556C"/>
    <w:rsid w:val="0098647E"/>
    <w:rsid w:val="00987BD7"/>
    <w:rsid w:val="009903F3"/>
    <w:rsid w:val="0099046D"/>
    <w:rsid w:val="00992E1B"/>
    <w:rsid w:val="00995246"/>
    <w:rsid w:val="009A0BD6"/>
    <w:rsid w:val="009A6F1D"/>
    <w:rsid w:val="009A7C77"/>
    <w:rsid w:val="009B61A0"/>
    <w:rsid w:val="009C46DB"/>
    <w:rsid w:val="009C46E9"/>
    <w:rsid w:val="009D50D5"/>
    <w:rsid w:val="009D6571"/>
    <w:rsid w:val="009E076A"/>
    <w:rsid w:val="009E4717"/>
    <w:rsid w:val="009E765A"/>
    <w:rsid w:val="009F0C08"/>
    <w:rsid w:val="009F3F3C"/>
    <w:rsid w:val="009F636B"/>
    <w:rsid w:val="00A03FFB"/>
    <w:rsid w:val="00A04E73"/>
    <w:rsid w:val="00A05C5C"/>
    <w:rsid w:val="00A06A95"/>
    <w:rsid w:val="00A07737"/>
    <w:rsid w:val="00A07923"/>
    <w:rsid w:val="00A12A22"/>
    <w:rsid w:val="00A15982"/>
    <w:rsid w:val="00A21C25"/>
    <w:rsid w:val="00A22293"/>
    <w:rsid w:val="00A22999"/>
    <w:rsid w:val="00A22FCA"/>
    <w:rsid w:val="00A30CE7"/>
    <w:rsid w:val="00A31719"/>
    <w:rsid w:val="00A34FC4"/>
    <w:rsid w:val="00A37A5A"/>
    <w:rsid w:val="00A41C17"/>
    <w:rsid w:val="00A44848"/>
    <w:rsid w:val="00A46229"/>
    <w:rsid w:val="00A465F0"/>
    <w:rsid w:val="00A478DF"/>
    <w:rsid w:val="00A5118A"/>
    <w:rsid w:val="00A57BDB"/>
    <w:rsid w:val="00A60D61"/>
    <w:rsid w:val="00A640C5"/>
    <w:rsid w:val="00A662F0"/>
    <w:rsid w:val="00A67E3E"/>
    <w:rsid w:val="00A71852"/>
    <w:rsid w:val="00A72991"/>
    <w:rsid w:val="00A73BB8"/>
    <w:rsid w:val="00A74192"/>
    <w:rsid w:val="00A744BE"/>
    <w:rsid w:val="00A77957"/>
    <w:rsid w:val="00A810A4"/>
    <w:rsid w:val="00A818E0"/>
    <w:rsid w:val="00A842D1"/>
    <w:rsid w:val="00A84463"/>
    <w:rsid w:val="00A845B0"/>
    <w:rsid w:val="00A85E41"/>
    <w:rsid w:val="00A87B52"/>
    <w:rsid w:val="00A925DF"/>
    <w:rsid w:val="00A93D4E"/>
    <w:rsid w:val="00AA3C9E"/>
    <w:rsid w:val="00AA4237"/>
    <w:rsid w:val="00AA4506"/>
    <w:rsid w:val="00AA6A60"/>
    <w:rsid w:val="00AB04F3"/>
    <w:rsid w:val="00AB323B"/>
    <w:rsid w:val="00AB67EA"/>
    <w:rsid w:val="00AB71DF"/>
    <w:rsid w:val="00AC041F"/>
    <w:rsid w:val="00AC070D"/>
    <w:rsid w:val="00AC41A7"/>
    <w:rsid w:val="00AC54E6"/>
    <w:rsid w:val="00AD0CF6"/>
    <w:rsid w:val="00AD7111"/>
    <w:rsid w:val="00AD7727"/>
    <w:rsid w:val="00AE0AE5"/>
    <w:rsid w:val="00AE460E"/>
    <w:rsid w:val="00AE51FC"/>
    <w:rsid w:val="00AE7338"/>
    <w:rsid w:val="00AE7558"/>
    <w:rsid w:val="00AF13CF"/>
    <w:rsid w:val="00AF2C41"/>
    <w:rsid w:val="00AF4399"/>
    <w:rsid w:val="00AF4B01"/>
    <w:rsid w:val="00AF57A3"/>
    <w:rsid w:val="00AF5CCE"/>
    <w:rsid w:val="00AF6793"/>
    <w:rsid w:val="00B04488"/>
    <w:rsid w:val="00B13468"/>
    <w:rsid w:val="00B1395F"/>
    <w:rsid w:val="00B17B93"/>
    <w:rsid w:val="00B20DC0"/>
    <w:rsid w:val="00B241FA"/>
    <w:rsid w:val="00B2449A"/>
    <w:rsid w:val="00B30772"/>
    <w:rsid w:val="00B31570"/>
    <w:rsid w:val="00B31704"/>
    <w:rsid w:val="00B324E2"/>
    <w:rsid w:val="00B339B5"/>
    <w:rsid w:val="00B364AA"/>
    <w:rsid w:val="00B37EA5"/>
    <w:rsid w:val="00B44607"/>
    <w:rsid w:val="00B46A0B"/>
    <w:rsid w:val="00B46BA9"/>
    <w:rsid w:val="00B47DCD"/>
    <w:rsid w:val="00B50DB3"/>
    <w:rsid w:val="00B535DE"/>
    <w:rsid w:val="00B53C5E"/>
    <w:rsid w:val="00B5443A"/>
    <w:rsid w:val="00B55F15"/>
    <w:rsid w:val="00B56C5E"/>
    <w:rsid w:val="00B573D8"/>
    <w:rsid w:val="00B5751D"/>
    <w:rsid w:val="00B60FE4"/>
    <w:rsid w:val="00B62500"/>
    <w:rsid w:val="00B6267A"/>
    <w:rsid w:val="00B729FC"/>
    <w:rsid w:val="00B75254"/>
    <w:rsid w:val="00B764E7"/>
    <w:rsid w:val="00B7720B"/>
    <w:rsid w:val="00B83C1F"/>
    <w:rsid w:val="00B84143"/>
    <w:rsid w:val="00B879F9"/>
    <w:rsid w:val="00B94260"/>
    <w:rsid w:val="00B94E7B"/>
    <w:rsid w:val="00B967EA"/>
    <w:rsid w:val="00B97268"/>
    <w:rsid w:val="00BA1CDA"/>
    <w:rsid w:val="00BA2256"/>
    <w:rsid w:val="00BA26E4"/>
    <w:rsid w:val="00BA56C1"/>
    <w:rsid w:val="00BA5D4A"/>
    <w:rsid w:val="00BA5F48"/>
    <w:rsid w:val="00BA64CC"/>
    <w:rsid w:val="00BB00A6"/>
    <w:rsid w:val="00BB140B"/>
    <w:rsid w:val="00BB33BE"/>
    <w:rsid w:val="00BB614C"/>
    <w:rsid w:val="00BB6986"/>
    <w:rsid w:val="00BB7E66"/>
    <w:rsid w:val="00BC3423"/>
    <w:rsid w:val="00BC63A5"/>
    <w:rsid w:val="00BD3DE9"/>
    <w:rsid w:val="00BD7745"/>
    <w:rsid w:val="00BE234A"/>
    <w:rsid w:val="00BE64DE"/>
    <w:rsid w:val="00BE664D"/>
    <w:rsid w:val="00BE7921"/>
    <w:rsid w:val="00BF0B8D"/>
    <w:rsid w:val="00C03F52"/>
    <w:rsid w:val="00C046C8"/>
    <w:rsid w:val="00C071C8"/>
    <w:rsid w:val="00C1101C"/>
    <w:rsid w:val="00C12DC5"/>
    <w:rsid w:val="00C170D6"/>
    <w:rsid w:val="00C223DF"/>
    <w:rsid w:val="00C2677A"/>
    <w:rsid w:val="00C30915"/>
    <w:rsid w:val="00C30DE9"/>
    <w:rsid w:val="00C33B33"/>
    <w:rsid w:val="00C34CD5"/>
    <w:rsid w:val="00C3534F"/>
    <w:rsid w:val="00C35E23"/>
    <w:rsid w:val="00C36BF8"/>
    <w:rsid w:val="00C4119C"/>
    <w:rsid w:val="00C41764"/>
    <w:rsid w:val="00C4324E"/>
    <w:rsid w:val="00C51187"/>
    <w:rsid w:val="00C51CA9"/>
    <w:rsid w:val="00C53853"/>
    <w:rsid w:val="00C56538"/>
    <w:rsid w:val="00C61531"/>
    <w:rsid w:val="00C639BA"/>
    <w:rsid w:val="00C70287"/>
    <w:rsid w:val="00C712F5"/>
    <w:rsid w:val="00C738C5"/>
    <w:rsid w:val="00C743EC"/>
    <w:rsid w:val="00C80EB9"/>
    <w:rsid w:val="00C81751"/>
    <w:rsid w:val="00C832DF"/>
    <w:rsid w:val="00C86047"/>
    <w:rsid w:val="00C86A9F"/>
    <w:rsid w:val="00C87B77"/>
    <w:rsid w:val="00C90111"/>
    <w:rsid w:val="00C92B72"/>
    <w:rsid w:val="00C95EB3"/>
    <w:rsid w:val="00C97917"/>
    <w:rsid w:val="00CA059E"/>
    <w:rsid w:val="00CA3551"/>
    <w:rsid w:val="00CA609B"/>
    <w:rsid w:val="00CA6FB5"/>
    <w:rsid w:val="00CA7B69"/>
    <w:rsid w:val="00CB2D3F"/>
    <w:rsid w:val="00CB4C3D"/>
    <w:rsid w:val="00CB7E27"/>
    <w:rsid w:val="00CC3370"/>
    <w:rsid w:val="00CD0EC9"/>
    <w:rsid w:val="00CD78C6"/>
    <w:rsid w:val="00CE7EEC"/>
    <w:rsid w:val="00CF0C96"/>
    <w:rsid w:val="00CF3F0F"/>
    <w:rsid w:val="00D0087A"/>
    <w:rsid w:val="00D01A90"/>
    <w:rsid w:val="00D0753D"/>
    <w:rsid w:val="00D11B0E"/>
    <w:rsid w:val="00D12EED"/>
    <w:rsid w:val="00D15F49"/>
    <w:rsid w:val="00D21B45"/>
    <w:rsid w:val="00D222ED"/>
    <w:rsid w:val="00D226B6"/>
    <w:rsid w:val="00D252D3"/>
    <w:rsid w:val="00D26570"/>
    <w:rsid w:val="00D30F86"/>
    <w:rsid w:val="00D349C9"/>
    <w:rsid w:val="00D34C37"/>
    <w:rsid w:val="00D35425"/>
    <w:rsid w:val="00D35659"/>
    <w:rsid w:val="00D36278"/>
    <w:rsid w:val="00D376AC"/>
    <w:rsid w:val="00D378BE"/>
    <w:rsid w:val="00D413AB"/>
    <w:rsid w:val="00D41731"/>
    <w:rsid w:val="00D41F91"/>
    <w:rsid w:val="00D50067"/>
    <w:rsid w:val="00D520F0"/>
    <w:rsid w:val="00D554D4"/>
    <w:rsid w:val="00D63B88"/>
    <w:rsid w:val="00D65CE5"/>
    <w:rsid w:val="00D67627"/>
    <w:rsid w:val="00D704D9"/>
    <w:rsid w:val="00D72981"/>
    <w:rsid w:val="00D7313D"/>
    <w:rsid w:val="00D735DE"/>
    <w:rsid w:val="00D74361"/>
    <w:rsid w:val="00D7730D"/>
    <w:rsid w:val="00D82C8C"/>
    <w:rsid w:val="00D854C4"/>
    <w:rsid w:val="00D9390B"/>
    <w:rsid w:val="00D94280"/>
    <w:rsid w:val="00D95AF0"/>
    <w:rsid w:val="00DA02A2"/>
    <w:rsid w:val="00DA54A7"/>
    <w:rsid w:val="00DA6E18"/>
    <w:rsid w:val="00DC6182"/>
    <w:rsid w:val="00DD4332"/>
    <w:rsid w:val="00DD4FF1"/>
    <w:rsid w:val="00DE08D3"/>
    <w:rsid w:val="00DE1372"/>
    <w:rsid w:val="00DE345D"/>
    <w:rsid w:val="00DE418B"/>
    <w:rsid w:val="00DE6E5D"/>
    <w:rsid w:val="00DE7428"/>
    <w:rsid w:val="00DE7630"/>
    <w:rsid w:val="00DF04EC"/>
    <w:rsid w:val="00DF5ADA"/>
    <w:rsid w:val="00DF5F4A"/>
    <w:rsid w:val="00DF7626"/>
    <w:rsid w:val="00DF7C19"/>
    <w:rsid w:val="00E02A69"/>
    <w:rsid w:val="00E06098"/>
    <w:rsid w:val="00E06A36"/>
    <w:rsid w:val="00E072A5"/>
    <w:rsid w:val="00E141A4"/>
    <w:rsid w:val="00E14F63"/>
    <w:rsid w:val="00E1560B"/>
    <w:rsid w:val="00E20B07"/>
    <w:rsid w:val="00E22AAF"/>
    <w:rsid w:val="00E23A37"/>
    <w:rsid w:val="00E335CD"/>
    <w:rsid w:val="00E37253"/>
    <w:rsid w:val="00E4208E"/>
    <w:rsid w:val="00E42531"/>
    <w:rsid w:val="00E43322"/>
    <w:rsid w:val="00E47FEE"/>
    <w:rsid w:val="00E534EE"/>
    <w:rsid w:val="00E55F9A"/>
    <w:rsid w:val="00E6020F"/>
    <w:rsid w:val="00E633F3"/>
    <w:rsid w:val="00E633F5"/>
    <w:rsid w:val="00E64628"/>
    <w:rsid w:val="00E66456"/>
    <w:rsid w:val="00E70717"/>
    <w:rsid w:val="00E77CF2"/>
    <w:rsid w:val="00E85914"/>
    <w:rsid w:val="00E85CFE"/>
    <w:rsid w:val="00E876B6"/>
    <w:rsid w:val="00E92D64"/>
    <w:rsid w:val="00E95557"/>
    <w:rsid w:val="00EA1800"/>
    <w:rsid w:val="00EA1D7B"/>
    <w:rsid w:val="00EB595D"/>
    <w:rsid w:val="00ED7B15"/>
    <w:rsid w:val="00EE0C1C"/>
    <w:rsid w:val="00EF1E80"/>
    <w:rsid w:val="00EF2E05"/>
    <w:rsid w:val="00EF4C47"/>
    <w:rsid w:val="00F00E91"/>
    <w:rsid w:val="00F021E9"/>
    <w:rsid w:val="00F10D06"/>
    <w:rsid w:val="00F12CB5"/>
    <w:rsid w:val="00F13AC7"/>
    <w:rsid w:val="00F166CB"/>
    <w:rsid w:val="00F21934"/>
    <w:rsid w:val="00F23A95"/>
    <w:rsid w:val="00F24347"/>
    <w:rsid w:val="00F25FAB"/>
    <w:rsid w:val="00F3422E"/>
    <w:rsid w:val="00F343EA"/>
    <w:rsid w:val="00F34727"/>
    <w:rsid w:val="00F34A67"/>
    <w:rsid w:val="00F4313C"/>
    <w:rsid w:val="00F45512"/>
    <w:rsid w:val="00F4693C"/>
    <w:rsid w:val="00F51C00"/>
    <w:rsid w:val="00F54BCE"/>
    <w:rsid w:val="00F61149"/>
    <w:rsid w:val="00F6370F"/>
    <w:rsid w:val="00F63EF9"/>
    <w:rsid w:val="00F6407C"/>
    <w:rsid w:val="00F67600"/>
    <w:rsid w:val="00F73F49"/>
    <w:rsid w:val="00F851D8"/>
    <w:rsid w:val="00F917A6"/>
    <w:rsid w:val="00F9352D"/>
    <w:rsid w:val="00F93805"/>
    <w:rsid w:val="00FA4776"/>
    <w:rsid w:val="00FA4BAF"/>
    <w:rsid w:val="00FA6096"/>
    <w:rsid w:val="00FB0181"/>
    <w:rsid w:val="00FB122E"/>
    <w:rsid w:val="00FB1F5C"/>
    <w:rsid w:val="00FB2596"/>
    <w:rsid w:val="00FB4D30"/>
    <w:rsid w:val="00FB67EC"/>
    <w:rsid w:val="00FB74DF"/>
    <w:rsid w:val="00FC1466"/>
    <w:rsid w:val="00FC14FF"/>
    <w:rsid w:val="00FC2958"/>
    <w:rsid w:val="00FC6151"/>
    <w:rsid w:val="00FC7FDC"/>
    <w:rsid w:val="00FD04E2"/>
    <w:rsid w:val="00FD129C"/>
    <w:rsid w:val="00FD1A32"/>
    <w:rsid w:val="00FD26FD"/>
    <w:rsid w:val="00FD3732"/>
    <w:rsid w:val="00FD5336"/>
    <w:rsid w:val="00FE4221"/>
    <w:rsid w:val="00FF036E"/>
    <w:rsid w:val="00FF3888"/>
    <w:rsid w:val="00FF3BC1"/>
    <w:rsid w:val="00FF7076"/>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iscardImageEditingData/>
  <w15:chartTrackingRefBased/>
  <w15:docId w15:val="{3B99A534-7906-433B-BE54-684A6FBA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7B9"/>
    <w:pPr>
      <w:spacing w:after="200" w:line="276" w:lineRule="auto"/>
    </w:pPr>
    <w:rPr>
      <w:rFonts w:ascii="Times New Roman" w:hAnsi="Times New Roman"/>
      <w:sz w:val="22"/>
      <w:szCs w:val="22"/>
      <w:lang w:val="en-US" w:eastAsia="en-US"/>
    </w:rPr>
  </w:style>
  <w:style w:type="paragraph" w:styleId="Heading1">
    <w:name w:val="heading 1"/>
    <w:basedOn w:val="Normal"/>
    <w:next w:val="Normal"/>
    <w:link w:val="Heading1Char"/>
    <w:uiPriority w:val="9"/>
    <w:qFormat/>
    <w:rsid w:val="006F07B9"/>
    <w:pPr>
      <w:spacing w:after="0"/>
      <w:jc w:val="center"/>
      <w:outlineLvl w:val="0"/>
    </w:pPr>
    <w:rPr>
      <w:b/>
      <w:noProof/>
      <w:sz w:val="72"/>
      <w:szCs w:val="72"/>
    </w:rPr>
  </w:style>
  <w:style w:type="paragraph" w:styleId="Heading2">
    <w:name w:val="heading 2"/>
    <w:basedOn w:val="Normal"/>
    <w:next w:val="Normal"/>
    <w:link w:val="Heading2Char"/>
    <w:uiPriority w:val="9"/>
    <w:qFormat/>
    <w:rsid w:val="006F07B9"/>
    <w:pPr>
      <w:shd w:val="clear" w:color="auto" w:fill="BFBFBF"/>
      <w:spacing w:before="240" w:after="240" w:line="240" w:lineRule="auto"/>
      <w:jc w:val="center"/>
      <w:outlineLvl w:val="1"/>
    </w:pPr>
    <w:rPr>
      <w:b/>
      <w:sz w:val="28"/>
      <w:szCs w:val="28"/>
    </w:rPr>
  </w:style>
  <w:style w:type="paragraph" w:styleId="Heading3">
    <w:name w:val="heading 3"/>
    <w:basedOn w:val="Normal"/>
    <w:next w:val="Normal"/>
    <w:link w:val="Heading3Char"/>
    <w:uiPriority w:val="9"/>
    <w:qFormat/>
    <w:rsid w:val="006F07B9"/>
    <w:pPr>
      <w:spacing w:before="480" w:after="240"/>
      <w:outlineLvl w:val="2"/>
    </w:pPr>
    <w:rPr>
      <w:b/>
      <w:sz w:val="24"/>
      <w:szCs w:val="24"/>
    </w:rPr>
  </w:style>
  <w:style w:type="paragraph" w:styleId="Heading4">
    <w:name w:val="heading 4"/>
    <w:basedOn w:val="Normal"/>
    <w:next w:val="Normal"/>
    <w:link w:val="Heading4Char"/>
    <w:uiPriority w:val="9"/>
    <w:qFormat/>
    <w:rsid w:val="00585E10"/>
    <w:pPr>
      <w:pBdr>
        <w:top w:val="single" w:sz="12" w:space="1" w:color="auto"/>
      </w:pBdr>
      <w:outlineLvl w:val="3"/>
    </w:pPr>
    <w:rPr>
      <w:b/>
      <w:i/>
      <w:sz w:val="24"/>
    </w:rPr>
  </w:style>
  <w:style w:type="paragraph" w:styleId="Heading5">
    <w:name w:val="heading 5"/>
    <w:basedOn w:val="Normal"/>
    <w:next w:val="Normal"/>
    <w:link w:val="Heading5Char"/>
    <w:uiPriority w:val="9"/>
    <w:semiHidden/>
    <w:unhideWhenUsed/>
    <w:qFormat/>
    <w:rsid w:val="00585E10"/>
    <w:pPr>
      <w:keepNext/>
      <w:keepLines/>
      <w:spacing w:before="40" w:after="0"/>
      <w:outlineLvl w:val="4"/>
    </w:pPr>
    <w:rPr>
      <w:rFonts w:ascii="Calibri Light" w:eastAsia="DengXian Light" w:hAnsi="Calibri Light" w:cs="Shrut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7B9"/>
    <w:rPr>
      <w:rFonts w:ascii="Times New Roman" w:hAnsi="Times New Roman"/>
      <w:b/>
      <w:noProof/>
      <w:sz w:val="72"/>
      <w:szCs w:val="72"/>
      <w:lang w:val="en-US" w:eastAsia="en-US"/>
    </w:rPr>
  </w:style>
  <w:style w:type="character" w:customStyle="1" w:styleId="Heading2Char">
    <w:name w:val="Heading 2 Char"/>
    <w:link w:val="Heading2"/>
    <w:uiPriority w:val="9"/>
    <w:rsid w:val="006F07B9"/>
    <w:rPr>
      <w:rFonts w:ascii="Times New Roman" w:hAnsi="Times New Roman"/>
      <w:b/>
      <w:sz w:val="28"/>
      <w:szCs w:val="28"/>
      <w:shd w:val="clear" w:color="auto" w:fill="BFBFBF"/>
      <w:lang w:val="en-US" w:eastAsia="en-US"/>
    </w:rPr>
  </w:style>
  <w:style w:type="paragraph" w:styleId="ListParagraph">
    <w:name w:val="List Paragraph"/>
    <w:basedOn w:val="Normal"/>
    <w:uiPriority w:val="34"/>
    <w:qFormat/>
    <w:rsid w:val="00585E10"/>
    <w:pPr>
      <w:ind w:left="720"/>
      <w:contextualSpacing/>
    </w:pPr>
  </w:style>
  <w:style w:type="table" w:styleId="TableGrid">
    <w:name w:val="Table Grid"/>
    <w:basedOn w:val="TableNormal"/>
    <w:uiPriority w:val="59"/>
    <w:rsid w:val="00585E10"/>
    <w:rPr>
      <w:lang w:val="en-US"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6F07B9"/>
    <w:rPr>
      <w:rFonts w:ascii="Times New Roman" w:hAnsi="Times New Roman"/>
      <w:b/>
      <w:sz w:val="24"/>
      <w:szCs w:val="24"/>
      <w:lang w:val="en-US" w:eastAsia="en-US"/>
    </w:rPr>
  </w:style>
  <w:style w:type="character" w:customStyle="1" w:styleId="Heading4Char">
    <w:name w:val="Heading 4 Char"/>
    <w:link w:val="Heading4"/>
    <w:uiPriority w:val="9"/>
    <w:rsid w:val="00585E10"/>
    <w:rPr>
      <w:rFonts w:ascii="Times New Roman" w:hAnsi="Times New Roman"/>
      <w:b/>
      <w:i/>
      <w:sz w:val="24"/>
      <w:szCs w:val="22"/>
      <w:lang w:val="en-US" w:eastAsia="en-US"/>
    </w:rPr>
  </w:style>
  <w:style w:type="paragraph" w:styleId="NormalWeb">
    <w:name w:val="Normal (Web)"/>
    <w:basedOn w:val="Normal"/>
    <w:uiPriority w:val="99"/>
    <w:semiHidden/>
    <w:unhideWhenUsed/>
    <w:rsid w:val="00585E10"/>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585E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85E10"/>
    <w:rPr>
      <w:rFonts w:ascii="Tahoma" w:hAnsi="Tahoma" w:cs="Tahoma"/>
      <w:sz w:val="16"/>
      <w:szCs w:val="16"/>
      <w:lang w:val="en-US" w:eastAsia="en-US"/>
    </w:rPr>
  </w:style>
  <w:style w:type="character" w:styleId="CommentReference">
    <w:name w:val="annotation reference"/>
    <w:uiPriority w:val="99"/>
    <w:semiHidden/>
    <w:unhideWhenUsed/>
    <w:rsid w:val="00585E10"/>
    <w:rPr>
      <w:sz w:val="16"/>
      <w:szCs w:val="16"/>
    </w:rPr>
  </w:style>
  <w:style w:type="table" w:customStyle="1" w:styleId="LightList1">
    <w:name w:val="Light List1"/>
    <w:basedOn w:val="TableNormal"/>
    <w:uiPriority w:val="61"/>
    <w:rsid w:val="00585E10"/>
    <w:rPr>
      <w:rFonts w:eastAsia="Times New Roman"/>
      <w:lang w:val="en-US"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585E10"/>
    <w:pPr>
      <w:spacing w:line="240" w:lineRule="auto"/>
    </w:pPr>
    <w:rPr>
      <w:sz w:val="20"/>
      <w:szCs w:val="20"/>
    </w:rPr>
  </w:style>
  <w:style w:type="character" w:customStyle="1" w:styleId="CommentTextChar">
    <w:name w:val="Comment Text Char"/>
    <w:link w:val="CommentText"/>
    <w:uiPriority w:val="99"/>
    <w:semiHidden/>
    <w:rsid w:val="00585E10"/>
    <w:rPr>
      <w:lang w:val="en-US" w:eastAsia="en-US"/>
    </w:rPr>
  </w:style>
  <w:style w:type="paragraph" w:styleId="CommentSubject">
    <w:name w:val="annotation subject"/>
    <w:basedOn w:val="CommentText"/>
    <w:next w:val="CommentText"/>
    <w:link w:val="CommentSubjectChar"/>
    <w:uiPriority w:val="99"/>
    <w:semiHidden/>
    <w:unhideWhenUsed/>
    <w:rsid w:val="00585E10"/>
    <w:rPr>
      <w:b/>
      <w:bCs/>
    </w:rPr>
  </w:style>
  <w:style w:type="character" w:customStyle="1" w:styleId="CommentSubjectChar">
    <w:name w:val="Comment Subject Char"/>
    <w:link w:val="CommentSubject"/>
    <w:uiPriority w:val="99"/>
    <w:semiHidden/>
    <w:rsid w:val="00585E10"/>
    <w:rPr>
      <w:b/>
      <w:bCs/>
      <w:lang w:val="en-US" w:eastAsia="en-US"/>
    </w:rPr>
  </w:style>
  <w:style w:type="paragraph" w:styleId="Header">
    <w:name w:val="header"/>
    <w:basedOn w:val="Normal"/>
    <w:rsid w:val="00585E10"/>
    <w:pPr>
      <w:tabs>
        <w:tab w:val="center" w:pos="4320"/>
        <w:tab w:val="right" w:pos="8640"/>
      </w:tabs>
    </w:pPr>
  </w:style>
  <w:style w:type="paragraph" w:styleId="Footer">
    <w:name w:val="footer"/>
    <w:basedOn w:val="Normal"/>
    <w:link w:val="FooterChar"/>
    <w:rsid w:val="00585E10"/>
    <w:pPr>
      <w:tabs>
        <w:tab w:val="center" w:pos="4320"/>
        <w:tab w:val="right" w:pos="8640"/>
      </w:tabs>
    </w:pPr>
  </w:style>
  <w:style w:type="character" w:styleId="PageNumber">
    <w:name w:val="page number"/>
    <w:rsid w:val="00585E10"/>
  </w:style>
  <w:style w:type="character" w:customStyle="1" w:styleId="mn">
    <w:name w:val="mn"/>
    <w:rsid w:val="00585E10"/>
  </w:style>
  <w:style w:type="paragraph" w:styleId="Revision">
    <w:name w:val="Revision"/>
    <w:hidden/>
    <w:uiPriority w:val="99"/>
    <w:semiHidden/>
    <w:rsid w:val="00BF0B8D"/>
    <w:rPr>
      <w:sz w:val="22"/>
      <w:szCs w:val="22"/>
      <w:lang w:val="en-US" w:eastAsia="en-US"/>
    </w:rPr>
  </w:style>
  <w:style w:type="character" w:customStyle="1" w:styleId="mi">
    <w:name w:val="mi"/>
    <w:rsid w:val="00585E10"/>
  </w:style>
  <w:style w:type="character" w:customStyle="1" w:styleId="mo">
    <w:name w:val="mo"/>
    <w:rsid w:val="00543EAA"/>
  </w:style>
  <w:style w:type="character" w:customStyle="1" w:styleId="mtext">
    <w:name w:val="mtext"/>
    <w:rsid w:val="00543EAA"/>
  </w:style>
  <w:style w:type="character" w:customStyle="1" w:styleId="Heading5Char">
    <w:name w:val="Heading 5 Char"/>
    <w:link w:val="Heading5"/>
    <w:uiPriority w:val="9"/>
    <w:semiHidden/>
    <w:rsid w:val="00585E10"/>
    <w:rPr>
      <w:rFonts w:ascii="Calibri Light" w:eastAsia="DengXian Light" w:hAnsi="Calibri Light" w:cs="Shruti"/>
      <w:color w:val="2F5496"/>
      <w:sz w:val="22"/>
      <w:szCs w:val="22"/>
      <w:lang w:val="en-US" w:eastAsia="en-US"/>
    </w:rPr>
  </w:style>
  <w:style w:type="paragraph" w:customStyle="1" w:styleId="location">
    <w:name w:val="location"/>
    <w:basedOn w:val="Normal"/>
    <w:link w:val="locationChar"/>
    <w:autoRedefine/>
    <w:qFormat/>
    <w:rsid w:val="00156B42"/>
    <w:pPr>
      <w:spacing w:before="200" w:after="0" w:line="480" w:lineRule="auto"/>
    </w:pPr>
    <w:rPr>
      <w:smallCaps/>
      <w:szCs w:val="20"/>
      <w:u w:val="single"/>
    </w:rPr>
  </w:style>
  <w:style w:type="character" w:customStyle="1" w:styleId="FooterChar">
    <w:name w:val="Footer Char"/>
    <w:link w:val="Footer"/>
    <w:rsid w:val="00585E10"/>
    <w:rPr>
      <w:sz w:val="22"/>
      <w:szCs w:val="22"/>
      <w:lang w:val="en-US" w:eastAsia="en-US"/>
    </w:rPr>
  </w:style>
  <w:style w:type="character" w:customStyle="1" w:styleId="locationChar">
    <w:name w:val="location Char"/>
    <w:link w:val="location"/>
    <w:rsid w:val="00156B42"/>
    <w:rPr>
      <w:rFonts w:ascii="Times New Roman" w:hAnsi="Times New Roman"/>
      <w:smallCaps/>
      <w:sz w:val="22"/>
      <w:u w:val="single"/>
      <w:lang w:val="en-US" w:eastAsia="en-US"/>
    </w:rPr>
  </w:style>
  <w:style w:type="paragraph" w:customStyle="1" w:styleId="linespace">
    <w:name w:val="linespace"/>
    <w:basedOn w:val="Normal"/>
    <w:qFormat/>
    <w:rsid w:val="00585E10"/>
    <w:pPr>
      <w:spacing w:after="1000" w:line="240" w:lineRule="auto"/>
    </w:pPr>
  </w:style>
  <w:style w:type="paragraph" w:customStyle="1" w:styleId="box">
    <w:name w:val="box"/>
    <w:basedOn w:val="Normal"/>
    <w:qFormat/>
    <w:rsid w:val="00585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style>
  <w:style w:type="paragraph" w:customStyle="1" w:styleId="boxafterspace">
    <w:name w:val="box after space"/>
    <w:basedOn w:val="Normal"/>
    <w:qFormat/>
    <w:rsid w:val="00585E10"/>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style>
  <w:style w:type="paragraph" w:customStyle="1" w:styleId="line">
    <w:name w:val="line"/>
    <w:basedOn w:val="ListParagraph"/>
    <w:qFormat/>
    <w:rsid w:val="00585E10"/>
    <w:pPr>
      <w:pBdr>
        <w:bottom w:val="single" w:sz="12" w:space="1" w:color="auto"/>
      </w:pBdr>
      <w:spacing w:after="0" w:line="48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59174537">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01990927">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0185136">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76746007">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18710638">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header" Target="header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0.wmf"/><Relationship Id="rId11" Type="http://schemas.openxmlformats.org/officeDocument/2006/relationships/footer" Target="footer3.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5" Type="http://schemas.openxmlformats.org/officeDocument/2006/relationships/footnotes" Target="footnotes.xml"/><Relationship Id="rId61" Type="http://schemas.openxmlformats.org/officeDocument/2006/relationships/oleObject" Target="embeddings/oleObject24.bin"/><Relationship Id="rId19" Type="http://schemas.openxmlformats.org/officeDocument/2006/relationships/image" Target="media/image5.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header" Target="header3.xml"/><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footer" Target="foot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0.wmf"/><Relationship Id="rId55"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 13 – Comparing Three or More Means</vt:lpstr>
    </vt:vector>
  </TitlesOfParts>
  <Company>Microsoft</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 Comparing Three or More Means</dc:title>
  <dc:subject/>
  <dc:creator>George</dc:creator>
  <cp:keywords/>
  <dc:description/>
  <cp:lastModifiedBy>Conversion Team</cp:lastModifiedBy>
  <cp:revision>105</cp:revision>
  <dcterms:created xsi:type="dcterms:W3CDTF">2018-12-28T09:26:00Z</dcterms:created>
  <dcterms:modified xsi:type="dcterms:W3CDTF">2019-01-02T12:48:00Z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