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Análise espaço-temporal de SRAG no Estado do Rio de Janeiro, 2022–2025 — tabelas</w:t>
      </w:r>
    </w:p>
    <w:p>
      <w:pPr>
        <w:pStyle w:val="BodyText"/>
      </w:pPr>
      <w:r>
        <w:t xml:space="preserve">14 tabelas, formatadas conforme a ABNT NBR 14724 e as Normas de Apresentação Tabular do IBGE.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1 – Casos, população e incidência de SRAG por município, agente e ano, Estado do Rio de Janeiro, 2022–2025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bruta por 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bruta pop. 2024 por 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suavizada por 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padronizada por idade por 100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6.211.223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6.458.703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6.729.894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6.211.223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6.458.703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6.729.894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785.867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6.211.223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896.744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440.962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2022, população residente (data de referência 01/08/2022)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499.871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6.458.703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927.237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interpolação linear (peso 0.4771) entre 2022-08-01 e 2024-07-01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6.729.894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6.730.729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 da população residente, 1º de julho de 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16,01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pPr>
        <w:pStyle w:val="BodyText"/>
      </w:pPr>
      <w:r>
        <w:t xml:space="preserve">Nota: Taxas por 100 mil habitantes; taxa suavizada por Bayes empírico (ADR-0004); critério de caso do ADR-0002.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2 – Moran local (LISA) por município, agente e ano, 2022–2025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suavizada por 100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(permutação)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corrigido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único vizinho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(confirmado)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(confirmado)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(confirmado)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(confirmado)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(confirmado)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 (indicativo)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Baixo-Alto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significativo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pPr>
        <w:pStyle w:val="BodyText"/>
      </w:pPr>
      <w:r>
        <w:t xml:space="preserve">Nota: Confirmado: significativo após a correção FDR; indicativo: só sem correção (ADR-0004).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3 – I de Moran global por agente e ano: taxa suavizada e bruta, vizinhanças Queen e Rook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Vizinhança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de Moran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(permutação)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Permutações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suavizada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4 – Casos e incidência de SRAG no estado por agente e ano, 2022–2025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por 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pop. 2024 por 100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16.055.174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16.610.812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17.219.679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17.223.547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16.055.174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16.610.812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17.219.679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17.223.547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16.055.174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16.610.812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17.219.679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17.223.547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22,14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pPr>
        <w:pStyle w:val="BodyText"/>
      </w:pPr>
      <w:r>
        <w:t xml:space="preserve">Nota: Duas taxas: população do próprio ano e estimativa de 2024 para todos os anos (ADR-0003).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5 – Casos e incidência de SRAG por região de saúde, agente e 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de saúde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bruta por 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Taxa bruta pop. 2024 por 100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9.705.577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1.908.751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10.066.730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937.344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10.462.484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10.463.654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9.705.577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1.908.751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10.066.730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937.344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10.462.484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10.463.654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846.933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9.705.577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1.908.751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873.767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890.562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10.066.730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344.827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937.344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10.462.484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962.730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918.649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10.463.654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962.882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30,54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IBGE; regiões de saúde: Ministério da Saúde via geobr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6 – I de Moran global entre as regiões de saúde, por agente e 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Agente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de Moran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esperado sem padrão espacial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(permutação)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Permutações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-0,4269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-0,2364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bruta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pPr>
        <w:pStyle w:val="BodyText"/>
      </w:pPr>
      <w:r>
        <w:t xml:space="preserve">Nota: Com 9 regiões, o teste é descritivo.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7 – Casos por município de residência e de notificação, 2022–2025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 por residência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 por notificação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Notificados residentes do município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Notificados de outro município RJ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Notificados de fora do RJ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Residentes notificados fora do RJ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Residentes sem município de notificação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Razão notificação residência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notificação menos residência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-856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8 – Casos de SRAG por mês, estado e regiões de saúde, por agente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Recorte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 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 e do IBGE</w:t>
      </w:r>
    </w:p>
    <w:p>
      <w:pPr>
        <w:pStyle w:val="BodyText"/>
      </w:pPr>
      <w:r>
        <w:t xml:space="preserve">Nota: Semanas epidemiológicas somadas pelo mês do domingo que abre cada semana; a série semanal completa está em serie_semanal.csv.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9 – Fichas de SRAG sem classificação final, por ano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Fichas de SRAG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Não encerradas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Proporção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0,59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10 – Leitos SUS e de UTI SUS por município e ano, competência de julho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Estabelecimentos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Leitos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Leitos UTI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População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Leitos SUS por 100 mil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Leitos UTI SUS por 100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288,99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785.867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156.491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6.211.223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440.962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567,74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241,77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499.871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401,36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411,61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6.458.703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221,20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204,94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927.237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559,16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57,39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128,95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232,17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118,73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6.729.894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199,15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309,80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306,32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618,68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105,69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519.259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405,10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355,90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270,28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212.470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96,01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71,58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212,08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191,23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843.220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171,34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240,03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315,44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239,54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960.196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78,42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152,30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49,52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214,79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550,48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181,59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159,31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42,60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384,83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246,14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1.091,71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219,67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40,00</w:t>
            </w:r>
          </w:p>
        </w:tc>
      </w:tr>
    </w:tbl>
    <w:p>
      <w:pPr>
        <w:pStyle w:val="BodyText"/>
      </w:pPr>
      <w:r>
        <w:t xml:space="preserve">Fonte: Elaboração própria com dados do CNES (Hospitais e Leitos, Ministério da Saúde) e do IBGE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11 – Correlação de Spearman entre a taxa de SRAG por residência e os leitos por 100 mil habitantes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leito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rho de 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95 % inferior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95 % superior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Reamostras bootstrap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de UTI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de UTI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de UTI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Leitos de UTI SUS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9.999</w:t>
            </w:r>
          </w:p>
        </w:tc>
      </w:tr>
    </w:tbl>
    <w:p>
      <w:pPr>
        <w:pStyle w:val="BodyText"/>
      </w:pPr>
      <w:r>
        <w:t xml:space="preserve">Fonte: Elaboração própria com dados do SIVEP-Gripe, do CNES e do IBGE</w:t>
      </w:r>
    </w:p>
    <w:p>
      <w:pPr>
        <w:pStyle w:val="BodyText"/>
      </w:pPr>
      <w:r>
        <w:t xml:space="preserve">Nota: Intervalo de confiança de 95 % por bootstrap; associação descritiva, não causal.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12 – Municípios do Estado do Rio de Janeiro por região de saúde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Código IBGE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Região de saúde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Angra dos 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Mangaratiba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Baía da Ilha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Araruama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Armação dos Búzios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Arraial do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Cabo Frio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Casimiro de Abreu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Iguaba 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Ostras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Pedro da Aldeia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Saquarema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Baixada Litorânea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Comendador Levy Gasparian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 Paulo de Frontin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Miguel Pereira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Paracambi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Paty do Alferes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Sapucaia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Vassouras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do 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Barra Mansa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Itatiaia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Pinheiral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Claro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das Flores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Redonda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Paraíba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Belford Roxo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Duque de Caxias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Itaguaí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Mesquita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Iguaçu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Queimados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de Meriti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Seropédica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Itaboraí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Niterói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Bonito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Gonçalo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Silva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Tanguá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Metropolitana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Aperibé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Jesus do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Cambuci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Cardoso Moreira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Itaocara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Itaperuna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Laje do Muriaé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Miracema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Porciúncula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Santo Antônio de Pádua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de Ubá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3306156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Varre-Sai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dos Goytacazes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Carapebus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Conceição de Macabu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Macaé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Quissamã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Fidélis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Francisco de Itabapoana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 Jardim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3300803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Cachoeiras de Macacu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Barras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Guapimirim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3302452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Macuco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Friburgo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3303906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3304607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Maria Madalena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José do Vale do Rio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Sebastião do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Sumidouro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Teresópolis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3305901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Trajano de Moraes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Serrana</w:t>
            </w:r>
          </w:p>
        </w:tc>
      </w:tr>
    </w:tbl>
    <w:p>
      <w:pPr>
        <w:pStyle w:val="BodyText"/>
      </w:pPr>
      <w:r>
        <w:t xml:space="preserve">Fonte: Ministério da Saúde via geobr (IPEA), conferido com a SES-RJ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13 – Fichas e casos em cada versão publicada dos bancos mais recentes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Ano do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Dias após fim do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 do estudo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Fichas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Encerradas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 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 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 VSR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fichas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casos SARS-CoV-2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casos influenza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casos VSR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26-06-2025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23-03-2026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09-03-2026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04-05-2026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01-06-2026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06-07-2026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03-08-2026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24-08-2026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14-09-2026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</w:t>
            </w:r>
          </w:p>
        </w:tc>
      </w:tr>
    </w:tbl>
    <w:p>
      <w:pPr>
        <w:pStyle w:val="BodyText"/>
      </w:pPr>
      <w:r>
        <w:t xml:space="preserve">Fonte: Elaboração própria com as versões do SIVEP-Gripe publicadas no Portal de Dados Abertos do SUS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Tabela 14 – Tempo entre o início dos sintomas e o encerramento da ficha, por 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Fichas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Encerradas com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Dias até encerrar (mediana)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Dias até encerrar (percentil 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encerradas até 30 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encerradas até 60 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encerradas até 90 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Dias até digitar (mediana)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Fonte: Elaboração própria com dados do SIVEP-Gripe (Ministério da Saúde)</w:t>
      </w:r>
    </w:p>
    <w:sectPr>
      <w:footnotePr>
        <w:numRestart w:val="eachSect"/>
      </w:footnotePr>
      <w:pgSz w:h="11906" w:orient="landscape" w:w="16838"/>
      <w:pgMar w:bottom="1134" w:footer="709" w:gutter="0" w:header="709" w:left="1701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Arial" w:cs="Arial" w:hAnsi="Arial"/>
      <w:sz w:val="18"/>
      <w:szCs w:val="18"/>
    </w:rPr>
    <w:tblPr>
      <w:tblInd w:type="dxa" w:w="0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80"/>
        <w:bottom w:type="dxa" w:w="0"/>
        <w:right w:type="dxa" w:w="80"/>
      </w:tblCellMar>
    </w:tblPr>
    <w:tblStylePr w:type="firstRow">
      <w:rPr>
        <w:b/>
      </w:rPr>
      <w:tcPr>
        <w:tcBorders>
          <w:top w:color="000000" w:space="0" w:sz="8" w:val="single"/>
          <w:bottom w:color="000000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2026-09-14T12:00:00Z</dcterms:created>
  <dcterms:modified xsi:type="dcterms:W3CDTF">2026-09-14T12:00:00Z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