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e587cdccb5ec1266510aabe7b24fd37d383208f"/>
    <w:p>
      <w:pPr>
        <w:pStyle w:val="Heading1"/>
      </w:pPr>
      <w:r>
        <w:t xml:space="preserve">Análise espaço-temporal de vírus respiratórios no Estado do Rio de Janeiro (2022–2025): uma prova de conceito reprodutível em R com dados do SIVEP-Gripe e IBGE</w:t>
      </w:r>
    </w:p>
    <w:p>
      <w:pPr>
        <w:pStyle w:val="FirstParagraph"/>
      </w:pPr>
      <w:r>
        <w:rPr>
          <w:b/>
          <w:bCs/>
        </w:rPr>
        <w:t xml:space="preserve">Versão 2 — proposta de revisão</w:t>
      </w:r>
      <w:r>
        <w:t xml:space="preserve"> </w:t>
      </w:r>
      <w:r>
        <w:t xml:space="preserve">· 2026-09-25</w:t>
      </w:r>
    </w:p>
    <w:p>
      <w:pPr>
        <w:pStyle w:val="BodyText"/>
      </w:pPr>
      <w:r>
        <w:t xml:space="preserve">Autora do projeto: Gabrielle Barbosa Teixeira Coelho, mestranda do Programa de Pós-Graduação</w:t>
      </w:r>
      <w:r>
        <w:t xml:space="preserve"> </w:t>
      </w:r>
      <w:r>
        <w:t xml:space="preserve">em Biologia Computacional e Sistemas (PPG-BCS), Instituto Oswaldo Cruz (IOC/Fiocruz).</w:t>
      </w:r>
      <w:r>
        <w:t xml:space="preserve"> </w:t>
      </w:r>
      <w:r>
        <w:t xml:space="preserve">Disciplina: Cartografia &amp; Saúde: análise geoespacial como ferramenta aplicada na</w:t>
      </w:r>
      <w:r>
        <w:t xml:space="preserve"> </w:t>
      </w:r>
      <w:r>
        <w:t xml:space="preserve">parasitologia (IOC 14090).</w:t>
      </w:r>
    </w:p>
    <w:p>
      <w:pPr>
        <w:pStyle w:val="BlockText"/>
      </w:pPr>
      <w:r>
        <w:rPr>
          <w:b/>
          <w:bCs/>
        </w:rPr>
        <w:t xml:space="preserve">Como ler esta versão.</w:t>
      </w:r>
      <w:r>
        <w:t xml:space="preserve"> </w:t>
      </w:r>
      <w:r>
        <w:t xml:space="preserve">A v1 (PDF de 23/09) foi gerada com apoio do Gemini e é o</w:t>
      </w:r>
      <w:r>
        <w:t xml:space="preserve"> </w:t>
      </w:r>
      <w:r>
        <w:t xml:space="preserve">documento de referência. Esta v2 mantém a estrutura de seções da v1 para facilitar a</w:t>
      </w:r>
      <w:r>
        <w:t xml:space="preserve"> </w:t>
      </w:r>
      <w:r>
        <w:t xml:space="preserve">transposição, corrige cinco erros factuais verificados em fontes oficiais (Apêndice B),</w:t>
      </w:r>
      <w:r>
        <w:t xml:space="preserve"> </w:t>
      </w:r>
      <w:r>
        <w:t xml:space="preserve">preenche as seções que estavam vazias e amplia objetivos e fontes dentro do escopo já</w:t>
      </w:r>
      <w:r>
        <w:t xml:space="preserve"> </w:t>
      </w:r>
      <w:r>
        <w:t xml:space="preserve">declarado. Tudo o que é proposta nova ou decisão da autora está marcado com</w:t>
      </w:r>
      <w:r>
        <w:t xml:space="preserve"> </w:t>
      </w:r>
      <w:r>
        <w:rPr>
          <w:b/>
          <w:bCs/>
        </w:rPr>
        <w:t xml:space="preserve">[REVISAR]</w:t>
      </w:r>
      <w:r>
        <w:t xml:space="preserve">. Nada aqui é resultado: os números de resultados só existirão depois que o</w:t>
      </w:r>
      <w:r>
        <w:t xml:space="preserve"> </w:t>
      </w:r>
      <w:r>
        <w:t xml:space="preserve">pipeline rodar.</w:t>
      </w:r>
    </w:p>
    <w:bookmarkStart w:id="9" w:name="sumário-das-mudanças-em-relação-à-v1"/>
    <w:p>
      <w:pPr>
        <w:pStyle w:val="Heading2"/>
      </w:pPr>
      <w:r>
        <w:t xml:space="preserve">Sumário das mudanças em relação à v1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O que mudou</w:t>
            </w:r>
          </w:p>
        </w:tc>
        <w:tc>
          <w:tcPr/>
          <w:p>
            <w:pPr>
              <w:pStyle w:val="Compact"/>
            </w:pPr>
            <w:r>
              <w:t xml:space="preserve">Por quê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Extração do SIVEP-Gripe por download direto do Portal de Dados Abertos do SUS, não pelo pacote</w:t>
            </w:r>
            <w:r>
              <w:t xml:space="preserve"> </w:t>
            </w:r>
            <w:r>
              <w:rPr>
                <w:rStyle w:val="VerbatimChar"/>
              </w:rPr>
              <w:t xml:space="preserve">microdatasus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microdatasus</w:t>
            </w:r>
            <w:r>
              <w:t xml:space="preserve"> </w:t>
            </w:r>
            <w:r>
              <w:t xml:space="preserve">não cobre o SIVEP-Gripe (Apêndice B, item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Nomes de campos corrigidos:</w:t>
            </w:r>
            <w:r>
              <w:t xml:space="preserve"> </w:t>
            </w:r>
            <w:r>
              <w:rPr>
                <w:rStyle w:val="VerbatimChar"/>
              </w:rPr>
              <w:t xml:space="preserve">CO_MUN_RES</w:t>
            </w:r>
            <w:r>
              <w:t xml:space="preserve"> </w:t>
            </w:r>
            <w:r>
              <w:t xml:space="preserve">(6 dígitos),</w:t>
            </w:r>
            <w:r>
              <w:t xml:space="preserve"> </w:t>
            </w:r>
            <w:r>
              <w:rPr>
                <w:rStyle w:val="VerbatimChar"/>
              </w:rPr>
              <w:t xml:space="preserve">POS_PCRFLU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TP_FLU_PCR</w:t>
            </w:r>
            <w:r>
              <w:t xml:space="preserve">, campos de antígeno nomeados</w:t>
            </w:r>
          </w:p>
        </w:tc>
        <w:tc>
          <w:tcPr/>
          <w:p>
            <w:pPr>
              <w:pStyle w:val="Compact"/>
            </w:pPr>
            <w:r>
              <w:t xml:space="preserve">Dicionário oficial (Apêndice B, itens 2 e 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Denominador populacional definido ano a ano, com regra explícita para 2023</w:t>
            </w:r>
          </w:p>
        </w:tc>
        <w:tc>
          <w:tcPr/>
          <w:p>
            <w:pPr>
              <w:pStyle w:val="Compact"/>
            </w:pPr>
            <w:r>
              <w:t xml:space="preserve">O IBGE não publicou estimativa municipal em 2023 (Apêndice B, item 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Snapshot datado e com hash dos arquivos brutos</w:t>
            </w:r>
          </w:p>
        </w:tc>
        <w:tc>
          <w:tcPr/>
          <w:p>
            <w:pPr>
              <w:pStyle w:val="Compact"/>
            </w:pPr>
            <w:r>
              <w:t xml:space="preserve">O banco de 2025 é atualizado semanalmente (Apêndice B, item 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Seções 1.1, 1.2 e hipótese de trabalho preenchidas</w:t>
            </w:r>
          </w:p>
        </w:tc>
        <w:tc>
          <w:tcPr/>
          <w:p>
            <w:pPr>
              <w:pStyle w:val="Compact"/>
            </w:pPr>
            <w:r>
              <w:t xml:space="preserve">Estavam vazias na v1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Objetivos específicos reescritos como produto + critério verificável</w:t>
            </w:r>
          </w:p>
        </w:tc>
        <w:tc>
          <w:tcPr/>
          <w:p>
            <w:pPr>
              <w:pStyle w:val="Compact"/>
            </w:pPr>
            <w:r>
              <w:t xml:space="preserve">Objetivo sem critério não permite dizer se foi cumprido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Critério de caso por agente e regra de co-detecção explicitados</w:t>
            </w:r>
          </w:p>
        </w:tc>
        <w:tc>
          <w:tcPr/>
          <w:p>
            <w:pPr>
              <w:pStyle w:val="Compact"/>
            </w:pPr>
            <w:r>
              <w:t xml:space="preserve">A v1 descrevia a intenção, não a regra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Duas escalas: município e região de saúde (9 regiões da SES-RJ)</w:t>
            </w:r>
          </w:p>
        </w:tc>
        <w:tc>
          <w:tcPr/>
          <w:p>
            <w:pPr>
              <w:pStyle w:val="Compact"/>
            </w:pPr>
            <w:r>
              <w:t xml:space="preserve">O PDF pede</w:t>
            </w:r>
            <w:r>
              <w:t xml:space="preserve"> </w:t>
            </w:r>
            <w:r>
              <w:t xml:space="preserve">“comportamento regional além das fronteiras administrativas”</w:t>
            </w:r>
            <w:r>
              <w:t xml:space="preserve">; a região de saúde é a unidade de gestão do SUS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Suavização empírica de Bayes e correção para testes múltiplos no LISA</w:t>
            </w:r>
          </w:p>
        </w:tc>
        <w:tc>
          <w:tcPr/>
          <w:p>
            <w:pPr>
              <w:pStyle w:val="Compact"/>
            </w:pPr>
            <w:r>
              <w:t xml:space="preserve">Municípios pequenos e 92 testes simultâneos produzem falsos hotspots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Padronização por idade como objetivo opcional</w:t>
            </w:r>
          </w:p>
        </w:tc>
        <w:tc>
          <w:tcPr/>
          <w:p>
            <w:pPr>
              <w:pStyle w:val="Compact"/>
            </w:pPr>
            <w:r>
              <w:t xml:space="preserve">VSR concentra-se em &lt; 2 anos e Influenza em idosos; estruturas etárias diferem entre municípios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Leitos do CNES como covariável de contexto</w:t>
            </w:r>
          </w:p>
        </w:tc>
        <w:tc>
          <w:tcPr/>
          <w:p>
            <w:pPr>
              <w:pStyle w:val="Compact"/>
            </w:pPr>
            <w:r>
              <w:t xml:space="preserve">Taxa por residência reflete também onde há hospital; discutir sem dado é especulação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Aspectos éticos e limitações explicitados</w:t>
            </w:r>
          </w:p>
        </w:tc>
        <w:tc>
          <w:tcPr/>
          <w:p>
            <w:pPr>
              <w:pStyle w:val="Compact"/>
            </w:pPr>
            <w:r>
              <w:t xml:space="preserve">Exigidos em qualquer projeto de pós-graduação com dado de saúde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(2026-09-25, CS-037)</w:t>
            </w:r>
            <w:r>
              <w:t xml:space="preserve"> </w:t>
            </w:r>
            <w:r>
              <w:t xml:space="preserve">§3.2, §3.3, §3.4, §3.5 e §3.10 atualizadas com os achados da implementação: critério de caso (ADR-0002), denominador (ADR-0003), malha do IBGE (ADR-0006)</w:t>
            </w:r>
          </w:p>
        </w:tc>
        <w:tc>
          <w:tcPr/>
          <w:p>
            <w:pPr>
              <w:pStyle w:val="Compact"/>
            </w:pPr>
            <w:r>
              <w:t xml:space="preserve">Os dados reais contradisseram três suposições da versão anterior desta proposta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4" w:name="introdução"/>
    <w:p>
      <w:pPr>
        <w:pStyle w:val="Heading2"/>
      </w:pPr>
      <w:r>
        <w:t xml:space="preserve">1 Introdução</w:t>
      </w:r>
    </w:p>
    <w:bookmarkStart w:id="10" w:name="contextualização"/>
    <w:p>
      <w:pPr>
        <w:pStyle w:val="Heading3"/>
      </w:pPr>
      <w:r>
        <w:t xml:space="preserve">1.1 Contextualização</w:t>
      </w:r>
    </w:p>
    <w:p>
      <w:pPr>
        <w:pStyle w:val="FirstParagraph"/>
      </w:pPr>
      <w:r>
        <w:t xml:space="preserve">A Síndrome Respiratória Aguda Grave (SRAG) é a forma grave das infecções respiratórias</w:t>
      </w:r>
      <w:r>
        <w:t xml:space="preserve"> </w:t>
      </w:r>
      <w:r>
        <w:t xml:space="preserve">agudas: o paciente precisa de internação, ou evolui a óbito, com quadro de dispneia,</w:t>
      </w:r>
      <w:r>
        <w:t xml:space="preserve"> </w:t>
      </w:r>
      <w:r>
        <w:t xml:space="preserve">saturação baixa ou desconforto respiratório. No Brasil, todo caso de SRAG hospitalizado</w:t>
      </w:r>
      <w:r>
        <w:t xml:space="preserve"> </w:t>
      </w:r>
      <w:r>
        <w:t xml:space="preserve">ou óbito por SRAG é de notificação compulsória no Sistema de Informação de Vigilância</w:t>
      </w:r>
      <w:r>
        <w:t xml:space="preserve"> </w:t>
      </w:r>
      <w:r>
        <w:t xml:space="preserve">Epidemiológica da Gripe (SIVEP-Gripe), cujos microdados anonimizados o Ministério da</w:t>
      </w:r>
      <w:r>
        <w:t xml:space="preserve"> </w:t>
      </w:r>
      <w:r>
        <w:t xml:space="preserve">Saúde publica no Portal de Dados Abertos do SUS, em bancos anuais, com atualização</w:t>
      </w:r>
      <w:r>
        <w:t xml:space="preserve"> </w:t>
      </w:r>
      <w:r>
        <w:t xml:space="preserve">semanal para o ano corrente.</w:t>
      </w:r>
    </w:p>
    <w:p>
      <w:pPr>
        <w:pStyle w:val="BodyText"/>
      </w:pPr>
      <w:r>
        <w:t xml:space="preserve">O período 2022–2025 é epidemiologicamente singular. Encerrada a Emergência de Saúde</w:t>
      </w:r>
      <w:r>
        <w:t xml:space="preserve"> </w:t>
      </w:r>
      <w:r>
        <w:t xml:space="preserve">Pública de Importância Nacional por COVID-19 (abril de 2022), o SARS-CoV-2 deixou de ser</w:t>
      </w:r>
      <w:r>
        <w:t xml:space="preserve"> </w:t>
      </w:r>
      <w:r>
        <w:t xml:space="preserve">o agente dominante das SRAG e passou a cocircular com a Influenza A e B e com o Vírus</w:t>
      </w:r>
      <w:r>
        <w:t xml:space="preserve"> </w:t>
      </w:r>
      <w:r>
        <w:t xml:space="preserve">Sincicial Respiratório (VSR), este último com sazonalidade de outono-inverno no Sudeste</w:t>
      </w:r>
      <w:r>
        <w:t xml:space="preserve"> </w:t>
      </w:r>
      <w:r>
        <w:t xml:space="preserve">e carga concentrada em crianças menores de dois anos. No próprio RJ, entre os casos</w:t>
      </w:r>
      <w:r>
        <w:t xml:space="preserve"> </w:t>
      </w:r>
      <w:r>
        <w:t xml:space="preserve">confirmados dos três agentes pelo critério do ADR-0002, o SARS-CoV-2 passou de 91 % em 2022</w:t>
      </w:r>
      <w:r>
        <w:t xml:space="preserve"> </w:t>
      </w:r>
      <w:r>
        <w:t xml:space="preserve">para 14 % em 2025, a influenza de 2 % para 36 % e o VSR de 6 % para 50 % (números do pipeline,</w:t>
      </w:r>
      <w:r>
        <w:t xml:space="preserve"> </w:t>
      </w:r>
      <w:r>
        <w:t xml:space="preserve">CS-028; a Introdução do relatório os recalcula a cada execução). Esse rearranjo, e não a</w:t>
      </w:r>
      <w:r>
        <w:t xml:space="preserve"> </w:t>
      </w:r>
      <w:r>
        <w:t xml:space="preserve">pandemia em si, é o objeto deste projeto.</w:t>
      </w:r>
    </w:p>
    <w:p>
      <w:pPr>
        <w:pStyle w:val="BodyText"/>
      </w:pPr>
      <w:r>
        <w:t xml:space="preserve">O Estado do Rio de Janeiro tem 92 municípios, 16.055.174 habitantes no Censo 2022 (IBGE,</w:t>
      </w:r>
      <w:r>
        <w:t xml:space="preserve"> </w:t>
      </w:r>
      <w:r>
        <w:t xml:space="preserve">tabela 4714) e uma organização do SUS em nove regiões de saúde (Metropolitana I,</w:t>
      </w:r>
      <w:r>
        <w:t xml:space="preserve"> </w:t>
      </w:r>
      <w:r>
        <w:t xml:space="preserve">Metropolitana II, Baía da Ilha Grande, Baixada Litorânea, Centro-Sul, Médio Paraíba,</w:t>
      </w:r>
      <w:r>
        <w:t xml:space="preserve"> </w:t>
      </w:r>
      <w:r>
        <w:t xml:space="preserve">Serrana, Norte e Noroeste). A concentração de leitos e serviços na região metropolitana</w:t>
      </w:r>
      <w:r>
        <w:t xml:space="preserve"> </w:t>
      </w:r>
      <w:r>
        <w:t xml:space="preserve">faz com que o município do Rio importe internações por SRAG de municípios vizinhos, como</w:t>
      </w:r>
      <w:r>
        <w:t xml:space="preserve"> </w:t>
      </w:r>
      <w:r>
        <w:t xml:space="preserve">mostrou a análise de fluxo origem-destino de Cavalcante et al. (2021). Isso torna a</w:t>
      </w:r>
      <w:r>
        <w:t xml:space="preserve"> </w:t>
      </w:r>
      <w:r>
        <w:t xml:space="preserve">escolha entre</w:t>
      </w:r>
      <w:r>
        <w:t xml:space="preserve"> </w:t>
      </w:r>
      <w:r>
        <w:t xml:space="preserve">“município de residência”</w:t>
      </w:r>
      <w:r>
        <w:t xml:space="preserve"> </w:t>
      </w:r>
      <w:r>
        <w:t xml:space="preserve">e</w:t>
      </w:r>
      <w:r>
        <w:t xml:space="preserve"> </w:t>
      </w:r>
      <w:r>
        <w:t xml:space="preserve">“município de notificação”</w:t>
      </w:r>
      <w:r>
        <w:t xml:space="preserve"> </w:t>
      </w:r>
      <w:r>
        <w:t xml:space="preserve">uma decisão</w:t>
      </w:r>
      <w:r>
        <w:t xml:space="preserve"> </w:t>
      </w:r>
      <w:r>
        <w:t xml:space="preserve">metodológica, não um detalhe.</w:t>
      </w:r>
    </w:p>
    <w:bookmarkEnd w:id="10"/>
    <w:bookmarkStart w:id="11" w:name="problematização"/>
    <w:p>
      <w:pPr>
        <w:pStyle w:val="Heading3"/>
      </w:pPr>
      <w:r>
        <w:t xml:space="preserve">1.2 Problematização</w:t>
      </w:r>
    </w:p>
    <w:p>
      <w:pPr>
        <w:pStyle w:val="FirstParagraph"/>
      </w:pPr>
      <w:r>
        <w:t xml:space="preserve">A vigilância de SRAG no Brasil é comunicada, na prática, em escala nacional e estadual:</w:t>
      </w:r>
      <w:r>
        <w:t xml:space="preserve"> </w:t>
      </w:r>
      <w:r>
        <w:t xml:space="preserve">os boletins InfoGripe e os painéis do Ministério agregam por UF. Em um estado com a</w:t>
      </w:r>
      <w:r>
        <w:t xml:space="preserve"> </w:t>
      </w:r>
      <w:r>
        <w:t xml:space="preserve">heterogeneidade demográfica e assistencial do Rio de Janeiro, a média estadual esconde</w:t>
      </w:r>
      <w:r>
        <w:t xml:space="preserve"> </w:t>
      </w:r>
      <w:r>
        <w:t xml:space="preserve">municípios com carga de doença grave muito acima ou muito abaixo do esperado, e não</w:t>
      </w:r>
      <w:r>
        <w:t xml:space="preserve"> </w:t>
      </w:r>
      <w:r>
        <w:t xml:space="preserve">diz se esses municípios se agrupam em territórios contíguos, o que teria implicação</w:t>
      </w:r>
      <w:r>
        <w:t xml:space="preserve"> </w:t>
      </w:r>
      <w:r>
        <w:t xml:space="preserve">direta para a alocação regional de leitos, testagem e vacinação.</w:t>
      </w:r>
    </w:p>
    <w:p>
      <w:pPr>
        <w:pStyle w:val="BodyText"/>
      </w:pPr>
      <w:r>
        <w:t xml:space="preserve">Três obstáculos explicam por que essa leitura territorial raramente é feita: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Volume e formato dos dados.</w:t>
      </w:r>
      <w:r>
        <w:t xml:space="preserve"> </w:t>
      </w:r>
      <w:r>
        <w:t xml:space="preserve">Cada banco anual do SIVEP-Gripe tem ~190 colunas e</w:t>
      </w:r>
      <w:r>
        <w:t xml:space="preserve"> </w:t>
      </w:r>
      <w:r>
        <w:t xml:space="preserve">centenas de milhares de registros nacionais; extrair, filtrar e classificar por agente</w:t>
      </w:r>
      <w:r>
        <w:t xml:space="preserve"> </w:t>
      </w:r>
      <w:r>
        <w:t xml:space="preserve">exige código, não planilha.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Instabilidade estatística de municípios pequenos.</w:t>
      </w:r>
      <w:r>
        <w:t xml:space="preserve"> </w:t>
      </w:r>
      <w:r>
        <w:t xml:space="preserve">Em um município de 5 mil</w:t>
      </w:r>
      <w:r>
        <w:t xml:space="preserve"> </w:t>
      </w:r>
      <w:r>
        <w:t xml:space="preserve">habitantes, três casos produzem uma taxa de 60 por 100 mil. Mapas de taxa bruta</w:t>
      </w:r>
      <w:r>
        <w:t xml:space="preserve"> </w:t>
      </w:r>
      <w:r>
        <w:t xml:space="preserve">destacam ruído.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Ausência de pipeline reprodutível.</w:t>
      </w:r>
      <w:r>
        <w:t xml:space="preserve"> </w:t>
      </w:r>
      <w:r>
        <w:t xml:space="preserve">Análises publicadas raramente disponibilizam</w:t>
      </w:r>
      <w:r>
        <w:t xml:space="preserve"> </w:t>
      </w:r>
      <w:r>
        <w:t xml:space="preserve">código e dados de forma que outro pesquisador (ou a própria vigilância municipal)</w:t>
      </w:r>
      <w:r>
        <w:t xml:space="preserve"> </w:t>
      </w:r>
      <w:r>
        <w:t xml:space="preserve">reexecute a análise quando o banco é atualizado.</w:t>
      </w:r>
    </w:p>
    <w:p>
      <w:pPr>
        <w:pStyle w:val="FirstParagraph"/>
      </w:pPr>
      <w:r>
        <w:t xml:space="preserve">Este projeto ataca os três obstáculos com uma prova de conceito: um pipeline aberto em</w:t>
      </w:r>
      <w:r>
        <w:t xml:space="preserve"> </w:t>
      </w:r>
      <w:r>
        <w:t xml:space="preserve">R que vai do download ao mapa, com estatística espacial que trata os pequenos números e</w:t>
      </w:r>
      <w:r>
        <w:t xml:space="preserve"> </w:t>
      </w:r>
      <w:r>
        <w:t xml:space="preserve">os testes múltiplos, e com painel interativo para a vigilância municipal.</w:t>
      </w:r>
    </w:p>
    <w:bookmarkEnd w:id="11"/>
    <w:bookmarkStart w:id="12" w:name="X9176f5983d4ae22cfb4764201e3ae43b18ca1d4"/>
    <w:p>
      <w:pPr>
        <w:pStyle w:val="Heading3"/>
      </w:pPr>
      <w:r>
        <w:t xml:space="preserve">1.3 Hipótese de trabalho</w:t>
      </w:r>
      <w:r>
        <w:t xml:space="preserve"> </w:t>
      </w:r>
      <w:r>
        <w:rPr>
          <w:i/>
          <w:iCs/>
        </w:rPr>
        <w:t xml:space="preserve">(decidido pela autora em 2026-09-25: H1–H3 principais; H4 opcional, junto com o OE10)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H1 (dependência espacial).</w:t>
      </w:r>
      <w:r>
        <w:t xml:space="preserve"> </w:t>
      </w:r>
      <w:r>
        <w:t xml:space="preserve">As taxas municipais de SRAG por SARS-CoV-2, Influenza e</w:t>
      </w:r>
      <w:r>
        <w:t xml:space="preserve"> </w:t>
      </w:r>
      <w:r>
        <w:t xml:space="preserve">VSR no RJ não se distribuem aleatoriamente: apresentam autocorrelação espacial</w:t>
      </w:r>
      <w:r>
        <w:t xml:space="preserve"> </w:t>
      </w:r>
      <w:r>
        <w:t xml:space="preserve">positiva (Moran Global I &gt; 0, p &lt; 0,05) em pelo menos um dos anos do período.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H2 (especificidade por agente).</w:t>
      </w:r>
      <w:r>
        <w:t xml:space="preserve"> </w:t>
      </w:r>
      <w:r>
        <w:t xml:space="preserve">Os agrupamentos de alto risco (LISA Alto-Alto)</w:t>
      </w:r>
      <w:r>
        <w:t xml:space="preserve"> </w:t>
      </w:r>
      <w:r>
        <w:t xml:space="preserve">ocupam territórios diferentes para cada agente: o VSR tende a concentrar-se em</w:t>
      </w:r>
      <w:r>
        <w:t xml:space="preserve"> </w:t>
      </w:r>
      <w:r>
        <w:t xml:space="preserve">municípios densos da região metropolitana, com maior proporção de crianças pequenas; a</w:t>
      </w:r>
      <w:r>
        <w:t xml:space="preserve"> </w:t>
      </w:r>
      <w:r>
        <w:t xml:space="preserve">Influenza, de forma mais difusa e com peso da população idosa; o SARS-CoV-2, em</w:t>
      </w:r>
      <w:r>
        <w:t xml:space="preserve"> </w:t>
      </w:r>
      <w:r>
        <w:t xml:space="preserve">retração ao longo do período.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H3 (dinâmica temporal).</w:t>
      </w:r>
      <w:r>
        <w:t xml:space="preserve"> </w:t>
      </w:r>
      <w:r>
        <w:t xml:space="preserve">A localização dos hotspots muda entre 2022 e 2025,</w:t>
      </w:r>
      <w:r>
        <w:t xml:space="preserve"> </w:t>
      </w:r>
      <w:r>
        <w:t xml:space="preserve">refletindo a transição pós-emergência e a retomada da sazonalidade dos vírus</w:t>
      </w:r>
      <w:r>
        <w:t xml:space="preserve"> </w:t>
      </w:r>
      <w:r>
        <w:t xml:space="preserve">endêmicos.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H4 (viés assistencial, secundária e opcional).</w:t>
      </w:r>
      <w:r>
        <w:t xml:space="preserve"> </w:t>
      </w:r>
      <w:r>
        <w:t xml:space="preserve">Parte da heterogeneidade das taxas por</w:t>
      </w:r>
      <w:r>
        <w:t xml:space="preserve"> </w:t>
      </w:r>
      <w:r>
        <w:t xml:space="preserve">município de residência é explicada pela oferta de leitos hospitalares (CNES), o que</w:t>
      </w:r>
      <w:r>
        <w:t xml:space="preserve"> </w:t>
      </w:r>
      <w:r>
        <w:t xml:space="preserve">será verificado de forma descritiva, não causal.</w:t>
      </w:r>
    </w:p>
    <w:bookmarkEnd w:id="12"/>
    <w:bookmarkStart w:id="13" w:name="Xa04a8c87fb65247311552bfa475ede88b5e2406"/>
    <w:p>
      <w:pPr>
        <w:pStyle w:val="Heading3"/>
      </w:pPr>
      <w:r>
        <w:t xml:space="preserve">1.4 Pergunta de pesquisa e justificativa do suporte cartográfico</w:t>
      </w:r>
    </w:p>
    <w:p>
      <w:pPr>
        <w:pStyle w:val="FirstParagraph"/>
      </w:pPr>
      <w:r>
        <w:rPr>
          <w:b/>
          <w:bCs/>
        </w:rPr>
        <w:t xml:space="preserve">Pergunta:</w:t>
      </w:r>
      <w:r>
        <w:t xml:space="preserve"> </w:t>
      </w:r>
      <w:r>
        <w:t xml:space="preserve">Como as taxas de incidência de SRAG por SARS-CoV-2, Influenza A/B e VSR se</w:t>
      </w:r>
      <w:r>
        <w:t xml:space="preserve"> </w:t>
      </w:r>
      <w:r>
        <w:t xml:space="preserve">distribuem entre os 92 municípios e as 9 regiões de saúde do Estado do Rio de Janeiro,</w:t>
      </w:r>
      <w:r>
        <w:t xml:space="preserve"> </w:t>
      </w:r>
      <w:r>
        <w:t xml:space="preserve">em 2022–2025, e onde se concentram os agrupamentos espaciais de alto risco?</w:t>
      </w:r>
    </w:p>
    <w:p>
      <w:pPr>
        <w:pStyle w:val="BodyText"/>
      </w:pPr>
      <w:r>
        <w:rPr>
          <w:b/>
          <w:bCs/>
        </w:rPr>
        <w:t xml:space="preserve">Justificativa cartográfica:</w:t>
      </w:r>
      <w:r>
        <w:t xml:space="preserve"> </w:t>
      </w:r>
      <w:r>
        <w:t xml:space="preserve">a notificação é um evento pontual (um paciente, um</w:t>
      </w:r>
      <w:r>
        <w:t xml:space="preserve"> </w:t>
      </w:r>
      <w:r>
        <w:t xml:space="preserve">endereço); a decisão sanitária é territorial (um município, uma região de saúde). O</w:t>
      </w:r>
      <w:r>
        <w:t xml:space="preserve"> </w:t>
      </w:r>
      <w:r>
        <w:t xml:space="preserve">suporte cartográfico é o que permite agregar o ponto no polígono, comparar polígonos com</w:t>
      </w:r>
      <w:r>
        <w:t xml:space="preserve"> </w:t>
      </w:r>
      <w:r>
        <w:t xml:space="preserve">um denominador populacional e, sobretudo, perguntar se o que acontece em um polígono</w:t>
      </w:r>
      <w:r>
        <w:t xml:space="preserve"> </w:t>
      </w:r>
      <w:r>
        <w:t xml:space="preserve">depende do que acontece nos vizinhos, pergunta que só a estatística espacial responde.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objetivos"/>
    <w:p>
      <w:pPr>
        <w:pStyle w:val="Heading2"/>
      </w:pPr>
      <w:r>
        <w:t xml:space="preserve">2 Objetivos</w:t>
      </w:r>
    </w:p>
    <w:bookmarkStart w:id="15" w:name="objetivo-geral"/>
    <w:p>
      <w:pPr>
        <w:pStyle w:val="Heading3"/>
      </w:pPr>
      <w:r>
        <w:t xml:space="preserve">2.1 Objetivo geral</w:t>
      </w:r>
    </w:p>
    <w:p>
      <w:pPr>
        <w:pStyle w:val="FirstParagraph"/>
      </w:pPr>
      <w:r>
        <w:t xml:space="preserve">Desenvolver e disponibilizar publicamente um pipeline analítico reprodutível em R que</w:t>
      </w:r>
      <w:r>
        <w:t xml:space="preserve"> </w:t>
      </w:r>
      <w:r>
        <w:t xml:space="preserve">mapeie e analise a distribuição espaço-temporal da incidência de SRAG por SARS-CoV-2,</w:t>
      </w:r>
      <w:r>
        <w:t xml:space="preserve"> </w:t>
      </w:r>
      <w:r>
        <w:t xml:space="preserve">Influenza A/B e VSR nos 92 municípios e 9 regiões de saúde do Estado do Rio de Janeiro,</w:t>
      </w:r>
      <w:r>
        <w:t xml:space="preserve"> </w:t>
      </w:r>
      <w:r>
        <w:t xml:space="preserve">2022–2025, a partir de dados abertos do SIVEP-Gripe e do IBGE, identificando</w:t>
      </w:r>
      <w:r>
        <w:t xml:space="preserve"> </w:t>
      </w:r>
      <w:r>
        <w:t xml:space="preserve">agrupamentos espaciais de alto risco por agente e por ano.</w:t>
      </w:r>
    </w:p>
    <w:bookmarkEnd w:id="15"/>
    <w:bookmarkStart w:id="16" w:name="objetivos-específicos"/>
    <w:p>
      <w:pPr>
        <w:pStyle w:val="Heading3"/>
      </w:pPr>
      <w:r>
        <w:t xml:space="preserve">2.2 Objetivos específicos</w:t>
      </w:r>
    </w:p>
    <w:p>
      <w:pPr>
        <w:pStyle w:val="FirstParagraph"/>
      </w:pPr>
      <w:r>
        <w:t xml:space="preserve">Cada objetivo declara o produto e o critério pelo qual se verifica que foi cumprido.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OE</w:t>
            </w:r>
          </w:p>
        </w:tc>
        <w:tc>
          <w:tcPr/>
          <w:p>
            <w:pPr>
              <w:pStyle w:val="Compact"/>
            </w:pPr>
            <w:r>
              <w:t xml:space="preserve">Objetivo</w:t>
            </w:r>
          </w:p>
        </w:tc>
        <w:tc>
          <w:tcPr/>
          <w:p>
            <w:pPr>
              <w:pStyle w:val="Compact"/>
            </w:pPr>
            <w:r>
              <w:t xml:space="preserve">Produto</w:t>
            </w:r>
          </w:p>
        </w:tc>
        <w:tc>
          <w:tcPr/>
          <w:p>
            <w:pPr>
              <w:pStyle w:val="Compact"/>
            </w:pPr>
            <w:r>
              <w:t xml:space="preserve">Critério de cumprimento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OE1</w:t>
            </w:r>
          </w:p>
        </w:tc>
        <w:tc>
          <w:tcPr/>
          <w:p>
            <w:pPr>
              <w:pStyle w:val="Compact"/>
            </w:pPr>
            <w:r>
              <w:t xml:space="preserve">Automatizar a obtenção, a filtragem e a curadoria das fichas de SRAG do RJ (2022–2025) a partir do Portal de Dados Abertos do SUS, com registro de proveniência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sivep_processado.parquet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dados/MANIFESTO.md</w:t>
            </w:r>
          </w:p>
        </w:tc>
        <w:tc>
          <w:tcPr/>
          <w:p>
            <w:pPr>
              <w:pStyle w:val="Compact"/>
            </w:pPr>
            <w:r>
              <w:t xml:space="preserve">4 bancos anuais baixados, com URL, data e hash SHA-256; 100 % dos registros com</w:t>
            </w:r>
            <w:r>
              <w:t xml:space="preserve"> </w:t>
            </w:r>
            <w:r>
              <w:rPr>
                <w:rStyle w:val="VerbatimChar"/>
              </w:rPr>
              <w:t xml:space="preserve">CO_MUN_RES</w:t>
            </w:r>
            <w:r>
              <w:t xml:space="preserve"> </w:t>
            </w:r>
            <w:r>
              <w:t xml:space="preserve">iniciado em 33; contagem por agente × ano tabulada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OE2</w:t>
            </w:r>
          </w:p>
        </w:tc>
        <w:tc>
          <w:tcPr/>
          <w:p>
            <w:pPr>
              <w:pStyle w:val="Compact"/>
            </w:pPr>
            <w:r>
              <w:t xml:space="preserve">Definir e aplicar critério explícito de caso confirmado por agente (RT-PCR ou antígeno) e regra de co-detecção</w:t>
            </w:r>
          </w:p>
        </w:tc>
        <w:tc>
          <w:tcPr/>
          <w:p>
            <w:pPr>
              <w:pStyle w:val="Compact"/>
            </w:pPr>
            <w:r>
              <w:t xml:space="preserve">Decisão registrada (ADR-0002) + coluna</w:t>
            </w:r>
            <w:r>
              <w:t xml:space="preserve"> </w:t>
            </w:r>
            <w:r>
              <w:rPr>
                <w:rStyle w:val="VerbatimChar"/>
              </w:rPr>
              <w:t xml:space="preserve">agente</w:t>
            </w:r>
          </w:p>
        </w:tc>
        <w:tc>
          <w:tcPr/>
          <w:p>
            <w:pPr>
              <w:pStyle w:val="Compact"/>
            </w:pPr>
            <w:r>
              <w:t xml:space="preserve">Tabela comparando quantos casos cada regra alternativa incluiria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OE3</w:t>
            </w:r>
          </w:p>
        </w:tc>
        <w:tc>
          <w:tcPr/>
          <w:p>
            <w:pPr>
              <w:pStyle w:val="Compact"/>
            </w:pPr>
            <w:r>
              <w:t xml:space="preserve">Calcular incidência acumulada por 100 mil habitantes por município, agente e ano, com denominador do IBGE definido ano a ano, e a versão suavizada por Bayes empírico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indicadores_municipais.parquet</w:t>
            </w:r>
          </w:p>
        </w:tc>
        <w:tc>
          <w:tcPr/>
          <w:p>
            <w:pPr>
              <w:pStyle w:val="Compact"/>
            </w:pPr>
            <w:r>
              <w:t xml:space="preserve">Grade completa 92 × 3 × 4 sem valor faltante; município sem caso registrado com zero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OE4</w:t>
            </w:r>
          </w:p>
        </w:tc>
        <w:tc>
          <w:tcPr/>
          <w:p>
            <w:pPr>
              <w:pStyle w:val="Compact"/>
            </w:pPr>
            <w:r>
              <w:t xml:space="preserve">Padronizar cartograficamente a malha municipal oficial do IBGE e a de regiões de saúde (ADR-0006) em SIRGAS 2000 (EPSG:4674) e integrá-las aos indicadores pela chave IBGE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municipios_rj.rds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regioes_saude_rj.rds</w:t>
            </w:r>
          </w:p>
        </w:tc>
        <w:tc>
          <w:tcPr/>
          <w:p>
            <w:pPr>
              <w:pStyle w:val="Compact"/>
            </w:pPr>
            <w:r>
              <w:t xml:space="preserve">92 feições válidas; junção com indicadores retorna 92 linhas; 9 regiões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OE5</w:t>
            </w:r>
          </w:p>
        </w:tc>
        <w:tc>
          <w:tcPr/>
          <w:p>
            <w:pPr>
              <w:pStyle w:val="Compact"/>
            </w:pPr>
            <w:r>
              <w:t xml:space="preserve">Testar dependência espacial global (Moran I, Monte Carlo) e mapear agrupamentos locais (LISA) por agente e ano, com correção para testes múltiplos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moran_lisa.rds</w:t>
            </w:r>
            <w:r>
              <w:t xml:space="preserve"> </w:t>
            </w:r>
            <w:r>
              <w:t xml:space="preserve">+ 12 mapas LISA</w:t>
            </w:r>
          </w:p>
        </w:tc>
        <w:tc>
          <w:tcPr/>
          <w:p>
            <w:pPr>
              <w:pStyle w:val="Compact"/>
            </w:pPr>
            <w:r>
              <w:t xml:space="preserve">12 valores de I com p-valor; tabela LISA 92 × 12 com classe e p corrigido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OE6</w:t>
            </w:r>
          </w:p>
        </w:tc>
        <w:tc>
          <w:tcPr/>
          <w:p>
            <w:pPr>
              <w:pStyle w:val="Compact"/>
            </w:pPr>
            <w:r>
              <w:t xml:space="preserve">Disponibilizar painel interativo (Shiny + leaflet) com filtros por agente e ano exibindo taxa bruta, taxa suavizada e classe LISA por município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app.R</w:t>
            </w:r>
          </w:p>
        </w:tc>
        <w:tc>
          <w:tcPr/>
          <w:p>
            <w:pPr>
              <w:pStyle w:val="Compact"/>
            </w:pPr>
            <w:r>
              <w:t xml:space="preserve">12 combinações filtram sem erro; popup com 6 campos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OE7</w:t>
            </w:r>
          </w:p>
        </w:tc>
        <w:tc>
          <w:tcPr/>
          <w:p>
            <w:pPr>
              <w:pStyle w:val="Compact"/>
            </w:pPr>
            <w:r>
              <w:t xml:space="preserve">Gerar relatório e apresentação a partir do mesmo código-fonte (Quarto), com todos os números lidos dos objetos do pipeline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08_relatorio.qmd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quarto render</w:t>
            </w:r>
            <w:r>
              <w:t xml:space="preserve"> </w:t>
            </w:r>
            <w:r>
              <w:t xml:space="preserve">sem erro; zero números digitados à mão no fonte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OE8</w:t>
            </w:r>
          </w:p>
        </w:tc>
        <w:tc>
          <w:tcPr/>
          <w:p>
            <w:pPr>
              <w:pStyle w:val="Compact"/>
            </w:pPr>
            <w:r>
              <w:t xml:space="preserve">Publicar código, dados processados e documentação em repositório público com ambiente congelado (</w:t>
            </w:r>
            <w:r>
              <w:rPr>
                <w:rStyle w:val="VerbatimChar"/>
              </w:rPr>
              <w:t xml:space="preserve">renv</w:t>
            </w:r>
            <w:r>
              <w:t xml:space="preserve">) e testes automatizados</w:t>
            </w:r>
          </w:p>
        </w:tc>
        <w:tc>
          <w:tcPr/>
          <w:p>
            <w:pPr>
              <w:pStyle w:val="Compact"/>
            </w:pPr>
            <w:r>
              <w:t xml:space="preserve">repositório GitHub</w:t>
            </w:r>
          </w:p>
        </w:tc>
        <w:tc>
          <w:tcPr/>
          <w:p>
            <w:pPr>
              <w:pStyle w:val="Compact"/>
            </w:pPr>
            <w:r>
              <w:t xml:space="preserve">Terceiro reexecuta do zero seguindo o README; testes verdes em integração contínua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OE9</w:t>
            </w:r>
            <w:r>
              <w:t xml:space="preserve"> </w:t>
            </w:r>
            <w:r>
              <w:rPr>
                <w:i/>
                <w:iCs/>
              </w:rPr>
              <w:t xml:space="preserve">(opcional, D-10; entregue no CS-033)</w:t>
            </w:r>
          </w:p>
        </w:tc>
        <w:tc>
          <w:tcPr/>
          <w:p>
            <w:pPr>
              <w:pStyle w:val="Compact"/>
            </w:pPr>
            <w:r>
              <w:t xml:space="preserve">Calcular taxas padronizadas por idade (método direto, 11 faixas, Censo 2022 por faixa etária, padrão RJ 2022) para os três agentes</w:t>
            </w:r>
          </w:p>
        </w:tc>
        <w:tc>
          <w:tcPr/>
          <w:p>
            <w:pPr>
              <w:pStyle w:val="Compact"/>
            </w:pPr>
            <w:r>
              <w:t xml:space="preserve">coluna</w:t>
            </w:r>
            <w:r>
              <w:t xml:space="preserve"> </w:t>
            </w:r>
            <w:r>
              <w:rPr>
                <w:rStyle w:val="VerbatimChar"/>
              </w:rPr>
              <w:t xml:space="preserve">incid_pad_100k</w:t>
            </w:r>
          </w:p>
        </w:tc>
        <w:tc>
          <w:tcPr/>
          <w:p>
            <w:pPr>
              <w:pStyle w:val="Compact"/>
            </w:pPr>
            <w:r>
              <w:t xml:space="preserve">Comparação bruta × padronizada no relatório: correlação de postos ≥ 0,99; razão mediana 0,93–1,01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OE10</w:t>
            </w:r>
            <w:r>
              <w:t xml:space="preserve"> </w:t>
            </w:r>
            <w:r>
              <w:rPr>
                <w:i/>
                <w:iCs/>
              </w:rPr>
              <w:t xml:space="preserve">(opcional, D-10; entregue no CS-034)</w:t>
            </w:r>
          </w:p>
        </w:tc>
        <w:tc>
          <w:tcPr/>
          <w:p>
            <w:pPr>
              <w:pStyle w:val="Compact"/>
            </w:pPr>
            <w:r>
              <w:t xml:space="preserve">Descrever a relação entre taxa por residência e oferta de leitos (CNES) por município e região de saúde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spearman_leitos.csv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leitos_regionais.csv</w:t>
            </w:r>
            <w:r>
              <w:t xml:space="preserve">, gráfico</w:t>
            </w:r>
          </w:p>
        </w:tc>
        <w:tc>
          <w:tcPr/>
          <w:p>
            <w:pPr>
              <w:pStyle w:val="Compact"/>
            </w:pPr>
            <w:r>
              <w:t xml:space="preserve">Coeficiente de correlação de Spearman por ano, com IC por bootstrap, sem inferência causal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9" w:name="metodologia-e-ferramentas-cartográficas"/>
    <w:p>
      <w:pPr>
        <w:pStyle w:val="Heading2"/>
      </w:pPr>
      <w:r>
        <w:t xml:space="preserve">3 Metodologia e ferramentas cartográficas</w:t>
      </w:r>
    </w:p>
    <w:bookmarkStart w:id="18" w:name="desenho-do-estudo-e-área-de-abrangência"/>
    <w:p>
      <w:pPr>
        <w:pStyle w:val="Heading3"/>
      </w:pPr>
      <w:r>
        <w:t xml:space="preserve">3.1 Desenho do estudo e área de abrangência</w:t>
      </w:r>
    </w:p>
    <w:p>
      <w:pPr>
        <w:pStyle w:val="FirstParagraph"/>
      </w:pPr>
      <w:r>
        <w:t xml:space="preserve">Estudo ecológico, exploratório e espaço-temporal. Unidade de análise: o município de</w:t>
      </w:r>
      <w:r>
        <w:t xml:space="preserve"> </w:t>
      </w:r>
      <w:r>
        <w:rPr>
          <w:b/>
          <w:bCs/>
        </w:rPr>
        <w:t xml:space="preserve">residência</w:t>
      </w:r>
      <w:r>
        <w:t xml:space="preserve"> </w:t>
      </w:r>
      <w:r>
        <w:t xml:space="preserve">do paciente (92 unidades), com agregação secundária em 9 regiões de saúde.</w:t>
      </w:r>
      <w:r>
        <w:t xml:space="preserve"> </w:t>
      </w:r>
      <w:r>
        <w:t xml:space="preserve">Período: primeiros sintomas entre 02/01/2022 (início da semana epidemiológica 1 de 2022)</w:t>
      </w:r>
      <w:r>
        <w:t xml:space="preserve"> </w:t>
      </w:r>
      <w:r>
        <w:t xml:space="preserve">e 03/01/2026 (sábado que fecha a semana 53 de 2025), no snapshot de 2025 de 14/09/2026 (ADR-0001),</w:t>
      </w:r>
      <w:r>
        <w:t xml:space="preserve"> </w:t>
      </w:r>
      <w:r>
        <w:t xml:space="preserve">agregado por ano epidemiológico e, para descrição temporal, por semana epidemiológica</w:t>
      </w:r>
      <w:r>
        <w:t xml:space="preserve"> </w:t>
      </w:r>
      <w:r>
        <w:t xml:space="preserve">recalculada de</w:t>
      </w:r>
      <w:r>
        <w:t xml:space="preserve"> </w:t>
      </w:r>
      <w:r>
        <w:rPr>
          <w:rStyle w:val="VerbatimChar"/>
        </w:rPr>
        <w:t xml:space="preserve">DT_SIN_PRI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SEM_PRI</w:t>
      </w:r>
      <w:r>
        <w:t xml:space="preserve"> </w:t>
      </w:r>
      <w:r>
        <w:t xml:space="preserve">do banco rotula a semana 53/2025 como 01; D-08).</w:t>
      </w:r>
      <w:r>
        <w:t xml:space="preserve"> </w:t>
      </w:r>
      <w:r>
        <w:t xml:space="preserve">Série semanal entregue no CS-032: 209 semanas, estado e 9 regiões.</w:t>
      </w:r>
    </w:p>
    <w:p>
      <w:pPr>
        <w:pStyle w:val="BodyText"/>
      </w:pPr>
      <w:r>
        <w:rPr>
          <w:b/>
          <w:bCs/>
        </w:rPr>
        <w:t xml:space="preserve">“Ano”</w:t>
      </w:r>
      <w:r>
        <w:rPr>
          <w:b/>
          <w:bCs/>
        </w:rPr>
        <w:t xml:space="preserve"> </w:t>
      </w:r>
      <w:r>
        <w:rPr>
          <w:b/>
          <w:bCs/>
        </w:rPr>
        <w:t xml:space="preserve">é o ano epidemiológico (CS-036).</w:t>
      </w:r>
      <w:r>
        <w:t xml:space="preserve"> </w:t>
      </w:r>
      <w:r>
        <w:t xml:space="preserve">Cada banco anual do SIVEP reúne as fichas cujo</w:t>
      </w:r>
      <w:r>
        <w:t xml:space="preserve"> </w:t>
      </w:r>
      <w:r>
        <w:t xml:space="preserve">início de sintomas cai nas semanas epidemiológicas daquele ano, de domingo a sábado: 2022 vai</w:t>
      </w:r>
      <w:r>
        <w:t xml:space="preserve"> </w:t>
      </w:r>
      <w:r>
        <w:t xml:space="preserve">de 02/01/2022 a 31/12/2022, 2023 de 01/01/2023 a 30/12/2023, 2024 de 31/12/2023 a</w:t>
      </w:r>
      <w:r>
        <w:t xml:space="preserve"> </w:t>
      </w:r>
      <w:r>
        <w:t xml:space="preserve">28/12/2024 e 2025 de 29/12/2024 a 03/01/2026. Consequência: 2025 tem</w:t>
      </w:r>
      <w:r>
        <w:t xml:space="preserve"> </w:t>
      </w:r>
      <w:r>
        <w:rPr>
          <w:b/>
          <w:bCs/>
        </w:rPr>
        <w:t xml:space="preserve">53 semanas</w:t>
      </w:r>
      <w:r>
        <w:t xml:space="preserve"> </w:t>
      </w:r>
      <w:r>
        <w:t xml:space="preserve">(371</w:t>
      </w:r>
      <w:r>
        <w:t xml:space="preserve"> </w:t>
      </w:r>
      <w:r>
        <w:t xml:space="preserve">dias), 7 dias a mais que os outros anos; o relatório mostra quanto a semana 53 pesa. Agentes: SARS-CoV-2,</w:t>
      </w:r>
      <w:r>
        <w:t xml:space="preserve"> </w:t>
      </w:r>
      <w:r>
        <w:t xml:space="preserve">Influenza (A e B, analisadas em conjunto e separadas quando o n permitir) e VSR.</w:t>
      </w:r>
    </w:p>
    <w:p>
      <w:pPr>
        <w:pStyle w:val="BlockText"/>
      </w:pPr>
      <w:r>
        <w:t xml:space="preserve">Estudo ecológico: a unidade de observação é o grupo, não o indivíduo. Conclusões</w:t>
      </w:r>
      <w:r>
        <w:t xml:space="preserve"> </w:t>
      </w:r>
      <w:r>
        <w:t xml:space="preserve">sobre municípios não se transferem a pessoas (falácia ecológica). Isso vai para a</w:t>
      </w:r>
      <w:r>
        <w:t xml:space="preserve"> </w:t>
      </w:r>
      <w:r>
        <w:t xml:space="preserve">seção de limitações.</w:t>
      </w:r>
    </w:p>
    <w:bookmarkEnd w:id="18"/>
    <w:bookmarkStart w:id="19" w:name="fontes-de-dados"/>
    <w:p>
      <w:pPr>
        <w:pStyle w:val="Heading3"/>
      </w:pPr>
      <w:r>
        <w:t xml:space="preserve">3.2 Fontes de dados</w:t>
      </w:r>
    </w:p>
    <w:p>
      <w:pPr>
        <w:pStyle w:val="FirstParagraph"/>
      </w:pPr>
      <w:r>
        <w:t xml:space="preserve">Todas públicas, gratuitas e de acesso aberto.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Fonte</w:t>
            </w:r>
          </w:p>
        </w:tc>
        <w:tc>
          <w:tcPr/>
          <w:p>
            <w:pPr>
              <w:pStyle w:val="Compact"/>
            </w:pPr>
            <w:r>
              <w:t xml:space="preserve">O que fornece</w:t>
            </w:r>
          </w:p>
        </w:tc>
        <w:tc>
          <w:tcPr/>
          <w:p>
            <w:pPr>
              <w:pStyle w:val="Compact"/>
            </w:pPr>
            <w:r>
              <w:t xml:space="preserve">Acesso</w:t>
            </w:r>
          </w:p>
        </w:tc>
        <w:tc>
          <w:tcPr/>
          <w:p>
            <w:pPr>
              <w:pStyle w:val="Compac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SIVEP-Gripe, bancos anuais 2022–2025</w:t>
            </w:r>
          </w:p>
        </w:tc>
        <w:tc>
          <w:tcPr/>
          <w:p>
            <w:pPr>
              <w:pStyle w:val="Compact"/>
            </w:pPr>
            <w:r>
              <w:t xml:space="preserve">Fichas individuais de SRAG notificada (hospitalizados e óbitos)</w:t>
            </w:r>
          </w:p>
        </w:tc>
        <w:tc>
          <w:tcPr/>
          <w:p>
            <w:pPr>
              <w:pStyle w:val="Compact"/>
            </w:pPr>
            <w:r>
              <w:t xml:space="preserve">Portal de Dados Abertos do SUS, conjunto</w:t>
            </w:r>
            <w:r>
              <w:t xml:space="preserve"> </w:t>
            </w:r>
            <w:r>
              <w:t xml:space="preserve">“SRAG 2019 a 2026”</w:t>
            </w:r>
            <w:r>
              <w:t xml:space="preserve">, formatos CSV e PARQUET</w:t>
            </w:r>
          </w:p>
        </w:tc>
        <w:tc>
          <w:tcPr/>
          <w:p>
            <w:pPr>
              <w:pStyle w:val="Compact"/>
            </w:pPr>
            <w:r>
              <w:t xml:space="preserve">Bancos 2019–2024 congelados; 2025–2026 atualizados semanalmente. Download por HTTP com registro de proveniência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Dicionário de dados SIVEP-Gripe 2019–2025</w:t>
            </w:r>
          </w:p>
        </w:tc>
        <w:tc>
          <w:tcPr/>
          <w:p>
            <w:pPr>
              <w:pStyle w:val="Compact"/>
            </w:pPr>
            <w:r>
              <w:t xml:space="preserve">Nome, tipo e domínio de cada campo</w:t>
            </w:r>
          </w:p>
        </w:tc>
        <w:tc>
          <w:tcPr/>
          <w:p>
            <w:pPr>
              <w:pStyle w:val="Compact"/>
            </w:pPr>
            <w:r>
              <w:t xml:space="preserve">Mesmo conjunto, recurso</w:t>
            </w:r>
            <w:r>
              <w:t xml:space="preserve"> </w:t>
            </w:r>
            <w:r>
              <w:t xml:space="preserve">“Dicionário de Dados”</w:t>
            </w:r>
          </w:p>
        </w:tc>
        <w:tc>
          <w:tcPr/>
          <w:p>
            <w:pPr>
              <w:pStyle w:val="Compact"/>
            </w:pPr>
            <w:r>
              <w:t xml:space="preserve">Fonte de verdade para nomes de campos; substitui os nomes usados na v1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IBGE, Censo 2022 (SIDRA tabela 4714)</w:t>
            </w:r>
          </w:p>
        </w:tc>
        <w:tc>
          <w:tcPr/>
          <w:p>
            <w:pPr>
              <w:pStyle w:val="Compact"/>
            </w:pPr>
            <w:r>
              <w:t xml:space="preserve">População residente por município, 2022 (contagem, sem ajuste de cobertura)</w:t>
            </w:r>
          </w:p>
        </w:tc>
        <w:tc>
          <w:tcPr/>
          <w:p>
            <w:pPr>
              <w:pStyle w:val="Compact"/>
            </w:pPr>
            <w:r>
              <w:t xml:space="preserve">API SIDRA</w:t>
            </w:r>
          </w:p>
        </w:tc>
        <w:tc>
          <w:tcPr/>
          <w:p>
            <w:pPr>
              <w:pStyle w:val="Compact"/>
            </w:pPr>
            <w:r>
              <w:t xml:space="preserve">Denominador de 2022 (ver §3.4 e ADR-0003)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IBGE, Estimativas populacionais (SIDRA tabela 6579)</w:t>
            </w:r>
          </w:p>
        </w:tc>
        <w:tc>
          <w:tcPr/>
          <w:p>
            <w:pPr>
              <w:pStyle w:val="Compact"/>
            </w:pPr>
            <w:r>
              <w:t xml:space="preserve">População estimada, 1º de julho</w:t>
            </w:r>
          </w:p>
        </w:tc>
        <w:tc>
          <w:tcPr/>
          <w:p>
            <w:pPr>
              <w:pStyle w:val="Compact"/>
            </w:pPr>
            <w:r>
              <w:t xml:space="preserve">API SIDRA</w:t>
            </w:r>
          </w:p>
        </w:tc>
        <w:tc>
          <w:tcPr/>
          <w:p>
            <w:pPr>
              <w:pStyle w:val="Compact"/>
            </w:pPr>
            <w:r>
              <w:t xml:space="preserve">Denominadores de 2024 e 2025;</w:t>
            </w:r>
            <w:r>
              <w:t xml:space="preserve"> </w:t>
            </w:r>
            <w:r>
              <w:rPr>
                <w:b/>
                <w:bCs/>
              </w:rPr>
              <w:t xml:space="preserve">não há 2023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IBGE, Censo 2022 por idade (SIDRA tabela 9514)</w:t>
            </w:r>
          </w:p>
        </w:tc>
        <w:tc>
          <w:tcPr/>
          <w:p>
            <w:pPr>
              <w:pStyle w:val="Compact"/>
            </w:pPr>
            <w:r>
              <w:t xml:space="preserve">População por faixa etária e município</w:t>
            </w:r>
          </w:p>
        </w:tc>
        <w:tc>
          <w:tcPr/>
          <w:p>
            <w:pPr>
              <w:pStyle w:val="Compact"/>
            </w:pPr>
            <w:r>
              <w:t xml:space="preserve">API SIDRA</w:t>
            </w:r>
          </w:p>
        </w:tc>
        <w:tc>
          <w:tcPr/>
          <w:p>
            <w:pPr>
              <w:pStyle w:val="Compact"/>
            </w:pPr>
            <w:r>
              <w:t xml:space="preserve">Só para OE9 (padronização)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IBGE, Malha Municipal 2022</w:t>
            </w:r>
          </w:p>
        </w:tc>
        <w:tc>
          <w:tcPr/>
          <w:p>
            <w:pPr>
              <w:pStyle w:val="Compact"/>
            </w:pPr>
            <w:r>
              <w:t xml:space="preserve">Polígonos municipais do RJ, resolução completa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geoftp.ibge.gov.br</w:t>
            </w:r>
            <w:r>
              <w:t xml:space="preserve"> </w:t>
            </w:r>
            <w:r>
              <w:t xml:space="preserve">(arquivo</w:t>
            </w:r>
            <w:r>
              <w:t xml:space="preserve"> </w:t>
            </w:r>
            <w:r>
              <w:rPr>
                <w:rStyle w:val="VerbatimChar"/>
              </w:rPr>
              <w:t xml:space="preserve">RJ_Municipios_2022.zip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Já em EPSG:4674; registrada no manifesto com hash.</w:t>
            </w:r>
            <w:r>
              <w:t xml:space="preserve"> </w:t>
            </w:r>
            <w:r>
              <w:rPr>
                <w:b/>
                <w:bCs/>
              </w:rPr>
              <w:t xml:space="preserve">Não</w:t>
            </w:r>
            <w:r>
              <w:t xml:space="preserve"> </w:t>
            </w:r>
            <w:r>
              <w:t xml:space="preserve">a malha simplificada do</w:t>
            </w:r>
            <w:r>
              <w:t xml:space="preserve"> </w:t>
            </w:r>
            <w:r>
              <w:rPr>
                <w:rStyle w:val="VerbatimChar"/>
              </w:rPr>
              <w:t xml:space="preserve">geobr</w:t>
            </w:r>
            <w:r>
              <w:t xml:space="preserve">, que perde 8 pares de vizinhos (ADR-0006)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Regiões de saúde (tabela município → região)</w:t>
            </w:r>
          </w:p>
        </w:tc>
        <w:tc>
          <w:tcPr/>
          <w:p>
            <w:pPr>
              <w:pStyle w:val="Compact"/>
            </w:pPr>
            <w:r>
              <w:t xml:space="preserve">Qual das 9 regiões contém cada município</w:t>
            </w:r>
          </w:p>
        </w:tc>
        <w:tc>
          <w:tcPr/>
          <w:p>
            <w:pPr>
              <w:pStyle w:val="Compact"/>
            </w:pPr>
            <w:r>
              <w:t xml:space="preserve">pacote</w:t>
            </w:r>
            <w:r>
              <w:t xml:space="preserve"> </w:t>
            </w:r>
            <w:r>
              <w:rPr>
                <w:rStyle w:val="VerbatimChar"/>
              </w:rPr>
              <w:t xml:space="preserve">geobr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read_health_region</w:t>
            </w:r>
            <w:r>
              <w:t xml:space="preserve">), só como atributo</w:t>
            </w:r>
          </w:p>
        </w:tc>
        <w:tc>
          <w:tcPr/>
          <w:p>
            <w:pPr>
              <w:pStyle w:val="Compact"/>
            </w:pPr>
            <w:r>
              <w:t xml:space="preserve">A geometria regional sai de dissolver a malha do IBGE (ADR-0006)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CNES, leitos</w:t>
            </w:r>
          </w:p>
        </w:tc>
        <w:tc>
          <w:tcPr/>
          <w:p>
            <w:pPr>
              <w:pStyle w:val="Compact"/>
            </w:pPr>
            <w:r>
              <w:t xml:space="preserve">Leitos SUS e de UTI SUS por estabelecimento, mês a mês</w:t>
            </w:r>
          </w:p>
        </w:tc>
        <w:tc>
          <w:tcPr/>
          <w:p>
            <w:pPr>
              <w:pStyle w:val="Compact"/>
            </w:pPr>
            <w:r>
              <w:t xml:space="preserve">Portal de Dados Abertos do SUS, conjunto</w:t>
            </w:r>
            <w:r>
              <w:t xml:space="preserve"> </w:t>
            </w:r>
            <w:r>
              <w:t xml:space="preserve">“Hospitais e Leitos”</w:t>
            </w:r>
            <w:r>
              <w:t xml:space="preserve"> </w:t>
            </w:r>
            <w:r>
              <w:t xml:space="preserve">(CSV anual; CS-034)</w:t>
            </w:r>
          </w:p>
        </w:tc>
        <w:tc>
          <w:tcPr/>
          <w:p>
            <w:pPr>
              <w:pStyle w:val="Compact"/>
            </w:pPr>
            <w:r>
              <w:t xml:space="preserve">Só para OE10. Competência de julho. Preferido ao</w:t>
            </w:r>
            <w:r>
              <w:t xml:space="preserve"> </w:t>
            </w:r>
            <w:r>
              <w:rPr>
                <w:rStyle w:val="VerbatimChar"/>
              </w:rPr>
              <w:t xml:space="preserve">microdatasus</w:t>
            </w:r>
            <w:r>
              <w:t xml:space="preserve"> </w:t>
            </w:r>
            <w:r>
              <w:t xml:space="preserve">(CNES-LT): mesmo portal do SIVEP, CSV em vez de</w:t>
            </w:r>
            <w:r>
              <w:t xml:space="preserve"> </w:t>
            </w:r>
            <w:r>
              <w:rPr>
                <w:rStyle w:val="VerbatimChar"/>
              </w:rPr>
              <w:t xml:space="preserve">.dbc</w:t>
            </w:r>
            <w:r>
              <w:t xml:space="preserve">, sem pacote fora do CRAN. Sem código IBGE em 2022–2024: junção por nome, conferida com o código de 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Boletins InfoGripe (Fiocruz)</w:t>
            </w:r>
          </w:p>
        </w:tc>
        <w:tc>
          <w:tcPr/>
          <w:p>
            <w:pPr>
              <w:pStyle w:val="Compact"/>
            </w:pPr>
            <w:r>
              <w:t xml:space="preserve">Composição viral e tendência nacional/estadual por semana</w:t>
            </w:r>
          </w:p>
        </w:tc>
        <w:tc>
          <w:tcPr/>
          <w:p>
            <w:pPr>
              <w:pStyle w:val="Compact"/>
            </w:pPr>
            <w:r>
              <w:t xml:space="preserve">Agência Fiocruz / GitHub</w:t>
            </w:r>
            <w:r>
              <w:t xml:space="preserve"> </w:t>
            </w:r>
            <w:r>
              <w:rPr>
                <w:rStyle w:val="VerbatimChar"/>
              </w:rPr>
              <w:t xml:space="preserve">infogripe</w:t>
            </w:r>
          </w:p>
        </w:tc>
        <w:tc>
          <w:tcPr/>
          <w:p>
            <w:pPr>
              <w:pStyle w:val="Compact"/>
            </w:pPr>
            <w:r>
              <w:t xml:space="preserve">Contexto e validação externa da tendência estadual, não entra no cálculo</w:t>
            </w:r>
          </w:p>
        </w:tc>
      </w:tr>
    </w:tbl>
    <w:bookmarkEnd w:id="19"/>
    <w:bookmarkStart w:id="20" w:name="Xbcaeaace831453681d0c09cd339533f0b26c426"/>
    <w:p>
      <w:pPr>
        <w:pStyle w:val="Heading3"/>
      </w:pPr>
      <w:r>
        <w:t xml:space="preserve">3.3 Coleta, curadoria e tratamento dos dados do SIVEP-Gripe</w:t>
      </w:r>
    </w:p>
    <w:p>
      <w:pPr>
        <w:pStyle w:val="FirstParagraph"/>
      </w:pPr>
      <w:r>
        <w:rPr>
          <w:b/>
          <w:bCs/>
        </w:rPr>
        <w:t xml:space="preserve">Extração.</w:t>
      </w:r>
      <w:r>
        <w:t xml:space="preserve"> </w:t>
      </w:r>
      <w:r>
        <w:t xml:space="preserve">Os bancos anuais são baixados diretamente do Portal de Dados Abertos por</w:t>
      </w:r>
      <w:r>
        <w:t xml:space="preserve"> </w:t>
      </w:r>
      <w:r>
        <w:t xml:space="preserve">HTTP, em PARQUET (ADR-0001), com leitura seletiva de ~25</w:t>
      </w:r>
      <w:r>
        <w:t xml:space="preserve"> </w:t>
      </w:r>
      <w:r>
        <w:t xml:space="preserve">colunas pelo pacote</w:t>
      </w:r>
      <w:r>
        <w:t xml:space="preserve"> </w:t>
      </w:r>
      <w:r>
        <w:rPr>
          <w:rStyle w:val="VerbatimChar"/>
        </w:rPr>
        <w:t xml:space="preserve">arrow</w:t>
      </w:r>
      <w:r>
        <w:t xml:space="preserve">, o que evita carregar em memória as ~190 colunas de cada</w:t>
      </w:r>
      <w:r>
        <w:t xml:space="preserve"> </w:t>
      </w:r>
      <w:r>
        <w:t xml:space="preserve">banco. Cada arquivo baixado recebe entrada em</w:t>
      </w:r>
      <w:r>
        <w:t xml:space="preserve"> </w:t>
      </w:r>
      <w:r>
        <w:rPr>
          <w:rStyle w:val="VerbatimChar"/>
        </w:rPr>
        <w:t xml:space="preserve">dados/MANIFESTO.md</w:t>
      </w:r>
      <w:r>
        <w:t xml:space="preserve"> </w:t>
      </w:r>
      <w:r>
        <w:t xml:space="preserve">com URL, data e hora,</w:t>
      </w:r>
      <w:r>
        <w:t xml:space="preserve"> </w:t>
      </w:r>
      <w:r>
        <w:t xml:space="preserve">tamanho e hash SHA-256. O pipeline recusa-se a processar arquivo cujo hash não conste do</w:t>
      </w:r>
      <w:r>
        <w:t xml:space="preserve"> </w:t>
      </w:r>
      <w:r>
        <w:t xml:space="preserve">manifesto. O snapshot de 2025 fica assim datado e verificável.</w:t>
      </w:r>
    </w:p>
    <w:p>
      <w:pPr>
        <w:pStyle w:val="BodyText"/>
      </w:pPr>
      <w:r>
        <w:rPr>
          <w:b/>
          <w:bCs/>
        </w:rPr>
        <w:t xml:space="preserve">Seleção espacial.</w:t>
      </w:r>
      <w:r>
        <w:t xml:space="preserve"> </w:t>
      </w:r>
      <w:r>
        <w:t xml:space="preserve">Retêm-se os registros cujo</w:t>
      </w:r>
      <w:r>
        <w:t xml:space="preserve"> </w:t>
      </w:r>
      <w:r>
        <w:rPr>
          <w:rStyle w:val="VerbatimChar"/>
        </w:rPr>
        <w:t xml:space="preserve">CO_MUN_RES</w:t>
      </w:r>
      <w:r>
        <w:t xml:space="preserve"> </w:t>
      </w:r>
      <w:r>
        <w:t xml:space="preserve">(código IBGE do município</w:t>
      </w:r>
      <w:r>
        <w:t xml:space="preserve"> </w:t>
      </w:r>
      <w:r>
        <w:t xml:space="preserve">de residência, 6 dígitos, tratado como texto) inicia em</w:t>
      </w:r>
      <w:r>
        <w:t xml:space="preserve"> </w:t>
      </w:r>
      <w:r>
        <w:rPr>
          <w:rStyle w:val="VerbatimChar"/>
        </w:rPr>
        <w:t xml:space="preserve">33</w:t>
      </w:r>
      <w:r>
        <w:t xml:space="preserve">. A escolha por residência,</w:t>
      </w:r>
      <w:r>
        <w:t xml:space="preserve"> </w:t>
      </w:r>
      <w:r>
        <w:t xml:space="preserve">e não por notificação (</w:t>
      </w:r>
      <w:r>
        <w:rPr>
          <w:rStyle w:val="VerbatimChar"/>
        </w:rPr>
        <w:t xml:space="preserve">CO_MUN_NOT</w:t>
      </w:r>
      <w:r>
        <w:t xml:space="preserve">), segue a prática da vigilância para incidência; a</w:t>
      </w:r>
      <w:r>
        <w:t xml:space="preserve"> </w:t>
      </w:r>
      <w:r>
        <w:t xml:space="preserve">diferença entre as duas é quantificada no relatório porque mede o fluxo intermunicipal</w:t>
      </w:r>
      <w:r>
        <w:t xml:space="preserve"> </w:t>
      </w:r>
      <w:r>
        <w:t xml:space="preserve">de internações (Cavalcante et al., 2021).</w:t>
      </w:r>
    </w:p>
    <w:p>
      <w:pPr>
        <w:pStyle w:val="BodyText"/>
      </w:pPr>
      <w:r>
        <w:rPr>
          <w:b/>
          <w:bCs/>
        </w:rPr>
        <w:t xml:space="preserve">Campos e chave de junção (ADR-0007).</w:t>
      </w:r>
      <w:r>
        <w:t xml:space="preserve"> </w:t>
      </w:r>
      <w:r>
        <w:t xml:space="preserve">Os nomes reais dos campos, conferidos no dicionário</w:t>
      </w:r>
      <w:r>
        <w:t xml:space="preserve"> </w:t>
      </w:r>
      <w:r>
        <w:t xml:space="preserve">oficial e nos quatro bancos, ficam numa única constante do código (</w:t>
      </w:r>
      <w:r>
        <w:rPr>
          <w:rStyle w:val="VerbatimChar"/>
        </w:rPr>
        <w:t xml:space="preserve">COLUNAS_SIVEP</w:t>
      </w:r>
      <w:r>
        <w:t xml:space="preserve">), e o</w:t>
      </w:r>
      <w:r>
        <w:t xml:space="preserve"> </w:t>
      </w:r>
      <w:r>
        <w:t xml:space="preserve">preparo para se um deles faltar. A chave de junção entre SIVEP, população e malha é o código</w:t>
      </w:r>
      <w:r>
        <w:t xml:space="preserve"> </w:t>
      </w:r>
      <w:r>
        <w:t xml:space="preserve">IBGE de</w:t>
      </w:r>
      <w:r>
        <w:t xml:space="preserve"> </w:t>
      </w:r>
      <w:r>
        <w:rPr>
          <w:b/>
          <w:bCs/>
        </w:rPr>
        <w:t xml:space="preserve">seis</w:t>
      </w:r>
      <w:r>
        <w:t xml:space="preserve"> </w:t>
      </w:r>
      <w:r>
        <w:t xml:space="preserve">dígitos, como texto: o SIVEP grava seis dígitos e o IBGE sete, e uma junção</w:t>
      </w:r>
      <w:r>
        <w:t xml:space="preserve"> </w:t>
      </w:r>
      <w:r>
        <w:t xml:space="preserve">com sete dígitos devolveria zero municípios sem nenhum erro; um teste confirma que os 92 casam.</w:t>
      </w:r>
    </w:p>
    <w:p>
      <w:pPr>
        <w:pStyle w:val="BodyText"/>
      </w:pPr>
      <w:r>
        <w:rPr>
          <w:b/>
          <w:bCs/>
        </w:rPr>
        <w:t xml:space="preserve">Seleção temporal (CS-036).</w:t>
      </w:r>
      <w:r>
        <w:t xml:space="preserve"> </w:t>
      </w:r>
      <w:r>
        <w:t xml:space="preserve">A data é a de primeiros sintomas (</w:t>
      </w:r>
      <w:r>
        <w:rPr>
          <w:rStyle w:val="VerbatimChar"/>
        </w:rPr>
        <w:t xml:space="preserve">DT_SIN_PRI</w:t>
      </w:r>
      <w:r>
        <w:t xml:space="preserve">), presente</w:t>
      </w:r>
      <w:r>
        <w:t xml:space="preserve"> </w:t>
      </w:r>
      <w:r>
        <w:t xml:space="preserve">em todas as fichas dos quatro bancos; o pipeline para se faltar alguma, em vez de</w:t>
      </w:r>
      <w:r>
        <w:t xml:space="preserve"> </w:t>
      </w:r>
      <w:r>
        <w:t xml:space="preserve">substituí-la pela data de notificação. Cada ficha entra no ano do banco em que está, e o</w:t>
      </w:r>
      <w:r>
        <w:t xml:space="preserve"> </w:t>
      </w:r>
      <w:r>
        <w:t xml:space="preserve">pipeline confere que o ano epidemiológico calculado de</w:t>
      </w:r>
      <w:r>
        <w:t xml:space="preserve"> </w:t>
      </w:r>
      <w:r>
        <w:rPr>
          <w:rStyle w:val="VerbatimChar"/>
        </w:rPr>
        <w:t xml:space="preserve">DT_SIN_PRI</w:t>
      </w:r>
      <w:r>
        <w:t xml:space="preserve"> </w:t>
      </w:r>
      <w:r>
        <w:t xml:space="preserve">é esse mesmo ano: 0</w:t>
      </w:r>
      <w:r>
        <w:t xml:space="preserve"> </w:t>
      </w:r>
      <w:r>
        <w:t xml:space="preserve">divergências nos quatro bancos. Não há corte em 01/01/2022: essa data é da semana 52 de</w:t>
      </w:r>
      <w:r>
        <w:t xml:space="preserve"> </w:t>
      </w:r>
      <w:r>
        <w:t xml:space="preserve">2021.</w:t>
      </w:r>
    </w:p>
    <w:p>
      <w:pPr>
        <w:pStyle w:val="BodyText"/>
      </w:pPr>
      <w:r>
        <w:rPr>
          <w:b/>
          <w:bCs/>
        </w:rPr>
        <w:t xml:space="preserve">Critério de caso por agente (decidido pela autora em 2026-09-25; ADR-0002).</w:t>
      </w:r>
      <w:r>
        <w:t xml:space="preserve"> </w:t>
      </w:r>
      <w:r>
        <w:t xml:space="preserve">A</w:t>
      </w:r>
      <w:r>
        <w:t xml:space="preserve"> </w:t>
      </w:r>
      <w:r>
        <w:t xml:space="preserve">leitura literal da v1 (classificação final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campo do vírus marcado) foi testada nas</w:t>
      </w:r>
      <w:r>
        <w:t xml:space="preserve"> </w:t>
      </w:r>
      <w:r>
        <w:t xml:space="preserve">99.880 fichas do RJ e descartada: o campo</w:t>
      </w:r>
      <w:r>
        <w:t xml:space="preserve"> </w:t>
      </w:r>
      <w:r>
        <w:t xml:space="preserve">“qual vírus”</w:t>
      </w:r>
      <w:r>
        <w:t xml:space="preserve"> </w:t>
      </w:r>
      <w:r>
        <w:t xml:space="preserve">fica em branco em fichas com</w:t>
      </w:r>
      <w:r>
        <w:t xml:space="preserve"> </w:t>
      </w:r>
      <w:r>
        <w:t xml:space="preserve">resultado positivo, em proporção que cai de 27 % (2022) para 5 % (2025) entre as</w:t>
      </w:r>
      <w:r>
        <w:t xml:space="preserve"> </w:t>
      </w:r>
      <w:r>
        <w:t xml:space="preserve">encerradas como COVID, o que fabricaria uma queda artificial no período. A regra</w:t>
      </w:r>
      <w:r>
        <w:t xml:space="preserve"> </w:t>
      </w:r>
      <w:r>
        <w:t xml:space="preserve">adotada ancora o caso na declaração da vigilância: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Agente</w:t>
            </w:r>
          </w:p>
        </w:tc>
        <w:tc>
          <w:tcPr/>
          <w:p>
            <w:pPr>
              <w:pStyle w:val="Compact"/>
            </w:pPr>
            <w:r>
              <w:t xml:space="preserve">Regra adotada (R2</w:t>
            </w:r>
            <w:r>
              <w:t xml:space="preserve"> </w:t>
            </w:r>
            <w:r>
              <w:t xml:space="preserve">“vigilância”</w:t>
            </w:r>
            <w:r>
              <w:t xml:space="preserve">, ADR-0002)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SARS-CoV-2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CLASSI_FIN == 5</w:t>
            </w:r>
            <w:r>
              <w:t xml:space="preserve"> </w:t>
            </w:r>
            <w:r>
              <w:rPr>
                <w:b/>
                <w:bCs/>
              </w:rPr>
              <w:t xml:space="preserve">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CRITERIO == 1</w:t>
            </w:r>
            <w:r>
              <w:t xml:space="preserve"> </w:t>
            </w:r>
            <w:r>
              <w:t xml:space="preserve">laboratorial</w:t>
            </w:r>
            <w:r>
              <w:t xml:space="preserve"> </w:t>
            </w:r>
            <w:r>
              <w:rPr>
                <w:b/>
                <w:bCs/>
              </w:rP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PCR_SARS2 == 1</w:t>
            </w:r>
            <w:r>
              <w:t xml:space="preserve"> </w:t>
            </w:r>
            <w:r>
              <w:rPr>
                <w:b/>
                <w:bCs/>
              </w:rP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AN_SARS2 == 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Influenza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CLASSI_FIN == 1</w:t>
            </w:r>
            <w:r>
              <w:t xml:space="preserve"> </w:t>
            </w:r>
            <w:r>
              <w:rPr>
                <w:b/>
                <w:bCs/>
              </w:rPr>
              <w:t xml:space="preserve">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CRITERIO == 1</w:t>
            </w:r>
            <w:r>
              <w:t xml:space="preserve"> </w:t>
            </w:r>
            <w:r>
              <w:rPr>
                <w:b/>
                <w:bCs/>
              </w:rP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POS_PCRFLU == 1</w:t>
            </w:r>
            <w:r>
              <w:t xml:space="preserve"> </w:t>
            </w:r>
            <w:r>
              <w:rPr>
                <w:b/>
                <w:bCs/>
              </w:rP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POS_AN_FLU == 1</w:t>
            </w:r>
            <w:r>
              <w:t xml:space="preserve">); subtipo A/B por</w:t>
            </w:r>
            <w:r>
              <w:t xml:space="preserve"> </w:t>
            </w:r>
            <w:r>
              <w:rPr>
                <w:rStyle w:val="VerbatimChar"/>
              </w:rPr>
              <w:t xml:space="preserve">TP_FLU_PCR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TP_FLU_AN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CLASSI_FIN == 2</w:t>
            </w:r>
            <w:r>
              <w:t xml:space="preserve"> </w:t>
            </w:r>
            <w:r>
              <w:rPr>
                <w:b/>
                <w:bCs/>
              </w:rPr>
              <w:t xml:space="preserve">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PCR_VSR == 1</w:t>
            </w:r>
            <w:r>
              <w:t xml:space="preserve"> </w:t>
            </w:r>
            <w:r>
              <w:rPr>
                <w:b/>
                <w:bCs/>
              </w:rP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AN_VSR == 1</w:t>
            </w:r>
            <w:r>
              <w:t xml:space="preserve">) — o código 2 cobre qualquer</w:t>
            </w:r>
            <w:r>
              <w:t xml:space="preserve"> </w:t>
            </w:r>
            <w:r>
              <w:t xml:space="preserve">“outro vírus”</w:t>
            </w:r>
            <w:r>
              <w:t xml:space="preserve">, então só o campo do VSR o identifica</w:t>
            </w:r>
          </w:p>
        </w:tc>
      </w:tr>
    </w:tbl>
    <w:p>
      <w:pPr>
        <w:pStyle w:val="BodyText"/>
      </w:pPr>
      <w:r>
        <w:t xml:space="preserve">A regra exclui os encerramentos clínicos e por imagem, que deixaram de valer para COVID</w:t>
      </w:r>
      <w:r>
        <w:t xml:space="preserve"> </w:t>
      </w:r>
      <w:r>
        <w:t xml:space="preserve">em 31/10/2022 (1.509 fichas em 2022; 3, 5 e 0 nos anos seguintes). O relatório traz,</w:t>
      </w:r>
      <w:r>
        <w:t xml:space="preserve"> </w:t>
      </w:r>
      <w:r>
        <w:t xml:space="preserve">como sensibilidade, a regra literal (limite inferior) e a só-classificação (limite</w:t>
      </w:r>
      <w:r>
        <w:t xml:space="preserve"> </w:t>
      </w:r>
      <w:r>
        <w:t xml:space="preserve">superior). Toda ficha do banco conta, sem filtrar o campo de internação (1,0 % marcadas</w:t>
      </w:r>
      <w:r>
        <w:t xml:space="preserve"> </w:t>
      </w:r>
      <w:r>
        <w:t xml:space="preserve">“não internado”</w:t>
      </w:r>
      <w:r>
        <w:t xml:space="preserve">); por isso o texto fala em</w:t>
      </w:r>
      <w:r>
        <w:t xml:space="preserve"> </w:t>
      </w:r>
      <w:r>
        <w:rPr>
          <w:b/>
          <w:bCs/>
        </w:rPr>
        <w:t xml:space="preserve">SRAG notificada</w:t>
      </w:r>
      <w:r>
        <w:t xml:space="preserve">.</w:t>
      </w:r>
    </w:p>
    <w:p>
      <w:pPr>
        <w:pStyle w:val="BodyText"/>
      </w:pPr>
      <w:r>
        <w:t xml:space="preserve">Onde</w:t>
      </w:r>
      <w:r>
        <w:t xml:space="preserve"> </w:t>
      </w:r>
      <w:r>
        <w:rPr>
          <w:rStyle w:val="VerbatimChar"/>
        </w:rPr>
        <w:t xml:space="preserve">CLASSI_FIN</w:t>
      </w:r>
      <w:r>
        <w:t xml:space="preserve"> </w:t>
      </w:r>
      <w:r>
        <w:t xml:space="preserve">é a classificação final da vigilância (1 influenza; 2 outro vírus</w:t>
      </w:r>
      <w:r>
        <w:t xml:space="preserve"> </w:t>
      </w:r>
      <w:r>
        <w:t xml:space="preserve">respiratório; 3 outro agente etiológico; 4 não especificado; 5 COVID-19) e os campos</w:t>
      </w:r>
      <w:r>
        <w:t xml:space="preserve"> </w:t>
      </w:r>
      <w:r>
        <w:rPr>
          <w:rStyle w:val="VerbatimChar"/>
        </w:rPr>
        <w:t xml:space="preserve">PCR_*</w:t>
      </w:r>
      <w:r>
        <w:t xml:space="preserve">/</w:t>
      </w:r>
      <w:r>
        <w:rPr>
          <w:rStyle w:val="VerbatimChar"/>
        </w:rPr>
        <w:t xml:space="preserve">AN_*</w:t>
      </w:r>
      <w:r>
        <w:t xml:space="preserve"> </w:t>
      </w:r>
      <w:r>
        <w:t xml:space="preserve">são os resultados por RT-PCR e por teste de antígeno. Ficha com</w:t>
      </w:r>
      <w:r>
        <w:t xml:space="preserve"> </w:t>
      </w:r>
      <w:r>
        <w:rPr>
          <w:rStyle w:val="VerbatimChar"/>
        </w:rPr>
        <w:t xml:space="preserve">CLASSI_FIN</w:t>
      </w:r>
      <w:r>
        <w:t xml:space="preserve"> </w:t>
      </w:r>
      <w:r>
        <w:t xml:space="preserve">vazio é caso</w:t>
      </w:r>
      <w:r>
        <w:t xml:space="preserve"> </w:t>
      </w:r>
      <w:r>
        <w:rPr>
          <w:b/>
          <w:bCs/>
        </w:rPr>
        <w:t xml:space="preserve">não encerrado</w:t>
      </w:r>
      <w:r>
        <w:t xml:space="preserve">, não negativo; a proporção de não encerrados</w:t>
      </w:r>
      <w:r>
        <w:t xml:space="preserve"> </w:t>
      </w:r>
      <w:r>
        <w:t xml:space="preserve">por ano é reportada. No snapshot de 14/09/2026 ela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cresce no ano corrente:</w:t>
      </w:r>
      <w:r>
        <w:t xml:space="preserve"> </w:t>
      </w:r>
      <w:r>
        <w:t xml:space="preserve">1.028, 481, 760 e 138 fichas em 2022–2025 (ADR-0002 §3.4).</w:t>
      </w:r>
    </w:p>
    <w:p>
      <w:pPr>
        <w:pStyle w:val="BodyText"/>
      </w:pPr>
      <w:r>
        <w:rPr>
          <w:b/>
          <w:bCs/>
        </w:rPr>
        <w:t xml:space="preserve">Co-detecção (decidido, ADR-0002).</w:t>
      </w:r>
      <w:r>
        <w:t xml:space="preserve"> </w:t>
      </w:r>
      <w:r>
        <w:t xml:space="preserve">Uma ficha pode ter mais de um dos três vírus</w:t>
      </w:r>
      <w:r>
        <w:t xml:space="preserve"> </w:t>
      </w:r>
      <w:r>
        <w:t xml:space="preserve">detectado, mas isso é raro: 305 das 99.880 fichas (0,3 %). Como cada ficha tem uma só</w:t>
      </w:r>
      <w:r>
        <w:t xml:space="preserve"> </w:t>
      </w:r>
      <w:r>
        <w:t xml:space="preserve">classificação final, a regra adotada atribui cada caso a</w:t>
      </w:r>
      <w:r>
        <w:t xml:space="preserve"> </w:t>
      </w:r>
      <w:r>
        <w:rPr>
          <w:b/>
          <w:bCs/>
        </w:rPr>
        <w:t xml:space="preserve">um</w:t>
      </w:r>
      <w:r>
        <w:t xml:space="preserve"> </w:t>
      </w:r>
      <w:r>
        <w:t xml:space="preserve">agente, o da</w:t>
      </w:r>
      <w:r>
        <w:t xml:space="preserve"> </w:t>
      </w:r>
      <w:r>
        <w:t xml:space="preserve">classificação; as co-detecções são reportadas em tabela por agente e ano, e não contadas</w:t>
      </w:r>
      <w:r>
        <w:t xml:space="preserve"> </w:t>
      </w:r>
      <w:r>
        <w:t xml:space="preserve">duas vezes. O campo oficial</w:t>
      </w:r>
      <w:r>
        <w:t xml:space="preserve"> </w:t>
      </w:r>
      <w:r>
        <w:rPr>
          <w:rStyle w:val="VerbatimChar"/>
        </w:rPr>
        <w:t xml:space="preserve">CO_DETEC</w:t>
      </w:r>
      <w:r>
        <w:t xml:space="preserve"> </w:t>
      </w:r>
      <w:r>
        <w:t xml:space="preserve">não é usado: marca co-detecção com qualquer vírus</w:t>
      </w:r>
      <w:r>
        <w:t xml:space="preserve"> </w:t>
      </w:r>
      <w:r>
        <w:t xml:space="preserve">e está vazio em 65 % das fichas.</w:t>
      </w:r>
    </w:p>
    <w:p>
      <w:pPr>
        <w:pStyle w:val="BodyText"/>
      </w:pPr>
      <w:r>
        <w:rPr>
          <w:b/>
          <w:bCs/>
        </w:rPr>
        <w:t xml:space="preserve">Validação.</w:t>
      </w:r>
      <w:r>
        <w:t xml:space="preserve"> </w:t>
      </w:r>
      <w:r>
        <w:t xml:space="preserve">Funções de validação verificam presença das colunas, pertencimento dos</w:t>
      </w:r>
      <w:r>
        <w:t xml:space="preserve"> </w:t>
      </w:r>
      <w:r>
        <w:t xml:space="preserve">92 códigos ao RJ, plausibilidade de datas e consistência entre</w:t>
      </w:r>
      <w:r>
        <w:t xml:space="preserve"> </w:t>
      </w:r>
      <w:r>
        <w:rPr>
          <w:rStyle w:val="VerbatimChar"/>
        </w:rPr>
        <w:t xml:space="preserve">SEM_PRI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DT_SIN_PRI</w:t>
      </w:r>
      <w:r>
        <w:t xml:space="preserve">.</w:t>
      </w:r>
      <w:r>
        <w:t xml:space="preserve"> </w:t>
      </w:r>
      <w:r>
        <w:t xml:space="preserve">Toda função é coberta por teste automatizado sobre uma base sintética rotulada como</w:t>
      </w:r>
      <w:r>
        <w:t xml:space="preserve"> </w:t>
      </w:r>
      <w:r>
        <w:t xml:space="preserve">fabricada, o que permite testar sem baixar dados reais.</w:t>
      </w:r>
    </w:p>
    <w:bookmarkEnd w:id="20"/>
    <w:bookmarkStart w:id="21" w:name="indicadores-territoriais"/>
    <w:p>
      <w:pPr>
        <w:pStyle w:val="Heading3"/>
      </w:pPr>
      <w:r>
        <w:t xml:space="preserve">3.4 Indicadores territoriais</w:t>
      </w:r>
    </w:p>
    <w:p>
      <w:pPr>
        <w:pStyle w:val="FirstParagraph"/>
      </w:pPr>
      <w:r>
        <w:rPr>
          <w:b/>
          <w:bCs/>
        </w:rPr>
        <w:t xml:space="preserve">Incidência acumulada bruta</w:t>
      </w:r>
      <w:r>
        <w:t xml:space="preserve"> </w:t>
      </w:r>
      <w:r>
        <w:t xml:space="preserve">por município, agente e ano:</w:t>
      </w:r>
      <w:r>
        <w:t xml:space="preserve"> </w:t>
      </w:r>
      <w:r>
        <w:rPr>
          <w:rStyle w:val="VerbatimChar"/>
        </w:rPr>
        <w:t xml:space="preserve">casos / população × 100 000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Denominador ano a ano (decidido pela autora em 2026-09-25; ADR-0003).</w:t>
      </w:r>
      <w:r>
        <w:t xml:space="preserve"> </w:t>
      </w:r>
      <w:r>
        <w:t xml:space="preserve">O IBGE não publicou</w:t>
      </w:r>
      <w:r>
        <w:t xml:space="preserve"> </w:t>
      </w:r>
      <w:r>
        <w:t xml:space="preserve">estimativa municipal em 2023, e as estimativas de 2024 e 2025 partem do Censo 2022</w:t>
      </w:r>
      <w:r>
        <w:t xml:space="preserve"> </w:t>
      </w:r>
      <w:r>
        <w:rPr>
          <w:b/>
          <w:bCs/>
        </w:rPr>
        <w:t xml:space="preserve">ajustado</w:t>
      </w:r>
      <w:r>
        <w:t xml:space="preserve"> </w:t>
      </w:r>
      <w:r>
        <w:t xml:space="preserve">pela Pesquisa de Pós-Enumeração, com ajuste maior nos municípios grandes</w:t>
      </w:r>
      <w:r>
        <w:t xml:space="preserve"> </w:t>
      </w:r>
      <w:r>
        <w:t xml:space="preserve">(IBGE, Estimativas da População 2024, Nota metodológica n. 01, p. 6–7). Por isso a</w:t>
      </w:r>
      <w:r>
        <w:t xml:space="preserve"> </w:t>
      </w:r>
      <w:r>
        <w:t xml:space="preserve">estimativa de 2024 fica de 3,1 % (Cambuci) a 8,4 % (Rio de Janeiro) acima da contagem do</w:t>
      </w:r>
      <w:r>
        <w:t xml:space="preserve"> </w:t>
      </w:r>
      <w:r>
        <w:t xml:space="preserve">Censo, em todos os 92 municípios. Usar o Censo como denominador de 2022 infla a taxa</w:t>
      </w:r>
      <w:r>
        <w:t xml:space="preserve"> </w:t>
      </w:r>
      <w:r>
        <w:t xml:space="preserve">daquele ano na mesma proporção. Por isso o projeto usa dois denominadores, cada um com</w:t>
      </w:r>
      <w:r>
        <w:t xml:space="preserve"> </w:t>
      </w:r>
      <w:r>
        <w:t xml:space="preserve">um uso: o</w:t>
      </w:r>
      <w:r>
        <w:t xml:space="preserve"> </w:t>
      </w:r>
      <w:r>
        <w:rPr>
          <w:b/>
          <w:bCs/>
        </w:rPr>
        <w:t xml:space="preserve">mapa e o LISA de cada ano</w:t>
      </w:r>
      <w:r>
        <w:t xml:space="preserve"> </w:t>
      </w:r>
      <w:r>
        <w:t xml:space="preserve">usam a população oficial daquele ano (Censo em</w:t>
      </w:r>
      <w:r>
        <w:t xml:space="preserve"> </w:t>
      </w:r>
      <w:r>
        <w:t xml:space="preserve">2022; 2023 interpolado nas datas de referência reais, peso 0,4771; estimativas em</w:t>
      </w:r>
      <w:r>
        <w:t xml:space="preserve"> </w:t>
      </w:r>
      <w:r>
        <w:t xml:space="preserve">2024–2025); as</w:t>
      </w:r>
      <w:r>
        <w:t xml:space="preserve"> </w:t>
      </w:r>
      <w:r>
        <w:rPr>
          <w:b/>
          <w:bCs/>
        </w:rPr>
        <w:t xml:space="preserve">comparações entre anos</w:t>
      </w:r>
      <w:r>
        <w:t xml:space="preserve"> </w:t>
      </w:r>
      <w:r>
        <w:t xml:space="preserve">usam a estimativa de 2024 como denominador</w:t>
      </w:r>
      <w:r>
        <w:t xml:space="preserve"> </w:t>
      </w:r>
      <w:r>
        <w:t xml:space="preserve">único, o que remove o degrau. Cada uso traz o outro como sensibilidade. A fonte de cada ano consta de uma coluna</w:t>
      </w:r>
      <w:r>
        <w:t xml:space="preserve"> </w:t>
      </w:r>
      <w:r>
        <w:rPr>
          <w:rStyle w:val="VerbatimChar"/>
        </w:rPr>
        <w:t xml:space="preserve">fonte</w:t>
      </w:r>
      <w:r>
        <w:t xml:space="preserve"> </w:t>
      </w:r>
      <w:r>
        <w:t xml:space="preserve">da tabela de</w:t>
      </w:r>
      <w:r>
        <w:t xml:space="preserve"> </w:t>
      </w:r>
      <w:r>
        <w:t xml:space="preserve">população.</w:t>
      </w:r>
    </w:p>
    <w:p>
      <w:pPr>
        <w:pStyle w:val="BodyText"/>
      </w:pPr>
      <w:r>
        <w:rPr>
          <w:b/>
          <w:bCs/>
        </w:rPr>
        <w:t xml:space="preserve">Como a população de cada ano é obtida (CS-049, 2026-09-26).</w:t>
      </w:r>
      <w:r>
        <w:t xml:space="preserve"> </w:t>
      </w:r>
      <w:r>
        <w:t xml:space="preserve">O Censo é decenal e o estudo</w:t>
      </w:r>
      <w:r>
        <w:t xml:space="preserve"> </w:t>
      </w:r>
      <w:r>
        <w:t xml:space="preserve">precisa de um denominador por município para cada ano. Três fórmulas, com o exemplo de Niterói</w:t>
      </w:r>
      <w:r>
        <w:t xml:space="preserve"> </w:t>
      </w:r>
      <w:r>
        <w:t xml:space="preserve">(os números abaixo são os do pipeline em 26/09/2026; o relatório os recalcula a cada execução):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2022, contagem do Censo</w:t>
      </w:r>
      <w:r>
        <w:t xml:space="preserve"> </w:t>
      </w:r>
      <w:r>
        <w:t xml:space="preserve">(SIDRA 4714, 1º de agosto de 2022): 481.749 habitantes. É a</w:t>
      </w:r>
      <w:r>
        <w:t xml:space="preserve"> </w:t>
      </w:r>
      <w:r>
        <w:t xml:space="preserve">contagem publicada, sem correção da subenumeração.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2024 e 2025, estimativas do IBGE pelo método AiBi</w:t>
      </w:r>
      <w:r>
        <w:t xml:space="preserve"> </w:t>
      </w:r>
      <w:r>
        <w:t xml:space="preserve">(Madeira e Simões, 1972; IBGE, Nota</w:t>
      </w:r>
      <w:r>
        <w:t xml:space="preserve"> </w:t>
      </w:r>
      <w:r>
        <w:t xml:space="preserve">metodológica n. 01, 2024, p. 5–6). A população do estado é projetada pelo método das</w:t>
      </w:r>
      <w:r>
        <w:t xml:space="preserve"> </w:t>
      </w:r>
      <w:r>
        <w:t xml:space="preserve">componentes demográficas; a de cada município acompanha a do estado por uma reta ajustada</w:t>
      </w:r>
      <w:r>
        <w:t xml:space="preserve"> </w:t>
      </w:r>
      <w:r>
        <w:t xml:space="preserve">aos Censos de 2010 e 2022: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 com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t>P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t>P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 onde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é o município,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 estado,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e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são</w:t>
      </w:r>
      <w:r>
        <w:t xml:space="preserve"> </w:t>
      </w:r>
      <w:r>
        <w:t xml:space="preserve">1º de julho de 2010 e de 2022. Antes de ajustar a reta, o IBGE corrige as contagens dos dois</w:t>
      </w:r>
      <w:r>
        <w:t xml:space="preserve"> </w:t>
      </w:r>
      <w:r>
        <w:t xml:space="preserve">Censos pela subenumeração medida na Pesquisa de Pós-Enumeração, com ajuste maior nos</w:t>
      </w:r>
      <w:r>
        <w:t xml:space="preserve"> </w:t>
      </w:r>
      <w:r>
        <w:t xml:space="preserve">municípios grandes (p. 6–8). Por isso 2024 supera a contagem de 2022 em todo município:</w:t>
      </w:r>
      <w:r>
        <w:t xml:space="preserve"> </w:t>
      </w:r>
      <w:r>
        <w:t xml:space="preserve">Niterói, 516.720 habitantes, 7,3 % acima.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2023, interpolação linear nas datas de referência</w:t>
      </w:r>
      <w:r>
        <w:t xml:space="preserve"> </w:t>
      </w:r>
      <w:r>
        <w:t xml:space="preserve">(o IBGE não publicou estimativa</w:t>
      </w:r>
      <w:r>
        <w:t xml:space="preserve"> </w:t>
      </w:r>
      <w:r>
        <w:t xml:space="preserve">municipal):</w:t>
      </w:r>
      <w:r>
        <w:t xml:space="preserve"> </w:t>
      </w:r>
      <m:oMath>
        <m:sSub>
          <m:e>
            <m:r>
              <m:t>P</m:t>
            </m:r>
          </m:e>
          <m:sub>
            <m:r>
              <m:t>2023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2022</m:t>
            </m:r>
          </m:sub>
        </m:sSub>
        <m:r>
          <m:rPr>
            <m:sty m:val="p"/>
          </m:rPr>
          <m:t>+</m:t>
        </m:r>
        <m:r>
          <m:t>w</m:t>
        </m:r>
        <m:r>
          <m:t> 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2024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2022</m:t>
            </m:r>
          </m:sub>
        </m:sSub>
        <m:r>
          <m:rPr>
            <m:sty m:val="p"/>
          </m:rPr>
          <m:t>)</m:t>
        </m:r>
      </m:oMath>
      <w:r>
        <w:t xml:space="preserve">, com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334</m:t>
        </m:r>
        <m:r>
          <m:rPr>
            <m:sty m:val="p"/>
          </m:rPr>
          <m:t>/</m:t>
        </m:r>
        <m:r>
          <m:t>700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4771</m:t>
        </m:r>
      </m:oMath>
      <w:r>
        <w:t xml:space="preserve"> </w:t>
      </w:r>
      <w:r>
        <w:t xml:space="preserve">(dias de 1º/8/2022 a 1º/7/2023 sobre dias de 1º/8/2022 a</w:t>
      </w:r>
      <w:r>
        <w:t xml:space="preserve"> </w:t>
      </w:r>
      <w:r>
        <w:t xml:space="preserve">1º/7/2024). Niterói: 481.749 + 0,4771 × (516.720 − 481.749) = 498.435.</w:t>
      </w:r>
    </w:p>
    <w:p>
      <w:pPr>
        <w:pStyle w:val="FirstParagraph"/>
      </w:pPr>
      <w:r>
        <w:rPr>
          <w:i/>
          <w:iCs/>
        </w:rPr>
        <w:t xml:space="preserve">Faixas etárias:</w:t>
      </w:r>
      <w:r>
        <w:t xml:space="preserve"> </w:t>
      </w:r>
      <w:r>
        <w:t xml:space="preserve">só o Censo 2022 tem população municipal por idade (SIDRA 9514). Para os outros</w:t>
      </w:r>
      <w:r>
        <w:t xml:space="preserve"> </w:t>
      </w:r>
      <w:r>
        <w:t xml:space="preserve">anos,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ano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ano</m:t>
            </m:r>
          </m:sub>
        </m:sSub>
        <m:r>
          <m:rPr>
            <m:sty m:val="p"/>
          </m:rPr>
          <m:t>×</m:t>
        </m:r>
        <m:sSub>
          <m:e>
            <m:r>
              <m:t>P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2022</m:t>
            </m:r>
          </m:sub>
        </m:sSub>
        <m:r>
          <m:rPr>
            <m:sty m:val="p"/>
          </m:rPr>
          <m:t>/</m:t>
        </m:r>
        <m:sSub>
          <m:e>
            <m:r>
              <m:t>P</m:t>
            </m:r>
          </m:e>
          <m:sub>
            <m:r>
              <m:t>2022</m:t>
            </m:r>
          </m:sub>
        </m:sSub>
      </m:oMath>
      <w:r>
        <w:t xml:space="preserve">: em Niterói, 3.683 dos</w:t>
      </w:r>
      <w:r>
        <w:t xml:space="preserve"> </w:t>
      </w:r>
      <w:r>
        <w:t xml:space="preserve">481.749 habitantes de 2022 tinham menos de um ano (0,76 %), o que dá 3.811 bebês em 2023. A</w:t>
      </w:r>
      <w:r>
        <w:t xml:space="preserve"> </w:t>
      </w:r>
      <w:r>
        <w:t xml:space="preserve">soma das faixas é exatamente a população do ano.</w:t>
      </w:r>
      <w:r>
        <w:t xml:space="preserve"> </w:t>
      </w:r>
      <w:r>
        <w:rPr>
          <w:i/>
          <w:iCs/>
        </w:rPr>
        <w:t xml:space="preserve">Taxa:</w:t>
      </w:r>
      <w:r>
        <w:t xml:space="preserve"> </w:t>
      </w:r>
      <w:r>
        <w:t xml:space="preserve">casos ÷ população × 100 mil; Niterói,</w:t>
      </w:r>
      <w:r>
        <w:t xml:space="preserve"> </w:t>
      </w:r>
      <w:r>
        <w:t xml:space="preserve">VSR, 2023: 86 ÷ 498.435 × 100 mil = 17,3 por 100 mil. O relatório traz esta explicação na</w:t>
      </w:r>
      <w:r>
        <w:t xml:space="preserve"> </w:t>
      </w:r>
      <w:r>
        <w:t xml:space="preserve">seção</w:t>
      </w:r>
      <w:r>
        <w:t xml:space="preserve"> </w:t>
      </w:r>
      <w:r>
        <w:t xml:space="preserve">“Como a população de cada ano foi obtida”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Grade completa.</w:t>
      </w:r>
      <w:r>
        <w:t xml:space="preserve"> </w:t>
      </w:r>
      <w:r>
        <w:t xml:space="preserve">A tabela final tem exatamente 92 × 3 × 4 linhas; município sem caso</w:t>
      </w:r>
      <w:r>
        <w:t xml:space="preserve"> </w:t>
      </w:r>
      <w:r>
        <w:t xml:space="preserve">registrado aparece com zero, nunca desaparece (uma junção que descarta o zero</w:t>
      </w:r>
      <w:r>
        <w:t xml:space="preserve"> </w:t>
      </w:r>
      <w:r>
        <w:t xml:space="preserve">distorce o Moran).</w:t>
      </w:r>
    </w:p>
    <w:p>
      <w:pPr>
        <w:pStyle w:val="BodyText"/>
      </w:pPr>
      <w:r>
        <w:rPr>
          <w:b/>
          <w:bCs/>
        </w:rPr>
        <w:t xml:space="preserve">Suavização empírica de Bayes</w:t>
      </w:r>
      <w:r>
        <w:t xml:space="preserve"> </w:t>
      </w:r>
      <w:r>
        <w:t xml:space="preserve">(</w:t>
      </w:r>
      <w:r>
        <w:rPr>
          <w:rStyle w:val="VerbatimChar"/>
        </w:rPr>
        <w:t xml:space="preserve">spdep::EBest</w:t>
      </w:r>
      <w:r>
        <w:t xml:space="preserve">): taxa que encolhe os municípios de</w:t>
      </w:r>
      <w:r>
        <w:t xml:space="preserve"> </w:t>
      </w:r>
      <w:r>
        <w:t xml:space="preserve">população pequena em direção à média estadual, proporcionalmente à sua incerteza. O</w:t>
      </w:r>
      <w:r>
        <w:t xml:space="preserve"> </w:t>
      </w:r>
      <w:r>
        <w:t xml:space="preserve">relatório apresenta bruta e suavizada lado a lado; o LISA roda sobre a suavizada, e a</w:t>
      </w:r>
      <w:r>
        <w:t xml:space="preserve"> </w:t>
      </w:r>
      <w:r>
        <w:t xml:space="preserve">bruta entra como sensibilidade (decidido pela autora, D-09). Método, fórmula e efeito</w:t>
      </w:r>
      <w:r>
        <w:t xml:space="preserve"> </w:t>
      </w:r>
      <w:r>
        <w:t xml:space="preserve">medido em</w:t>
      </w:r>
      <w:r>
        <w:t xml:space="preserve"> </w:t>
      </w:r>
      <w:r>
        <w:rPr>
          <w:rStyle w:val="VerbatimChar"/>
        </w:rPr>
        <w:t xml:space="preserve">docs/nota-metodologica-suavizacao.md</w:t>
      </w:r>
      <w:r>
        <w:t xml:space="preserve"> </w:t>
      </w:r>
      <w:r>
        <w:t xml:space="preserve">(Marshall, 1991).</w:t>
      </w:r>
    </w:p>
    <w:p>
      <w:pPr>
        <w:pStyle w:val="BodyText"/>
      </w:pPr>
      <w:r>
        <w:rPr>
          <w:b/>
          <w:bCs/>
        </w:rPr>
        <w:t xml:space="preserve">Padronização por idade (OE9, opcional).</w:t>
      </w:r>
      <w:r>
        <w:t xml:space="preserve"> </w:t>
      </w:r>
      <w:r>
        <w:t xml:space="preserve">Método direto, faixas etárias do Censo 2022</w:t>
      </w:r>
      <w:r>
        <w:t xml:space="preserve"> </w:t>
      </w:r>
      <w:r>
        <w:t xml:space="preserve">(tabela 9514), população-padrão = RJ 2022. Justificativa: VSR e Influenza têm perfis</w:t>
      </w:r>
      <w:r>
        <w:t xml:space="preserve"> </w:t>
      </w:r>
      <w:r>
        <w:t xml:space="preserve">etários opostos e os municípios do RJ diferem muito em estrutura etária.</w:t>
      </w:r>
      <w:r>
        <w:t xml:space="preserve"> </w:t>
      </w:r>
      <w:r>
        <w:rPr>
          <w:i/>
          <w:iCs/>
        </w:rPr>
        <w:t xml:space="preserve">Entregue no CS-033 (2026-09-25):</w:t>
      </w:r>
      <w:r>
        <w:t xml:space="preserve"> </w:t>
      </w:r>
      <w:r>
        <w:t xml:space="preserve">11 faixas (&lt;1, 1-4, 5-9, 10-19, …, 70-79, 80+); a estrutura</w:t>
      </w:r>
      <w:r>
        <w:t xml:space="preserve"> </w:t>
      </w:r>
      <w:r>
        <w:t xml:space="preserve">etária de 2022 é aplicada à população de cada ano (o IBGE não tem estrutura municipal para</w:t>
      </w:r>
      <w:r>
        <w:t xml:space="preserve"> </w:t>
      </w:r>
      <w:r>
        <w:t xml:space="preserve">2023–2025); calculada para os três agentes;</w:t>
      </w:r>
      <w:r>
        <w:t xml:space="preserve"> </w:t>
      </w:r>
      <w:r>
        <w:rPr>
          <w:rStyle w:val="VerbatimChar"/>
        </w:rPr>
        <w:t xml:space="preserve">docs/nota-metodologica-padronizacao.md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Escala regional.</w:t>
      </w:r>
      <w:r>
        <w:t xml:space="preserve"> </w:t>
      </w:r>
      <w:r>
        <w:t xml:space="preserve">Os mesmos indicadores agregados por região de saúde (soma de casos</w:t>
      </w:r>
      <w:r>
        <w:t xml:space="preserve"> </w:t>
      </w:r>
      <w:r>
        <w:t xml:space="preserve">e de população das unidades), com mapa próprio. É a escala em que a SES-RJ e as</w:t>
      </w:r>
      <w:r>
        <w:t xml:space="preserve"> </w:t>
      </w:r>
      <w:r>
        <w:t xml:space="preserve">Comissões Intergestores Regionais decidem.</w:t>
      </w:r>
      <w:r>
        <w:t xml:space="preserve"> </w:t>
      </w:r>
      <w:r>
        <w:rPr>
          <w:i/>
          <w:iCs/>
        </w:rPr>
        <w:t xml:space="preserve">Entregue no CS-030 (2026-09-25):</w:t>
      </w:r>
      <w:r>
        <w:t xml:space="preserve"> </w:t>
      </w:r>
      <w:r>
        <w:t xml:space="preserve">tabela município → região do geobr 2025, conferida</w:t>
      </w:r>
      <w:r>
        <w:t xml:space="preserve"> </w:t>
      </w:r>
      <w:r>
        <w:t xml:space="preserve">contra a SES-RJ; geometria dissolvida da malha IBGE; 12 mapas regionais; Moran global</w:t>
      </w:r>
      <w:r>
        <w:t xml:space="preserve"> </w:t>
      </w:r>
      <w:r>
        <w:t xml:space="preserve">regional só descritivo (n = 9), sem LISA.</w:t>
      </w:r>
    </w:p>
    <w:bookmarkEnd w:id="21"/>
    <w:bookmarkStart w:id="22" w:name="X61a405fd6a835c257da6c7e1ef657586349e136"/>
    <w:p>
      <w:pPr>
        <w:pStyle w:val="Heading3"/>
      </w:pPr>
      <w:r>
        <w:t xml:space="preserve">3.5 Processamento cartográfico e padronização geodésica</w:t>
      </w:r>
    </w:p>
    <w:p>
      <w:pPr>
        <w:pStyle w:val="FirstParagraph"/>
      </w:pPr>
      <w:r>
        <w:t xml:space="preserve">Malha Municipal 2022 do IBGE para o RJ, em resolução completa, baixada do servidor</w:t>
      </w:r>
      <w:r>
        <w:t xml:space="preserve"> </w:t>
      </w:r>
      <w:r>
        <w:t xml:space="preserve">oficial, registrada no manifesto com hash e lida direto do arquivo compactado; já vem em</w:t>
      </w:r>
      <w:r>
        <w:t xml:space="preserve"> </w:t>
      </w:r>
      <w:r>
        <w:t xml:space="preserve">SIRGAS 2000 (EPSG:4674) e as 92 geometrias são válidas. A malha simplificada do</w:t>
      </w:r>
      <w:r>
        <w:t xml:space="preserve"> </w:t>
      </w:r>
      <w:r>
        <w:rPr>
          <w:rStyle w:val="VerbatimChar"/>
        </w:rPr>
        <w:t xml:space="preserve">geobr</w:t>
      </w:r>
      <w:r>
        <w:t xml:space="preserve">,</w:t>
      </w:r>
      <w:r>
        <w:t xml:space="preserve"> </w:t>
      </w:r>
      <w:r>
        <w:t xml:space="preserve">prevista na v1, foi descartada: comparada à oficial, ela perde 8 pares de municípios</w:t>
      </w:r>
      <w:r>
        <w:t xml:space="preserve"> </w:t>
      </w:r>
      <w:r>
        <w:t xml:space="preserve">vizinhos (440 contra 456 ligações de contiguidade), o que mudaria o Moran e o LISA sem</w:t>
      </w:r>
      <w:r>
        <w:t xml:space="preserve"> </w:t>
      </w:r>
      <w:r>
        <w:t xml:space="preserve">erro aparente (ADR-0006). A geometria das regiões de saúde sai de dissolver essa malha.</w:t>
      </w:r>
      <w:r>
        <w:t xml:space="preserve"> </w:t>
      </w:r>
      <w:r>
        <w:t xml:space="preserve">A junção atributiva com os indicadores usa a chave</w:t>
      </w:r>
      <w:r>
        <w:t xml:space="preserve"> </w:t>
      </w:r>
      <w:r>
        <w:rPr>
          <w:rStyle w:val="VerbatimChar"/>
        </w:rPr>
        <w:t xml:space="preserve">cod6 = substr(CD_MUN, 1, 6)</w:t>
      </w:r>
      <w:r>
        <w:t xml:space="preserve">, porque</w:t>
      </w:r>
      <w:r>
        <w:t xml:space="preserve"> </w:t>
      </w:r>
      <w:r>
        <w:t xml:space="preserve">o IBGE registra 7 dígitos (o último é verificador) e o SIVEP registra 6. Teste automatizado exige 92 feições após a</w:t>
      </w:r>
      <w:r>
        <w:t xml:space="preserve"> </w:t>
      </w:r>
      <w:r>
        <w:t xml:space="preserve">junção; a junção direta com 7 dígitos retornaria zero linhas sem acusar erro.</w:t>
      </w:r>
    </w:p>
    <w:bookmarkEnd w:id="22"/>
    <w:bookmarkStart w:id="23" w:name="estatística-espacial-aede-e-lisa"/>
    <w:p>
      <w:pPr>
        <w:pStyle w:val="Heading3"/>
      </w:pPr>
      <w:r>
        <w:t xml:space="preserve">3.6 Estatística espacial (AEDE e LISA)</w:t>
      </w:r>
    </w:p>
    <w:p>
      <w:pPr>
        <w:pStyle w:val="FirstParagraph"/>
      </w:pPr>
      <w:r>
        <w:rPr>
          <w:b/>
          <w:bCs/>
        </w:rPr>
        <w:t xml:space="preserve">Vizinhança.</w:t>
      </w:r>
      <w:r>
        <w:t xml:space="preserve"> </w:t>
      </w:r>
      <w:r>
        <w:t xml:space="preserve">Matriz de contiguidade Queen de 1ª ordem (</w:t>
      </w:r>
      <w:r>
        <w:rPr>
          <w:rStyle w:val="VerbatimChar"/>
        </w:rPr>
        <w:t xml:space="preserve">spdep::poly2nb</w:t>
      </w:r>
      <w:r>
        <w:t xml:space="preserve">), pesos</w:t>
      </w:r>
      <w:r>
        <w:t xml:space="preserve"> </w:t>
      </w:r>
      <w:r>
        <w:t xml:space="preserve">padronizados por linha (estilo W). Verifica-se que o grafo tem um único componente</w:t>
      </w:r>
      <w:r>
        <w:t xml:space="preserve"> </w:t>
      </w:r>
      <w:r>
        <w:t xml:space="preserve">conexo (</w:t>
      </w:r>
      <w:r>
        <w:rPr>
          <w:rStyle w:val="VerbatimChar"/>
        </w:rPr>
        <w:t xml:space="preserve">n.comp.nb</w:t>
      </w:r>
      <w:r>
        <w:t xml:space="preserve">) e que nenhum município fica sem vizinho. Análise de sensibilidade</w:t>
      </w:r>
      <w:r>
        <w:t xml:space="preserve"> </w:t>
      </w:r>
      <w:r>
        <w:t xml:space="preserve">com contiguidade Rook.</w:t>
      </w:r>
    </w:p>
    <w:p>
      <w:pPr>
        <w:pStyle w:val="BodyText"/>
      </w:pPr>
      <w:r>
        <w:rPr>
          <w:b/>
          <w:bCs/>
        </w:rPr>
        <w:t xml:space="preserve">Moran Global.</w:t>
      </w:r>
      <w:r>
        <w:t xml:space="preserve"> </w:t>
      </w:r>
      <w:r>
        <w:rPr>
          <w:rStyle w:val="VerbatimChar"/>
        </w:rPr>
        <w:t xml:space="preserve">moran.mc</w:t>
      </w:r>
      <w:r>
        <w:t xml:space="preserve"> </w:t>
      </w:r>
      <w:r>
        <w:t xml:space="preserve">com 9.999 permutações e semente fixa, por agente × ano</w:t>
      </w:r>
      <w:r>
        <w:t xml:space="preserve"> </w:t>
      </w:r>
      <w:r>
        <w:t xml:space="preserve">(12 testes), hipótese alternativa de autocorrelação positiva (H1). Reporta-se I, pseudo</w:t>
      </w:r>
      <w:r>
        <w:t xml:space="preserve"> </w:t>
      </w:r>
      <w:r>
        <w:t xml:space="preserve">p-valor e o gráfico de dispersão de Moran. Com 999 permutações o menor p possível</w:t>
      </w:r>
      <w:r>
        <w:t xml:space="preserve"> </w:t>
      </w:r>
      <w:r>
        <w:t xml:space="preserve">(0,001) ficaria acima do limiar mais exigente da correção FDR para 92 testes (0,00054),</w:t>
      </w:r>
      <w:r>
        <w:t xml:space="preserve"> </w:t>
      </w:r>
      <w:r>
        <w:t xml:space="preserve">e a correção seria decidida pela resolução da simulação (ADR-0004 §3).</w:t>
      </w:r>
    </w:p>
    <w:p>
      <w:pPr>
        <w:pStyle w:val="BodyText"/>
      </w:pPr>
      <w:r>
        <w:rPr>
          <w:b/>
          <w:bCs/>
        </w:rPr>
        <w:t xml:space="preserve">LISA.</w:t>
      </w:r>
      <w:r>
        <w:t xml:space="preserve"> </w:t>
      </w:r>
      <w:r>
        <w:rPr>
          <w:rStyle w:val="VerbatimChar"/>
        </w:rPr>
        <w:t xml:space="preserve">localmoran_perm</w:t>
      </w:r>
      <w:r>
        <w:t xml:space="preserve"> </w:t>
      </w:r>
      <w:r>
        <w:t xml:space="preserve">(9.999 permutações, p bicaudal), quadrante pelo diagrama de</w:t>
      </w:r>
      <w:r>
        <w:t xml:space="preserve"> </w:t>
      </w:r>
      <w:r>
        <w:t xml:space="preserve">Moran (Alto-Alto, Baixo-Baixo, Alto-Baixo, Baixo-Alto). Como são 92 testes simultâneos</w:t>
      </w:r>
      <w:r>
        <w:t xml:space="preserve"> </w:t>
      </w:r>
      <w:r>
        <w:t xml:space="preserve">por mapa, os p-valores são corrigidos por FDR (Benjamini-Hochberg, α = 0,05) e o</w:t>
      </w:r>
      <w:r>
        <w:t xml:space="preserve"> </w:t>
      </w:r>
      <w:r>
        <w:t xml:space="preserve">resultado sai em</w:t>
      </w:r>
      <w:r>
        <w:t xml:space="preserve"> </w:t>
      </w:r>
      <w:r>
        <w:rPr>
          <w:b/>
          <w:bCs/>
        </w:rPr>
        <w:t xml:space="preserve">dois níveis</w:t>
      </w:r>
      <w:r>
        <w:t xml:space="preserve">:</w:t>
      </w:r>
      <w:r>
        <w:t xml:space="preserve"> </w:t>
      </w:r>
      <w:r>
        <w:rPr>
          <w:i/>
          <w:iCs/>
        </w:rPr>
        <w:t xml:space="preserve">confirmado</w:t>
      </w:r>
      <w:r>
        <w:t xml:space="preserve"> </w:t>
      </w:r>
      <w:r>
        <w:t xml:space="preserve">(significativo após a correção) e</w:t>
      </w:r>
      <w:r>
        <w:t xml:space="preserve"> </w:t>
      </w:r>
      <w:r>
        <w:rPr>
          <w:i/>
          <w:iCs/>
        </w:rPr>
        <w:t xml:space="preserve">indicativo</w:t>
      </w:r>
      <w:r>
        <w:t xml:space="preserve"> </w:t>
      </w:r>
      <w:r>
        <w:t xml:space="preserve">(significativo só sem correção); o restante é não significativo. O mapa</w:t>
      </w:r>
      <w:r>
        <w:t xml:space="preserve"> </w:t>
      </w:r>
      <w:r>
        <w:t xml:space="preserve">distingue os dois níveis; a tabela conta ambos e o esperado por acaso (4,6 por mapa). Os</w:t>
      </w:r>
      <w:r>
        <w:t xml:space="preserve"> </w:t>
      </w:r>
      <w:r>
        <w:t xml:space="preserve">três municípios com um único vizinho (Paraty, Itatiaia, Armação dos Búzios) mantêm a</w:t>
      </w:r>
      <w:r>
        <w:t xml:space="preserve"> </w:t>
      </w:r>
      <w:r>
        <w:t xml:space="preserve">classe, marcada como instável (ADR-0004). A variável de entrada é a taxa suavizada; a</w:t>
      </w:r>
      <w:r>
        <w:t xml:space="preserve"> </w:t>
      </w:r>
      <w:r>
        <w:t xml:space="preserve">taxa bruta e a vizinhança Rook entram como sensibilidade.</w:t>
      </w:r>
    </w:p>
    <w:p>
      <w:pPr>
        <w:pStyle w:val="BlockText"/>
      </w:pPr>
      <w:r>
        <w:t xml:space="preserve">FDR (taxa de falsas descobertas): correção que limita a proporção esperada de falsos</w:t>
      </w:r>
      <w:r>
        <w:t xml:space="preserve"> </w:t>
      </w:r>
      <w:r>
        <w:t xml:space="preserve">positivos entre os municípios declarados significativos. Sem ela, 92 testes a 5 %</w:t>
      </w:r>
      <w:r>
        <w:t xml:space="preserve"> </w:t>
      </w:r>
      <w:r>
        <w:t xml:space="preserve">produzem ~4,6</w:t>
      </w:r>
      <w:r>
        <w:t xml:space="preserve"> </w:t>
      </w:r>
      <w:r>
        <w:t xml:space="preserve">“hotspots”</w:t>
      </w:r>
      <w:r>
        <w:t xml:space="preserve"> </w:t>
      </w:r>
      <w:r>
        <w:t xml:space="preserve">por acaso.</w:t>
      </w:r>
    </w:p>
    <w:bookmarkEnd w:id="23"/>
    <w:bookmarkStart w:id="24" w:name="Xeeaf89d3a94dc027702413d8239aeac93e7031c"/>
    <w:p>
      <w:pPr>
        <w:pStyle w:val="Heading3"/>
      </w:pPr>
      <w:r>
        <w:t xml:space="preserve">3.7 Interface interativa e reprodutibilidade computacional</w:t>
      </w:r>
    </w:p>
    <w:p>
      <w:pPr>
        <w:pStyle w:val="FirstParagraph"/>
      </w:pPr>
      <w:r>
        <w:t xml:space="preserve">O pipeline segue a organização de scripts numerados da v1 (</w:t>
      </w:r>
      <w:r>
        <w:rPr>
          <w:rStyle w:val="VerbatimChar"/>
        </w:rPr>
        <w:t xml:space="preserve">00_setup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07_exportacao</w:t>
      </w:r>
      <w:r>
        <w:t xml:space="preserve">,</w:t>
      </w:r>
      <w:r>
        <w:t xml:space="preserve"> </w:t>
      </w:r>
      <w:r>
        <w:rPr>
          <w:rStyle w:val="VerbatimChar"/>
        </w:rPr>
        <w:t xml:space="preserve">run.R</w:t>
      </w:r>
      <w:r>
        <w:t xml:space="preserve">, funções em</w:t>
      </w:r>
      <w:r>
        <w:t xml:space="preserve"> </w:t>
      </w:r>
      <w:r>
        <w:rPr>
          <w:rStyle w:val="VerbatimChar"/>
        </w:rPr>
        <w:t xml:space="preserve">R/funcoes_*.R</w:t>
      </w:r>
      <w:r>
        <w:t xml:space="preserve">), executados em ordem por um único</w:t>
      </w:r>
      <w:r>
        <w:t xml:space="preserve"> </w:t>
      </w:r>
      <w:r>
        <w:t xml:space="preserve">comando, e não um gerenciador de dependências como o pacote</w:t>
      </w:r>
      <w:r>
        <w:t xml:space="preserve"> </w:t>
      </w:r>
      <w:r>
        <w:rPr>
          <w:rStyle w:val="VerbatimChar"/>
        </w:rPr>
        <w:t xml:space="preserve">targets</w:t>
      </w:r>
      <w:r>
        <w:t xml:space="preserve"> </w:t>
      </w:r>
      <w:r>
        <w:t xml:space="preserve">(ADR-0005): com 92</w:t>
      </w:r>
      <w:r>
        <w:t xml:space="preserve"> </w:t>
      </w:r>
      <w:r>
        <w:t xml:space="preserve">polígonos e quatro anos, reexecutar tudo custa minutos, e a banca precisa ler o fluxo em ordem</w:t>
      </w:r>
      <w:r>
        <w:t xml:space="preserve"> </w:t>
      </w:r>
      <w:r>
        <w:t xml:space="preserve">sem aprender uma ferramenta de orquestração. O escopo é municipal, não por bairro, e o</w:t>
      </w:r>
      <w:r>
        <w:t xml:space="preserve"> </w:t>
      </w:r>
      <w:r>
        <w:t xml:space="preserve">quadrimestre é só descritivo (ADR-0005, D-06, D-08). O pipeline vem com ambiente congelado por</w:t>
      </w:r>
      <w:r>
        <w:t xml:space="preserve"> </w:t>
      </w:r>
      <w:r>
        <w:rPr>
          <w:rStyle w:val="VerbatimChar"/>
        </w:rPr>
        <w:t xml:space="preserve">renv</w:t>
      </w:r>
      <w:r>
        <w:t xml:space="preserve">, testes com</w:t>
      </w:r>
      <w:r>
        <w:t xml:space="preserve"> </w:t>
      </w:r>
      <w:r>
        <w:rPr>
          <w:rStyle w:val="VerbatimChar"/>
        </w:rPr>
        <w:t xml:space="preserve">testthat</w:t>
      </w:r>
      <w:r>
        <w:t xml:space="preserve"> </w:t>
      </w:r>
      <w:r>
        <w:t xml:space="preserve">executados em integração contínua (GitHub Actions) sobre a</w:t>
      </w:r>
      <w:r>
        <w:t xml:space="preserve"> </w:t>
      </w:r>
      <w:r>
        <w:t xml:space="preserve">base sintética, relatório e apresentação em Quarto (</w:t>
      </w:r>
      <w:r>
        <w:rPr>
          <w:rStyle w:val="VerbatimChar"/>
        </w:rPr>
        <w:t xml:space="preserve">08_relatorio.qmd</w:t>
      </w:r>
      <w:r>
        <w:t xml:space="preserve">) e painel Shiny +</w:t>
      </w:r>
      <w:r>
        <w:t xml:space="preserve"> </w:t>
      </w:r>
      <w:r>
        <w:t xml:space="preserve">leaflet (</w:t>
      </w:r>
      <w:r>
        <w:rPr>
          <w:rStyle w:val="VerbatimChar"/>
        </w:rPr>
        <w:t xml:space="preserve">app.R</w:t>
      </w:r>
      <w:r>
        <w:t xml:space="preserve">) com filtros por agente e ano, mapa coroplético, camada LISA e popup</w:t>
      </w:r>
      <w:r>
        <w:t xml:space="preserve"> </w:t>
      </w:r>
      <w:r>
        <w:t xml:space="preserve">com casos, população, taxa bruta, taxa suavizada e classe. Todo número do relatório é</w:t>
      </w:r>
      <w:r>
        <w:t xml:space="preserve"> </w:t>
      </w:r>
      <w:r>
        <w:t xml:space="preserve">lido dos objetos de</w:t>
      </w:r>
      <w:r>
        <w:t xml:space="preserve"> </w:t>
      </w:r>
      <w:r>
        <w:rPr>
          <w:rStyle w:val="VerbatimChar"/>
        </w:rPr>
        <w:t xml:space="preserve">resultados/</w:t>
      </w:r>
      <w:r>
        <w:t xml:space="preserve">; nenhum é digitado. O repositório público inclui</w:t>
      </w:r>
      <w:r>
        <w:t xml:space="preserve"> </w:t>
      </w:r>
      <w:r>
        <w:t xml:space="preserve">licença, arquivo de citação e o manifesto de proveniência.</w:t>
      </w:r>
    </w:p>
    <w:bookmarkEnd w:id="24"/>
    <w:bookmarkStart w:id="25" w:name="X27d74edf83e0039d2245c4629c49856ff9031a1"/>
    <w:p>
      <w:pPr>
        <w:pStyle w:val="Heading3"/>
      </w:pPr>
      <w:r>
        <w:t xml:space="preserve">3.8 Aspectos éticos</w:t>
      </w:r>
      <w:r>
        <w:t xml:space="preserve"> </w:t>
      </w:r>
      <w:r>
        <w:rPr>
          <w:b/>
          <w:bCs/>
        </w:rPr>
        <w:t xml:space="preserve">[REVISAR: confirmar com o orientador e a secretaria do PPG]</w:t>
      </w:r>
    </w:p>
    <w:p>
      <w:pPr>
        <w:pStyle w:val="FirstParagraph"/>
      </w:pPr>
      <w:r>
        <w:t xml:space="preserve">O projeto usa exclusivamente bases secundárias públicas, anonimizadas pelo Ministério da</w:t>
      </w:r>
      <w:r>
        <w:t xml:space="preserve"> </w:t>
      </w:r>
      <w:r>
        <w:t xml:space="preserve">Saúde antes da publicação, e divulga apenas agregados por município e região. Enquadra-se</w:t>
      </w:r>
      <w:r>
        <w:t xml:space="preserve"> </w:t>
      </w:r>
      <w:r>
        <w:t xml:space="preserve">no art. 1º da Resolução CNS nº 510/2016, que dispensa de registro no sistema CEP/CONEP a</w:t>
      </w:r>
      <w:r>
        <w:t xml:space="preserve"> </w:t>
      </w:r>
      <w:r>
        <w:t xml:space="preserve">pesquisa com informações de acesso público (Lei nº 12.527/2011) e com bancos de dados</w:t>
      </w:r>
      <w:r>
        <w:t xml:space="preserve"> </w:t>
      </w:r>
      <w:r>
        <w:t xml:space="preserve">sem possibilidade de identificação individual. Nenhum microdado é redistribuído pelo</w:t>
      </w:r>
      <w:r>
        <w:t xml:space="preserve"> </w:t>
      </w:r>
      <w:r>
        <w:t xml:space="preserve">repositório; o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exclui</w:t>
      </w:r>
      <w:r>
        <w:t xml:space="preserve"> </w:t>
      </w:r>
      <w:r>
        <w:rPr>
          <w:rStyle w:val="VerbatimChar"/>
        </w:rPr>
        <w:t xml:space="preserve">dados/brutos/</w:t>
      </w:r>
      <w:r>
        <w:t xml:space="preserve">.</w:t>
      </w:r>
    </w:p>
    <w:bookmarkEnd w:id="25"/>
    <w:bookmarkStart w:id="26" w:name="X48216efd866d8e948e18766b4d9210f862a289d"/>
    <w:p>
      <w:pPr>
        <w:pStyle w:val="Heading3"/>
      </w:pPr>
      <w:r>
        <w:t xml:space="preserve">3.9 Articulação com a disciplina e justificativa das exclusões</w:t>
      </w:r>
    </w:p>
    <w:p>
      <w:pPr>
        <w:pStyle w:val="FirstParagraph"/>
      </w:pPr>
      <w:r>
        <w:t xml:space="preserve">Mantida da v1: o projeto integra geoprocessamento (malhas, SIRGAS 2000, junção</w:t>
      </w:r>
      <w:r>
        <w:t xml:space="preserve"> </w:t>
      </w:r>
      <w:r>
        <w:t xml:space="preserve">espacial), mineração de dados abertos em saúde e estatística espacial frequentista. Não</w:t>
      </w:r>
      <w:r>
        <w:t xml:space="preserve"> </w:t>
      </w:r>
      <w:r>
        <w:t xml:space="preserve">incorpora sensoriamento remoto e Google Earth Engine (o objeto é a notificação clínica,</w:t>
      </w:r>
      <w:r>
        <w:t xml:space="preserve"> </w:t>
      </w:r>
      <w:r>
        <w:t xml:space="preserve">sem superfícies ambientais nesta fase), levantamento por GPS (dado secundário agregado</w:t>
      </w:r>
      <w:r>
        <w:t xml:space="preserve"> </w:t>
      </w:r>
      <w:r>
        <w:t xml:space="preserve">por polígono) nem Random Forest, métricas de paisagem, lógica fuzzy e redes neurais</w:t>
      </w:r>
      <w:r>
        <w:t xml:space="preserve"> </w:t>
      </w:r>
      <w:r>
        <w:t xml:space="preserve">(prioridade à robustez da estatística espacial e à entrega da interface). A v2</w:t>
      </w:r>
      <w:r>
        <w:t xml:space="preserve"> </w:t>
      </w:r>
      <w:r>
        <w:t xml:space="preserve">acrescenta um argumento: as exclusões deixam explícito o que uma segunda fase poderia</w:t>
      </w:r>
      <w:r>
        <w:t xml:space="preserve"> </w:t>
      </w:r>
      <w:r>
        <w:t xml:space="preserve">incluir, em especial covariáveis ambientais (temperatura, umidade) para o VSR.</w:t>
      </w:r>
    </w:p>
    <w:bookmarkEnd w:id="26"/>
    <w:bookmarkStart w:id="27" w:name="limitações-antecipadas-no-desenho"/>
    <w:p>
      <w:pPr>
        <w:pStyle w:val="Heading3"/>
      </w:pPr>
      <w:r>
        <w:t xml:space="preserve">3.10 Limitações antecipadas no desenho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 SIVEP mede doença grave, não infecção.</w:t>
      </w:r>
      <w:r>
        <w:t xml:space="preserve"> </w:t>
      </w:r>
      <w:r>
        <w:t xml:space="preserve">Taxas de SRAG notificada dependem de</w:t>
      </w:r>
      <w:r>
        <w:t xml:space="preserve"> </w:t>
      </w:r>
      <w:r>
        <w:t xml:space="preserve">acesso a leito e de testagem; um município com hospital de referência pode aparecer</w:t>
      </w:r>
      <w:r>
        <w:t xml:space="preserve"> </w:t>
      </w:r>
      <w:r>
        <w:t xml:space="preserve">“quente”</w:t>
      </w:r>
      <w:r>
        <w:t xml:space="preserve"> </w:t>
      </w:r>
      <w:r>
        <w:t xml:space="preserve">por captar casos graves da vizinhança (mitigado ao usar residência) ou por</w:t>
      </w:r>
      <w:r>
        <w:t xml:space="preserve"> </w:t>
      </w:r>
      <w:r>
        <w:t xml:space="preserve">testar mais (não mitigável; discutido com CNES, OE10).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Maturação do banco e testagem.</w:t>
      </w:r>
      <w:r>
        <w:t xml:space="preserve"> </w:t>
      </w:r>
      <w:r>
        <w:t xml:space="preserve">O relatório declara a data de corte do banco de</w:t>
      </w:r>
      <w:r>
        <w:t xml:space="preserve"> </w:t>
      </w:r>
      <w:r>
        <w:t xml:space="preserve">2025 (14/09/2026). Neste snapshot, 2025 tem a menor proporção de fichas não encerradas</w:t>
      </w:r>
      <w:r>
        <w:t xml:space="preserve"> </w:t>
      </w:r>
      <w:r>
        <w:t xml:space="preserve">(0,6 %), então a maturação não é a limitação principal; a cobertura de testagem com</w:t>
      </w:r>
      <w:r>
        <w:t xml:space="preserve"> </w:t>
      </w:r>
      <w:r>
        <w:t xml:space="preserve">resultado sobe de 87,5 % (2022) para 91,7 % (2025) e pode, sozinha, produzir aumento</w:t>
      </w:r>
      <w:r>
        <w:t xml:space="preserve"> </w:t>
      </w:r>
      <w:r>
        <w:t xml:space="preserve">de casos confirmados.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Degrau do denominador.</w:t>
      </w:r>
      <w:r>
        <w:t xml:space="preserve"> </w:t>
      </w:r>
      <w:r>
        <w:t xml:space="preserve">O Censo 2022 é uma contagem sem ajuste de cobertura; as</w:t>
      </w:r>
      <w:r>
        <w:t xml:space="preserve"> </w:t>
      </w:r>
      <w:r>
        <w:t xml:space="preserve">estimativas de 2024–2025 são ajustadas (3,1–8,4 % acima, por município). Sem tratamento,</w:t>
      </w:r>
      <w:r>
        <w:t xml:space="preserve"> </w:t>
      </w:r>
      <w:r>
        <w:t xml:space="preserve">a taxa de 2022 fica inflada em relação aos anos seguintes (ADR-0003).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Efeito de borda.</w:t>
      </w:r>
      <w:r>
        <w:t xml:space="preserve"> </w:t>
      </w:r>
      <w:r>
        <w:t xml:space="preserve">Municípios de divisa não têm os vizinhos de SP, MG e ES na</w:t>
      </w:r>
      <w:r>
        <w:t xml:space="preserve"> </w:t>
      </w:r>
      <w:r>
        <w:t xml:space="preserve">matriz; Paraty, Itatiaia e Armação dos Búzios têm um único vizinho, e a classe LISA</w:t>
      </w:r>
      <w:r>
        <w:t xml:space="preserve"> </w:t>
      </w:r>
      <w:r>
        <w:t xml:space="preserve">deles aparece no mapa marcada como</w:t>
      </w:r>
      <w:r>
        <w:t xml:space="preserve"> </w:t>
      </w:r>
      <w:r>
        <w:t xml:space="preserve">“instável”</w:t>
      </w:r>
      <w:r>
        <w:t xml:space="preserve"> </w:t>
      </w:r>
      <w:r>
        <w:t xml:space="preserve">(decidido pela autora, CS-039).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Residência × notificação.</w:t>
      </w:r>
      <w:r>
        <w:t xml:space="preserve"> </w:t>
      </w:r>
      <w:r>
        <w:t xml:space="preserve">8.040 (2022), 4.190, 4.117 e 5.451 (2025) fichas foram</w:t>
      </w:r>
      <w:r>
        <w:t xml:space="preserve"> </w:t>
      </w:r>
      <w:r>
        <w:t xml:space="preserve">notificadas fora do município de residência. O CS-031 mede o fluxo em casos (7.286</w:t>
      </w:r>
      <w:r>
        <w:t xml:space="preserve"> </w:t>
      </w:r>
      <w:r>
        <w:t xml:space="preserve">notificados em outro município do RJ; 13 municípios</w:t>
      </w:r>
      <w:r>
        <w:t xml:space="preserve"> </w:t>
      </w:r>
      <w:r>
        <w:t xml:space="preserve">“importadores”</w:t>
      </w:r>
      <w:r>
        <w:t xml:space="preserve">), não por hospital</w:t>
      </w:r>
      <w:r>
        <w:t xml:space="preserve"> </w:t>
      </w:r>
      <w:r>
        <w:t xml:space="preserve">nem por distância.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Confirmação declarada.</w:t>
      </w:r>
      <w:r>
        <w:t xml:space="preserve"> </w:t>
      </w:r>
      <w:r>
        <w:t xml:space="preserve">941 casos de COVID de 2022 entram só pela confirmação</w:t>
      </w:r>
      <w:r>
        <w:t xml:space="preserve"> </w:t>
      </w:r>
      <w:r>
        <w:t xml:space="preserve">laboratorial declarada pela vigilância, sem resultado nos campos exportados (ADR-0002).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Agrupamentos de zeros.</w:t>
      </w:r>
      <w:r>
        <w:t xml:space="preserve"> </w:t>
      </w:r>
      <w:r>
        <w:t xml:space="preserve">Zero caso em município pequeno pode ser ausência de</w:t>
      </w:r>
      <w:r>
        <w:t xml:space="preserve"> </w:t>
      </w:r>
      <w:r>
        <w:t xml:space="preserve">notificação; por isso a taxa bruta é só sensibilidade (ADR-0004).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Banco vivo, dicionário antigo e semana do Ministério.</w:t>
      </w:r>
      <w:r>
        <w:t xml:space="preserve"> </w:t>
      </w:r>
      <w:r>
        <w:t xml:space="preserve">A versão do banco de 2025 é</w:t>
      </w:r>
      <w:r>
        <w:t xml:space="preserve"> </w:t>
      </w:r>
      <w:r>
        <w:t xml:space="preserve">citada no relatório; o dicionário oficial é de maio de 2023; 226 fichas da última</w:t>
      </w:r>
      <w:r>
        <w:t xml:space="preserve"> </w:t>
      </w:r>
      <w:r>
        <w:t xml:space="preserve">semana de 2025 vêm com a semana rotulada errada, e o projeto a recalcula (ADR-0001).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Suavização global e malha do painel.</w:t>
      </w:r>
      <w:r>
        <w:t xml:space="preserve"> </w:t>
      </w:r>
      <w:r>
        <w:t xml:space="preserve">O Bayes empírico puxa para a média do estado,</w:t>
      </w:r>
      <w:r>
        <w:t xml:space="preserve"> </w:t>
      </w:r>
      <w:r>
        <w:t xml:space="preserve">não dos vizinhos; o painel desenha uma malha simplificada, a análise usa a completa.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Contagens pequenas.</w:t>
      </w:r>
      <w:r>
        <w:t xml:space="preserve"> </w:t>
      </w:r>
      <w:r>
        <w:t xml:space="preserve">349 combinações município × agente × ano têm de 1 a 4 casos e</w:t>
      </w:r>
      <w:r>
        <w:t xml:space="preserve"> </w:t>
      </w:r>
      <w:r>
        <w:t xml:space="preserve">são publicadas sem supressão, porque o microdado de origem já é público (CS-043).</w:t>
      </w:r>
    </w:p>
    <w:p>
      <w:pPr>
        <w:pStyle w:val="FirstParagraph"/>
      </w:pPr>
      <w:r>
        <w:rPr>
          <w:i/>
          <w:iCs/>
        </w:rPr>
        <w:t xml:space="preserve">Itens 8 a 13 acrescentados em 2026-09-25 a partir da auditoria final (CS-027, CS-044); os</w:t>
      </w:r>
      <w:r>
        <w:rPr>
          <w:i/>
          <w:iCs/>
        </w:rPr>
        <w:t xml:space="preserve"> </w:t>
      </w:r>
      <w:r>
        <w:rPr>
          <w:i/>
          <w:iCs/>
        </w:rPr>
        <w:t xml:space="preserve">números são os do relatório, que os calcula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resultados/</w:t>
      </w:r>
      <w:r>
        <w:rPr>
          <w:i/>
          <w:iCs/>
        </w:rPr>
        <w:t xml:space="preserve">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Pequenos números e MAUP.</w:t>
      </w:r>
      <w:r>
        <w:t xml:space="preserve"> </w:t>
      </w:r>
      <w:r>
        <w:t xml:space="preserve">Tratados com suavização; o problema da unidade de área</w:t>
      </w:r>
      <w:r>
        <w:t xml:space="preserve"> </w:t>
      </w:r>
      <w:r>
        <w:t xml:space="preserve">modificável (o resultado depende do recorte) é inerente ao desenho e declarado.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Ecológico.</w:t>
      </w:r>
      <w:r>
        <w:t xml:space="preserve"> </w:t>
      </w:r>
      <w:r>
        <w:t xml:space="preserve">Nenhuma inferência individual.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Sem ajuste de covariáveis.</w:t>
      </w:r>
      <w:r>
        <w:t xml:space="preserve"> </w:t>
      </w:r>
      <w:r>
        <w:t xml:space="preserve">O LISA é descritivo; associação com renda, idade ou</w:t>
      </w:r>
      <w:r>
        <w:t xml:space="preserve"> </w:t>
      </w:r>
      <w:r>
        <w:t xml:space="preserve">leitos é exploratória (Spearman), não causal.</w:t>
      </w:r>
    </w:p>
    <w:p>
      <w:r>
        <w:pict>
          <v:rect style="width:0;height:1.5pt" o:hralign="center" o:hrstd="t" o:hr="t"/>
        </w:pict>
      </w:r>
    </w:p>
    <w:bookmarkEnd w:id="27"/>
    <w:bookmarkStart w:id="28" w:name="X4712195bb3e9bd69efc4b4fe1828033b3b7216f"/>
    <w:p>
      <w:pPr>
        <w:pStyle w:val="Heading3"/>
      </w:pPr>
      <w:r>
        <w:t xml:space="preserve">3.11 Decisões de método registradas (rastreio ADR → texto)</w:t>
      </w:r>
    </w:p>
    <w:p>
      <w:pPr>
        <w:pStyle w:val="FirstParagraph"/>
      </w:pPr>
      <w:r>
        <w:t xml:space="preserve">Cada decisão de método tomada durante a implementação está registrada em</w:t>
      </w:r>
      <w:r>
        <w:t xml:space="preserve"> </w:t>
      </w:r>
      <w:r>
        <w:rPr>
          <w:rStyle w:val="VerbatimChar"/>
        </w:rPr>
        <w:t xml:space="preserve">docs/decisoes/</w:t>
      </w:r>
      <w:r>
        <w:t xml:space="preserve"> </w:t>
      </w:r>
      <w:r>
        <w:t xml:space="preserve">(ADR,</w:t>
      </w:r>
      <w:r>
        <w:t xml:space="preserve"> </w:t>
      </w:r>
      <w:r>
        <w:rPr>
          <w:i/>
          <w:iCs/>
        </w:rPr>
        <w:t xml:space="preserve">architecture decision record</w:t>
      </w:r>
      <w:r>
        <w:t xml:space="preserve">: contexto, decisão, alternativas descartadas,</w:t>
      </w:r>
      <w:r>
        <w:t xml:space="preserve"> </w:t>
      </w:r>
      <w:r>
        <w:t xml:space="preserve">consequências) e integrada ao texto acima e ao relatório, que tem uma seção</w:t>
      </w:r>
      <w:r>
        <w:t xml:space="preserve"> </w:t>
      </w:r>
      <w:r>
        <w:t xml:space="preserve">“Decisões de</w:t>
      </w:r>
      <w:r>
        <w:t xml:space="preserve"> </w:t>
      </w:r>
      <w:r>
        <w:t xml:space="preserve">método”</w:t>
      </w:r>
      <w:r>
        <w:t xml:space="preserve"> </w:t>
      </w:r>
      <w:r>
        <w:t xml:space="preserve">com todas elas em linguagem de artigo (CS-052).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ADR</w:t>
            </w:r>
          </w:p>
        </w:tc>
        <w:tc>
          <w:tcPr/>
          <w:p>
            <w:pPr>
              <w:pStyle w:val="Compact"/>
            </w:pPr>
            <w:r>
              <w:t xml:space="preserve">Decisão</w:t>
            </w:r>
          </w:p>
        </w:tc>
        <w:tc>
          <w:tcPr/>
          <w:p>
            <w:pPr>
              <w:pStyle w:val="Compact"/>
            </w:pPr>
            <w:r>
              <w:t xml:space="preserve">Onde está no texto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ADR-0001</w:t>
            </w:r>
          </w:p>
        </w:tc>
        <w:tc>
          <w:tcPr/>
          <w:p>
            <w:pPr>
              <w:pStyle w:val="Compact"/>
            </w:pPr>
            <w:r>
              <w:t xml:space="preserve">Download direto do portal, PARQUET, versão do banco fixada e citada</w:t>
            </w:r>
          </w:p>
        </w:tc>
        <w:tc>
          <w:tcPr/>
          <w:p>
            <w:pPr>
              <w:pStyle w:val="Compact"/>
            </w:pPr>
            <w:r>
              <w:t xml:space="preserve">§3.1, §3.3 (Extração), §3.10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ADR-0002</w:t>
            </w:r>
          </w:p>
        </w:tc>
        <w:tc>
          <w:tcPr/>
          <w:p>
            <w:pPr>
              <w:pStyle w:val="Compact"/>
            </w:pPr>
            <w:r>
              <w:t xml:space="preserve">Critério de caso R2</w:t>
            </w:r>
            <w:r>
              <w:t xml:space="preserve"> </w:t>
            </w:r>
            <w:r>
              <w:t xml:space="preserve">“vigilância”</w:t>
            </w:r>
            <w:r>
              <w:t xml:space="preserve">; atribuição única; toda ficha conta</w:t>
            </w:r>
          </w:p>
        </w:tc>
        <w:tc>
          <w:tcPr/>
          <w:p>
            <w:pPr>
              <w:pStyle w:val="Compact"/>
            </w:pPr>
            <w:r>
              <w:t xml:space="preserve">§3.3 (Critério de caso), §3.10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ADR-0003</w:t>
            </w:r>
          </w:p>
        </w:tc>
        <w:tc>
          <w:tcPr/>
          <w:p>
            <w:pPr>
              <w:pStyle w:val="Compact"/>
            </w:pPr>
            <w:r>
              <w:t xml:space="preserve">Dois denominadores: população do ano no mapa, estimativa 2024 entre anos; 2023 interpolado</w:t>
            </w:r>
          </w:p>
        </w:tc>
        <w:tc>
          <w:tcPr/>
          <w:p>
            <w:pPr>
              <w:pStyle w:val="Compact"/>
            </w:pPr>
            <w:r>
              <w:t xml:space="preserve">§3.2, §3.4, §3.10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ADR-0004</w:t>
            </w:r>
          </w:p>
        </w:tc>
        <w:tc>
          <w:tcPr/>
          <w:p>
            <w:pPr>
              <w:pStyle w:val="Compact"/>
            </w:pPr>
            <w:r>
              <w:t xml:space="preserve">Taxa suavizada como variável; Queen; 9.999 permutações; FDR em dois níveis; instáveis marcados</w:t>
            </w:r>
          </w:p>
        </w:tc>
        <w:tc>
          <w:tcPr/>
          <w:p>
            <w:pPr>
              <w:pStyle w:val="Compact"/>
            </w:pPr>
            <w:r>
              <w:t xml:space="preserve">§3.6, §3.10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ADR-0005</w:t>
            </w:r>
          </w:p>
        </w:tc>
        <w:tc>
          <w:tcPr/>
          <w:p>
            <w:pPr>
              <w:pStyle w:val="Compact"/>
            </w:pPr>
            <w:r>
              <w:t xml:space="preserve">Scripts numerados, não</w:t>
            </w:r>
            <w:r>
              <w:t xml:space="preserve"> </w:t>
            </w:r>
            <w:r>
              <w:rPr>
                <w:rStyle w:val="VerbatimChar"/>
              </w:rPr>
              <w:t xml:space="preserve">targets</w:t>
            </w:r>
            <w:r>
              <w:t xml:space="preserve">; escala municipal; quadrimestre descritivo</w:t>
            </w:r>
          </w:p>
        </w:tc>
        <w:tc>
          <w:tcPr/>
          <w:p>
            <w:pPr>
              <w:pStyle w:val="Compact"/>
            </w:pPr>
            <w:r>
              <w:t xml:space="preserve">§3.7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ADR-0006</w:t>
            </w:r>
          </w:p>
        </w:tc>
        <w:tc>
          <w:tcPr/>
          <w:p>
            <w:pPr>
              <w:pStyle w:val="Compact"/>
            </w:pPr>
            <w:r>
              <w:t xml:space="preserve">Malha oficial do IBGE em resolução completa, não a simplificada do geobr</w:t>
            </w:r>
          </w:p>
        </w:tc>
        <w:tc>
          <w:tcPr/>
          <w:p>
            <w:pPr>
              <w:pStyle w:val="Compact"/>
            </w:pPr>
            <w:r>
              <w:t xml:space="preserve">§3.2, §3.5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ADR-0007</w:t>
            </w:r>
          </w:p>
        </w:tc>
        <w:tc>
          <w:tcPr/>
          <w:p>
            <w:pPr>
              <w:pStyle w:val="Compact"/>
            </w:pPr>
            <w:r>
              <w:t xml:space="preserve">Nomes reais dos campos; chave de junção de seis dígitos como texto</w:t>
            </w:r>
          </w:p>
        </w:tc>
        <w:tc>
          <w:tcPr/>
          <w:p>
            <w:pPr>
              <w:pStyle w:val="Compact"/>
            </w:pPr>
            <w:r>
              <w:t xml:space="preserve">§3.3 (Campos e chave)</w:t>
            </w:r>
          </w:p>
        </w:tc>
      </w:tr>
    </w:tbl>
    <w:bookmarkEnd w:id="28"/>
    <w:bookmarkEnd w:id="29"/>
    <w:bookmarkStart w:id="30" w:name="Xf74c8b06a9edecc9d5da109621f7c66460e1929"/>
    <w:p>
      <w:pPr>
        <w:pStyle w:val="Heading2"/>
      </w:pPr>
      <w:r>
        <w:t xml:space="preserve">4 Resultados (a serem produzidos pelo pipeline)</w:t>
      </w:r>
    </w:p>
    <w:p>
      <w:pPr>
        <w:pStyle w:val="FirstParagraph"/>
      </w:pPr>
      <w:r>
        <w:t xml:space="preserve">Cada subseção da v1 passa a ter conteúdo definido e o artefato de onde vem.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Seção</w:t>
            </w:r>
          </w:p>
        </w:tc>
        <w:tc>
          <w:tcPr/>
          <w:p>
            <w:pPr>
              <w:pStyle w:val="Compact"/>
            </w:pPr>
            <w:r>
              <w:t xml:space="preserve">Conteúdo previsto</w:t>
            </w:r>
          </w:p>
        </w:tc>
        <w:tc>
          <w:tcPr/>
          <w:p>
            <w:pPr>
              <w:pStyle w:val="Compact"/>
            </w:pPr>
            <w:r>
              <w:t xml:space="preserve">Origem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 Arquitetura do pipeline</w:t>
            </w:r>
          </w:p>
        </w:tc>
        <w:tc>
          <w:tcPr/>
          <w:p>
            <w:pPr>
              <w:pStyle w:val="Compact"/>
            </w:pPr>
            <w:r>
              <w:t xml:space="preserve">Diagrama do fluxo, tempo de execução por etapa, número de testes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resultados/execucao.log</w:t>
            </w:r>
            <w:r>
              <w:t xml:space="preserve">, 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4.2 Distribuição espacial e taxas por</w:t>
            </w:r>
            <w:r>
              <w:t xml:space="preserve"> </w:t>
            </w:r>
            <w:r>
              <w:rPr>
                <w:b/>
                <w:bCs/>
              </w:rPr>
              <w:t xml:space="preserve">município</w:t>
            </w:r>
            <w:r>
              <w:t xml:space="preserve"> </w:t>
            </w:r>
            <w:r>
              <w:t xml:space="preserve">e região de saúde</w:t>
            </w:r>
          </w:p>
        </w:tc>
        <w:tc>
          <w:tcPr/>
          <w:p>
            <w:pPr>
              <w:pStyle w:val="Compact"/>
            </w:pPr>
            <w:r>
              <w:t xml:space="preserve">Tabela descritiva (n, mediana, IQR das taxas por agente × ano); 12 mapas coropléticos municipais; 12 regionais; série por semana epidemiológica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indicadores_municipais.parquet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resultados/mapas/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4.3 Agrupamentos espaciais (LISA)</w:t>
            </w:r>
          </w:p>
        </w:tc>
        <w:tc>
          <w:tcPr/>
          <w:p>
            <w:pPr>
              <w:pStyle w:val="Compact"/>
            </w:pPr>
            <w:r>
              <w:t xml:space="preserve">Tabela de Moran I × p por agente × ano; 12 mapas LISA; lista dos municípios Alto-Alto por agente, com persistência ao longo dos anos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moran_lisa.rds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4.4 Protótipo de painel</w:t>
            </w:r>
          </w:p>
        </w:tc>
        <w:tc>
          <w:tcPr/>
          <w:p>
            <w:pPr>
              <w:pStyle w:val="Compact"/>
            </w:pPr>
            <w:r>
              <w:t xml:space="preserve">Capturas de tela; descrição das interações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4.5 Código e dados</w:t>
            </w:r>
          </w:p>
        </w:tc>
        <w:tc>
          <w:tcPr/>
          <w:p>
            <w:pPr>
              <w:pStyle w:val="Compact"/>
            </w:pPr>
            <w:r>
              <w:t xml:space="preserve">URL do repositório; hash dos bancos; versão do</w:t>
            </w:r>
            <w:r>
              <w:t xml:space="preserve"> </w:t>
            </w:r>
            <w:r>
              <w:rPr>
                <w:rStyle w:val="VerbatimChar"/>
              </w:rPr>
              <w:t xml:space="preserve">renv.lock</w:t>
            </w:r>
          </w:p>
        </w:tc>
        <w:tc>
          <w:tcPr/>
          <w:p>
            <w:pPr>
              <w:pStyle w:val="Compact"/>
            </w:pPr>
            <w:r>
              <w:t xml:space="preserve">README, MANIFESTO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discussão-roteiro"/>
    <w:p>
      <w:pPr>
        <w:pStyle w:val="Heading2"/>
      </w:pPr>
      <w:r>
        <w:t xml:space="preserve">5 Discussão (roteiro)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5.1</w:t>
      </w:r>
      <w:r>
        <w:t xml:space="preserve"> </w:t>
      </w:r>
      <w:r>
        <w:t xml:space="preserve">Interpretar hotspots por agente à luz da biologia (sazonalidade do VSR, perfil</w:t>
      </w:r>
      <w:r>
        <w:t xml:space="preserve"> </w:t>
      </w:r>
      <w:r>
        <w:t xml:space="preserve">etário, transição pós-pandemia do SARS-CoV-2), da estrutura assistencial (leitos,</w:t>
      </w:r>
      <w:r>
        <w:t xml:space="preserve"> </w:t>
      </w:r>
      <w:r>
        <w:t xml:space="preserve">fluxo metropolitano) e das campanhas de vacinação contra Influenza de cada ano</w:t>
      </w:r>
      <w:r>
        <w:t xml:space="preserve"> </w:t>
      </w:r>
      <w:r>
        <w:t xml:space="preserve">(2023: 10/04 a 31/05; 2024: antecipada para março; 2025: início em 07/04 no Sudeste)</w:t>
      </w:r>
      <w:r>
        <w:t xml:space="preserve"> </w:t>
      </w:r>
      <w:r>
        <w:rPr>
          <w:b/>
          <w:bCs/>
        </w:rPr>
        <w:t xml:space="preserve">[REVISAR: confirmar datas de 2022 e 2024 no informe técnico de cada campanha]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5.2</w:t>
      </w:r>
      <w:r>
        <w:t xml:space="preserve"> </w:t>
      </w:r>
      <w:r>
        <w:t xml:space="preserve">O que a vigilância municipal e regional ganha com um pipeline reexecutável a</w:t>
      </w:r>
      <w:r>
        <w:t xml:space="preserve"> </w:t>
      </w:r>
      <w:r>
        <w:t xml:space="preserve">cada atualização semanal do banco; como o painel se encaixa na rotina das CIR.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5.3</w:t>
      </w:r>
      <w:r>
        <w:t xml:space="preserve"> </w:t>
      </w:r>
      <w:r>
        <w:t xml:space="preserve">Limitações da §3.10, com os números que as quantificam (proporção de não</w:t>
      </w:r>
      <w:r>
        <w:t xml:space="preserve"> </w:t>
      </w:r>
      <w:r>
        <w:t xml:space="preserve">encerrados, diferença residência × notificação, sensibilidade Queen × Rook, bruta ×</w:t>
      </w:r>
      <w:r>
        <w:t xml:space="preserve"> </w:t>
      </w:r>
      <w:r>
        <w:t xml:space="preserve">suavizada, antes × depois do FDR).</w:t>
      </w:r>
    </w:p>
    <w:bookmarkEnd w:id="31"/>
    <w:bookmarkStart w:id="32" w:name="conclusão"/>
    <w:p>
      <w:pPr>
        <w:pStyle w:val="Heading2"/>
      </w:pPr>
      <w:r>
        <w:t xml:space="preserve">6 Conclusão</w:t>
      </w:r>
    </w:p>
    <w:p>
      <w:pPr>
        <w:pStyle w:val="FirstParagraph"/>
      </w:pPr>
      <w:r>
        <w:t xml:space="preserve">Escrita no CS-028 (2026-09-25) como seção</w:t>
      </w:r>
      <w:r>
        <w:t xml:space="preserve"> </w:t>
      </w:r>
      <w:r>
        <w:t xml:space="preserve">“Conclusão”</w:t>
      </w:r>
      <w:r>
        <w:t xml:space="preserve"> </w:t>
      </w:r>
      <w:r>
        <w:t xml:space="preserve">do relatório (</w:t>
      </w:r>
      <w:r>
        <w:rPr>
          <w:rStyle w:val="VerbatimChar"/>
        </w:rPr>
        <w:t xml:space="preserve">08_relatorio.qmd</w:t>
      </w:r>
      <w:r>
        <w:t xml:space="preserve">), com</w:t>
      </w:r>
      <w:r>
        <w:t xml:space="preserve"> </w:t>
      </w:r>
      <w:r>
        <w:t xml:space="preserve">todos os números calculados pelo pipeline. Em resumo, na versão de 14/09/2026 do banco de 2025:</w:t>
      </w:r>
      <w:r>
        <w:t xml:space="preserve"> </w:t>
      </w:r>
      <w:r>
        <w:t xml:space="preserve">H1 sustentada com sinal fraco (Moran global significativo em 6 dos 12 mapas, I entre 0,11 e</w:t>
      </w:r>
      <w:r>
        <w:t xml:space="preserve"> </w:t>
      </w:r>
      <w:r>
        <w:t xml:space="preserve">0,33; nada na escala regional); H2 sustentada só para o VSR (único agrupamento Alto-Alto</w:t>
      </w:r>
      <w:r>
        <w:t xml:space="preserve"> </w:t>
      </w:r>
      <w:r>
        <w:t xml:space="preserve">confirmado: Itaboraí, Maricá e Tanguá, VSR 2024, Metropolitana II; nenhum para influenza e</w:t>
      </w:r>
      <w:r>
        <w:t xml:space="preserve"> </w:t>
      </w:r>
      <w:r>
        <w:t xml:space="preserve">SARS-CoV-2); H3 sustentada na série temporal (SARS-CoV-2 15,3 vezes menor em 2025 que em 2022;</w:t>
      </w:r>
      <w:r>
        <w:t xml:space="preserve"> </w:t>
      </w:r>
      <w:r>
        <w:t xml:space="preserve">influenza 7,2 e VSR 3,3 vezes maiores), mas não localizável nos mapas (um só mapa confirmado);</w:t>
      </w:r>
      <w:r>
        <w:t xml:space="preserve"> </w:t>
      </w:r>
      <w:r>
        <w:t xml:space="preserve">H4 descritiva e positiva com leitos de UTI SUS (rho 0,33–0,40), não causal. Não testável:</w:t>
      </w:r>
      <w:r>
        <w:t xml:space="preserve"> </w:t>
      </w:r>
      <w:r>
        <w:t xml:space="preserve">ausência de doença × ausência de testagem. A Introdução (§1.1–1.2) também está no relatório,</w:t>
      </w:r>
      <w:r>
        <w:t xml:space="preserve"> </w:t>
      </w:r>
      <w:r>
        <w:t xml:space="preserve">com os números vivos.</w:t>
      </w:r>
    </w:p>
    <w:bookmarkEnd w:id="32"/>
    <w:bookmarkStart w:id="33" w:name="cronograma-revisar-depende-do-prazo-d-02"/>
    <w:p>
      <w:pPr>
        <w:pStyle w:val="Heading2"/>
      </w:pPr>
      <w:r>
        <w:t xml:space="preserve">7 Cronograma</w:t>
      </w:r>
      <w:r>
        <w:t xml:space="preserve"> </w:t>
      </w:r>
      <w:r>
        <w:rPr>
          <w:b/>
          <w:bCs/>
        </w:rPr>
        <w:t xml:space="preserve">[REVISAR: depende do prazo, D-02]</w:t>
      </w:r>
    </w:p>
    <w:p>
      <w:pPr>
        <w:pStyle w:val="FirstParagraph"/>
      </w:pPr>
      <w:r>
        <w:t xml:space="preserve">Sem datas até o prazo ser definido. A ordem é a do caminho crítico do</w:t>
      </w:r>
      <w:r>
        <w:t xml:space="preserve"> </w:t>
      </w:r>
      <w:r>
        <w:rPr>
          <w:rStyle w:val="VerbatimChar"/>
        </w:rPr>
        <w:t xml:space="preserve">docs/BACKLOG.md</w:t>
      </w:r>
      <w:r>
        <w:t xml:space="preserve">: ambiente e repositório → extração e curadoria → critério de caso</w:t>
      </w:r>
      <w:r>
        <w:t xml:space="preserve"> </w:t>
      </w:r>
      <w:r>
        <w:t xml:space="preserve">(ADR) → indicadores e denominadores → malha → pesos e LISA → mapas, painel e relatório →</w:t>
      </w:r>
      <w:r>
        <w:t xml:space="preserve"> </w:t>
      </w:r>
      <w:r>
        <w:t xml:space="preserve">publicação e auditoria.</w:t>
      </w:r>
    </w:p>
    <w:p>
      <w:r>
        <w:pict>
          <v:rect style="width:0;height:1.5pt" o:hralign="center" o:hrstd="t" o:hr="t"/>
        </w:pict>
      </w:r>
    </w:p>
    <w:bookmarkEnd w:id="33"/>
    <w:bookmarkStart w:id="34" w:name="referências-verificadas-em-2026-09-25"/>
    <w:p>
      <w:pPr>
        <w:pStyle w:val="Heading2"/>
      </w:pPr>
      <w:r>
        <w:t xml:space="preserve">Referências (verificadas em 2026-09-25)</w:t>
      </w:r>
    </w:p>
    <w:p>
      <w:pPr>
        <w:pStyle w:val="FirstParagraph"/>
      </w:pPr>
      <w:r>
        <w:t xml:space="preserve">Anselin L. Local Indicators of Spatial Association: LISA.</w:t>
      </w:r>
      <w:r>
        <w:t xml:space="preserve"> </w:t>
      </w:r>
      <w:r>
        <w:rPr>
          <w:i/>
          <w:iCs/>
        </w:rPr>
        <w:t xml:space="preserve">Geographical Analysis</w:t>
      </w:r>
      <w:r>
        <w:t xml:space="preserve">.</w:t>
      </w:r>
      <w:r>
        <w:t xml:space="preserve"> </w:t>
      </w:r>
      <w:r>
        <w:t xml:space="preserve">1995;27(2):93-115.</w:t>
      </w:r>
    </w:p>
    <w:p>
      <w:pPr>
        <w:pStyle w:val="BodyText"/>
      </w:pPr>
      <w:r>
        <w:t xml:space="preserve">Bastos LS, Economou T, Gomes MFC, Villela DAM, Coelho FC, Cruz OG, et al. A modelling</w:t>
      </w:r>
      <w:r>
        <w:t xml:space="preserve"> </w:t>
      </w:r>
      <w:r>
        <w:t xml:space="preserve">approach for correcting reporting delays in disease surveillance data.</w:t>
      </w:r>
      <w:r>
        <w:t xml:space="preserve"> </w:t>
      </w:r>
      <w:r>
        <w:rPr>
          <w:i/>
          <w:iCs/>
        </w:rPr>
        <w:t xml:space="preserve">Statistics in</w:t>
      </w:r>
      <w:r>
        <w:rPr>
          <w:i/>
          <w:iCs/>
        </w:rPr>
        <w:t xml:space="preserve"> </w:t>
      </w:r>
      <w:r>
        <w:rPr>
          <w:i/>
          <w:iCs/>
        </w:rPr>
        <w:t xml:space="preserve">Medicine</w:t>
      </w:r>
      <w:r>
        <w:t xml:space="preserve">. 2019;38(22):4363-4377.</w:t>
      </w:r>
    </w:p>
    <w:p>
      <w:pPr>
        <w:pStyle w:val="BodyText"/>
      </w:pPr>
      <w:r>
        <w:t xml:space="preserve">Bergamaschi Novaes Á.</w:t>
      </w:r>
      <w:r>
        <w:t xml:space="preserve"> </w:t>
      </w:r>
      <w:r>
        <w:rPr>
          <w:i/>
          <w:iCs/>
        </w:rPr>
        <w:t xml:space="preserve">Determinantes sociais da COVID-19 grave na cidade do Rio de</w:t>
      </w:r>
      <w:r>
        <w:rPr>
          <w:i/>
          <w:iCs/>
        </w:rPr>
        <w:t xml:space="preserve"> </w:t>
      </w:r>
      <w:r>
        <w:rPr>
          <w:i/>
          <w:iCs/>
        </w:rPr>
        <w:t xml:space="preserve">Janeiro: uma análise espacial ecológica dos casos notificados de SRAG por COVID-19 em</w:t>
      </w:r>
      <w:r>
        <w:rPr>
          <w:i/>
          <w:iCs/>
        </w:rPr>
        <w:t xml:space="preserve"> </w:t>
      </w:r>
      <w:r>
        <w:rPr>
          <w:i/>
          <w:iCs/>
        </w:rPr>
        <w:t xml:space="preserve">dois períodos entre março de 2020 e fevereiro de 2021</w:t>
      </w:r>
      <w:r>
        <w:t xml:space="preserve"> </w:t>
      </w:r>
      <w:r>
        <w:t xml:space="preserve">[dissertação]. Rio de Janeiro:</w:t>
      </w:r>
      <w:r>
        <w:t xml:space="preserve"> </w:t>
      </w:r>
      <w:r>
        <w:t xml:space="preserve">ENSP/Fiocruz; 2022. Disponível em: https://arca.fiocruz.br/items/f64f37f8-4a05-4913-995b-4f8a8eb40a4b</w:t>
      </w:r>
    </w:p>
    <w:p>
      <w:pPr>
        <w:pStyle w:val="BodyText"/>
      </w:pPr>
      <w:r>
        <w:t xml:space="preserve">Bivand RS, Pebesma E, Gómez-Rubio V.</w:t>
      </w:r>
      <w:r>
        <w:t xml:space="preserve"> </w:t>
      </w:r>
      <w:r>
        <w:rPr>
          <w:i/>
          <w:iCs/>
        </w:rPr>
        <w:t xml:space="preserve">Applied Spatial Data Analysis with R</w:t>
      </w:r>
      <w:r>
        <w:t xml:space="preserve">. 2. ed. New</w:t>
      </w:r>
      <w:r>
        <w:t xml:space="preserve"> </w:t>
      </w:r>
      <w:r>
        <w:t xml:space="preserve">York: Springer; 2013.</w:t>
      </w:r>
    </w:p>
    <w:p>
      <w:pPr>
        <w:pStyle w:val="BodyText"/>
      </w:pPr>
      <w:r>
        <w:t xml:space="preserve">Brasil. Conselho Nacional de Saúde. Resolução nº 510, de 7 de abril de 2016. Disponível</w:t>
      </w:r>
      <w:r>
        <w:t xml:space="preserve"> </w:t>
      </w:r>
      <w:r>
        <w:t xml:space="preserve">em: https://bvsms.saude.gov.br/bvs/saudelegis/cns/2016/res0510_07_04_2016.html</w:t>
      </w:r>
    </w:p>
    <w:p>
      <w:pPr>
        <w:pStyle w:val="BodyText"/>
      </w:pPr>
      <w:r>
        <w:t xml:space="preserve">Brasil. Ministério da Saúde. Banco de dados da Síndrome Respiratória Aguda Grave (SRAG),</w:t>
      </w:r>
      <w:r>
        <w:t xml:space="preserve"> </w:t>
      </w:r>
      <w:r>
        <w:t xml:space="preserve">2019 a 2026. Portal de Dados Abertos do SUS. Disponível em:</w:t>
      </w:r>
      <w:r>
        <w:t xml:space="preserve"> </w:t>
      </w:r>
      <w:r>
        <w:t xml:space="preserve">https://dadosabertos.saude.gov.br/dataset/srag-2019-a-2026 (acesso em 25 set. 2026;</w:t>
      </w:r>
      <w:r>
        <w:t xml:space="preserve"> </w:t>
      </w:r>
      <w:r>
        <w:t xml:space="preserve">atualização semanal, última em 14 set. 2026).</w:t>
      </w:r>
    </w:p>
    <w:p>
      <w:pPr>
        <w:pStyle w:val="BodyText"/>
      </w:pPr>
      <w:r>
        <w:t xml:space="preserve">Brasil. Ministério da Saúde. 25ª Campanha Nacional de Vacinação contra a Influenza,</w:t>
      </w:r>
      <w:r>
        <w:t xml:space="preserve"> </w:t>
      </w:r>
      <w:r>
        <w:t xml:space="preserve">10/4 a 31/5/2023. Disponível em:</w:t>
      </w:r>
      <w:r>
        <w:t xml:space="preserve"> </w:t>
      </w:r>
      <w:r>
        <w:t xml:space="preserve">https://bvsms.saude.gov.br/25a-campanha-nacional-de-vacinacao-contra-a-influenza-sera-realizada-no-periodo-de-10-4-a-31-5-2023/</w:t>
      </w:r>
    </w:p>
    <w:p>
      <w:pPr>
        <w:pStyle w:val="BodyText"/>
      </w:pPr>
      <w:r>
        <w:t xml:space="preserve">Castro MC, Kim S, Barberia L, Ribeiro AF, Gurzenda S, Ribeiro KB, et al. Spatiotemporal</w:t>
      </w:r>
      <w:r>
        <w:t xml:space="preserve"> </w:t>
      </w:r>
      <w:r>
        <w:t xml:space="preserve">pattern of COVID-19 spread in Brazil.</w:t>
      </w:r>
      <w:r>
        <w:t xml:space="preserve"> </w:t>
      </w:r>
      <w:r>
        <w:rPr>
          <w:i/>
          <w:iCs/>
        </w:rPr>
        <w:t xml:space="preserve">Science</w:t>
      </w:r>
      <w:r>
        <w:t xml:space="preserve">. 2021;372(6544):821-826.</w:t>
      </w:r>
      <w:r>
        <w:t xml:space="preserve"> </w:t>
      </w:r>
      <w:r>
        <w:t xml:space="preserve">doi:10.1126/science.abh1558</w:t>
      </w:r>
    </w:p>
    <w:p>
      <w:pPr>
        <w:pStyle w:val="BodyText"/>
      </w:pPr>
      <w:r>
        <w:t xml:space="preserve">Cavalcante JR, et al. Análise espacial do fluxo origem-destino das internações por</w:t>
      </w:r>
      <w:r>
        <w:t xml:space="preserve"> </w:t>
      </w:r>
      <w:r>
        <w:t xml:space="preserve">síndrome respiratória aguda grave por COVID-19 na região metropolitana do Rio de</w:t>
      </w:r>
      <w:r>
        <w:t xml:space="preserve"> </w:t>
      </w:r>
      <w:r>
        <w:t xml:space="preserve">Janeiro.</w:t>
      </w:r>
      <w:r>
        <w:t xml:space="preserve"> </w:t>
      </w:r>
      <w:r>
        <w:rPr>
          <w:i/>
          <w:iCs/>
        </w:rPr>
        <w:t xml:space="preserve">Revista Brasileira de Epidemiologia</w:t>
      </w:r>
      <w:r>
        <w:t xml:space="preserve">. 2021;24:e210054. Disponível em:</w:t>
      </w:r>
      <w:r>
        <w:t xml:space="preserve"> </w:t>
      </w:r>
      <w:r>
        <w:t xml:space="preserve">https://www.scielo.br/j/rbepid/a/DNyHxvjJ9vHGjmVF6J5NDjq/</w:t>
      </w:r>
    </w:p>
    <w:p>
      <w:pPr>
        <w:pStyle w:val="BodyText"/>
      </w:pPr>
      <w:r>
        <w:t xml:space="preserve">Fiocruz. Boletim InfoGripe, resumos semanais 2025–2026. Agência Fiocruz de Notícias.</w:t>
      </w:r>
      <w:r>
        <w:t xml:space="preserve"> </w:t>
      </w:r>
      <w:r>
        <w:t xml:space="preserve">Repositório: https://github.com/infogripe/Boletim_InfoGripe</w:t>
      </w:r>
    </w:p>
    <w:p>
      <w:pPr>
        <w:pStyle w:val="BodyText"/>
      </w:pPr>
      <w:r>
        <w:t xml:space="preserve">Fiocruz, Instituto Fernandes Figueira. Sazonalidade do Vírus Sincicial Respiratório no</w:t>
      </w:r>
      <w:r>
        <w:t xml:space="preserve"> </w:t>
      </w:r>
      <w:r>
        <w:t xml:space="preserve">Brasil. Portal de Boas Práticas. Disponível em:</w:t>
      </w:r>
      <w:r>
        <w:t xml:space="preserve"> </w:t>
      </w:r>
      <w:r>
        <w:t xml:space="preserve">https://portaldeboaspraticas.iff.fiocruz.br/biblioteca/sazonalidade-do-virus-sincicial-respiratorio-no-brasil/</w:t>
      </w:r>
    </w:p>
    <w:p>
      <w:pPr>
        <w:pStyle w:val="BodyText"/>
      </w:pPr>
      <w:r>
        <w:t xml:space="preserve">IBGE. Sistema IBGE de Recuperação Automática (SIDRA). Tabela 4714 (Censo 2022,</w:t>
      </w:r>
      <w:r>
        <w:t xml:space="preserve"> </w:t>
      </w:r>
      <w:r>
        <w:t xml:space="preserve">população residente); tabela 6579 (estimativas populacionais); tabela 9514 (Censo 2022</w:t>
      </w:r>
      <w:r>
        <w:t xml:space="preserve"> </w:t>
      </w:r>
      <w:r>
        <w:t xml:space="preserve">por idade). https://sidra.ibge.gov.br</w:t>
      </w:r>
    </w:p>
    <w:p>
      <w:pPr>
        <w:pStyle w:val="BodyText"/>
      </w:pPr>
      <w:r>
        <w:t xml:space="preserve">IBGE. Estimativas da População 2024: estimativas da população residente para os</w:t>
      </w:r>
      <w:r>
        <w:t xml:space="preserve"> </w:t>
      </w:r>
      <w:r>
        <w:t xml:space="preserve">Municípios e para as Unidades da Federação brasileiros, com data de referência em 1º de</w:t>
      </w:r>
      <w:r>
        <w:t xml:space="preserve"> </w:t>
      </w:r>
      <w:r>
        <w:t xml:space="preserve">julho de 2024. Nota metodológica n. 01. Rio de Janeiro: IBGE; 2024. Disponível em:</w:t>
      </w:r>
      <w:r>
        <w:t xml:space="preserve"> </w:t>
      </w:r>
      <w:r>
        <w:t xml:space="preserve">https://biblioteca.ibge.gov.br/visualizacao/livros/liv102112.pdf</w:t>
      </w:r>
    </w:p>
    <w:p>
      <w:pPr>
        <w:pStyle w:val="BodyText"/>
      </w:pPr>
      <w:r>
        <w:t xml:space="preserve">IBGE. Malha Municipal 2022, Rio de Janeiro. Disponível em:</w:t>
      </w:r>
      <w:r>
        <w:t xml:space="preserve"> </w:t>
      </w:r>
      <w:r>
        <w:t xml:space="preserve">https://geoftp.ibge.gov.br/organizacao_do_territorio/malhas_territoriais/malhas_municipais/municipio_2022/UFs/RJ/</w:t>
      </w:r>
    </w:p>
    <w:p>
      <w:pPr>
        <w:pStyle w:val="BodyText"/>
      </w:pPr>
      <w:r>
        <w:t xml:space="preserve">Marshall RJ. Mapping disease and mortality rates using empirical Bayes estimators.</w:t>
      </w:r>
      <w:r>
        <w:t xml:space="preserve"> </w:t>
      </w:r>
      <w:r>
        <w:rPr>
          <w:i/>
          <w:iCs/>
        </w:rPr>
        <w:t xml:space="preserve">Journal of the Royal Statistical Society, Series C</w:t>
      </w:r>
      <w:r>
        <w:t xml:space="preserve">. 1991;40(2):283-294.</w:t>
      </w:r>
    </w:p>
    <w:p>
      <w:pPr>
        <w:pStyle w:val="BodyText"/>
      </w:pPr>
      <w:r>
        <w:t xml:space="preserve">Pebesma E. Simple Features for R: standardized support for spatial vector data.</w:t>
      </w:r>
      <w:r>
        <w:t xml:space="preserve"> </w:t>
      </w:r>
      <w:r>
        <w:rPr>
          <w:i/>
          <w:iCs/>
        </w:rPr>
        <w:t xml:space="preserve">The R</w:t>
      </w:r>
      <w:r>
        <w:rPr>
          <w:i/>
          <w:iCs/>
        </w:rPr>
        <w:t xml:space="preserve"> </w:t>
      </w:r>
      <w:r>
        <w:rPr>
          <w:i/>
          <w:iCs/>
        </w:rPr>
        <w:t xml:space="preserve">Journal</w:t>
      </w:r>
      <w:r>
        <w:t xml:space="preserve">. 2018;10(1):439-446.</w:t>
      </w:r>
    </w:p>
    <w:p>
      <w:pPr>
        <w:pStyle w:val="BodyText"/>
      </w:pPr>
      <w:r>
        <w:t xml:space="preserve">Pereira RHM, Gonçalves CN, et al. geobr: Download Official Spatial Data Sets of Brazil.</w:t>
      </w:r>
      <w:r>
        <w:t xml:space="preserve"> </w:t>
      </w:r>
      <w:r>
        <w:t xml:space="preserve">Pacote R, CRAN. https://ipeagit.github.io/geobr/</w:t>
      </w:r>
    </w:p>
    <w:p>
      <w:pPr>
        <w:pStyle w:val="BodyText"/>
      </w:pPr>
      <w:r>
        <w:t xml:space="preserve">Saldanha RF, Bastos RR, Barcellos C. Microdatasus: pacote para download e</w:t>
      </w:r>
      <w:r>
        <w:t xml:space="preserve"> </w:t>
      </w:r>
      <w:r>
        <w:t xml:space="preserve">pré-processamento de microdados do DATASUS.</w:t>
      </w:r>
      <w:r>
        <w:t xml:space="preserve"> </w:t>
      </w:r>
      <w:r>
        <w:rPr>
          <w:i/>
          <w:iCs/>
        </w:rPr>
        <w:t xml:space="preserve">Cadernos de Saúde Pública</w:t>
      </w:r>
      <w:r>
        <w:t xml:space="preserve">. 2019;35(9).</w:t>
      </w:r>
      <w:r>
        <w:t xml:space="preserve"> </w:t>
      </w:r>
      <w:r>
        <w:t xml:space="preserve">(Previsto para o CNES; não usado: os leitos vieram do Portal de Dados Abertos, CS-034.)</w:t>
      </w:r>
    </w:p>
    <w:p>
      <w:pPr>
        <w:pStyle w:val="BodyText"/>
      </w:pPr>
      <w:r>
        <w:t xml:space="preserve">Secretaria de Estado de Saúde do Rio de Janeiro. Regionalização: as nove regiões de</w:t>
      </w:r>
      <w:r>
        <w:t xml:space="preserve"> </w:t>
      </w:r>
      <w:r>
        <w:t xml:space="preserve">saúde. https://www.saude.rj.gov.br/assessoria-de-regionalizacao/sobre-a-regionalizacao/2017/04/regionalizacao</w:t>
      </w:r>
    </w:p>
    <w:p>
      <w:pPr>
        <w:pStyle w:val="BodyText"/>
      </w:pPr>
      <w:r>
        <w:rPr>
          <w:b/>
          <w:bCs/>
        </w:rPr>
        <w:t xml:space="preserve">[REVISAR: acrescentar as referências da disciplina (bibliografia da ementa) e o</w:t>
      </w:r>
      <w:r>
        <w:rPr>
          <w:b/>
          <w:bCs/>
        </w:rPr>
        <w:t xml:space="preserve"> </w:t>
      </w:r>
      <w:r>
        <w:rPr>
          <w:b/>
          <w:bCs/>
        </w:rPr>
        <w:t xml:space="preserve">dicionário de dados SIVEP-Gripe com a data da versão baixada.]</w:t>
      </w:r>
    </w:p>
    <w:p>
      <w:r>
        <w:pict>
          <v:rect style="width:0;height:1.5pt" o:hralign="center" o:hrstd="t" o:hr="t"/>
        </w:pict>
      </w:r>
    </w:p>
    <w:bookmarkEnd w:id="34"/>
    <w:bookmarkStart w:id="35" w:name="X595d4d4eb5bf29158ed61d837cd862eab8854d0"/>
    <w:p>
      <w:pPr>
        <w:pStyle w:val="Heading2"/>
      </w:pPr>
      <w:r>
        <w:t xml:space="preserve">Apêndice A — Avaliação crítica da disciplina (IOC 14090)</w:t>
      </w:r>
    </w:p>
    <w:p>
      <w:pPr>
        <w:pStyle w:val="FirstParagraph"/>
      </w:pPr>
      <w:r>
        <w:t xml:space="preserve">Mantido da v1, texto pessoal da autora.</w:t>
      </w:r>
      <w:r>
        <w:t xml:space="preserve"> </w:t>
      </w:r>
      <w:r>
        <w:rPr>
          <w:b/>
          <w:bCs/>
        </w:rPr>
        <w:t xml:space="preserve">Não foi redigido pelo CS-028</w:t>
      </w:r>
      <w:r>
        <w:t xml:space="preserve">: é avaliação pessoal</w:t>
      </w:r>
      <w:r>
        <w:t xml:space="preserve"> </w:t>
      </w:r>
      <w:r>
        <w:t xml:space="preserve">da disciplina, e só a autora pode escrevê-la.</w:t>
      </w:r>
    </w:p>
    <w:bookmarkEnd w:id="35"/>
    <w:bookmarkStart w:id="36" w:name="Xa7cf5e6971e0a9f6f8c1685550a2ca707e70653"/>
    <w:p>
      <w:pPr>
        <w:pStyle w:val="Heading2"/>
      </w:pPr>
      <w:r>
        <w:t xml:space="preserve">Apêndice B — Correções factuais da v1 e suas fontes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v1 dizia</w:t>
            </w:r>
          </w:p>
        </w:tc>
        <w:tc>
          <w:tcPr/>
          <w:p>
            <w:pPr>
              <w:pStyle w:val="Compact"/>
            </w:pPr>
            <w:r>
              <w:t xml:space="preserve">Fato verificado</w:t>
            </w:r>
          </w:p>
        </w:tc>
        <w:tc>
          <w:tcPr/>
          <w:p>
            <w:pPr>
              <w:pStyle w:val="Compact"/>
            </w:pPr>
            <w:r>
              <w:t xml:space="preserve">Fonte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Extração</w:t>
            </w:r>
            <w:r>
              <w:t xml:space="preserve"> </w:t>
            </w:r>
            <w:r>
              <w:t xml:space="preserve">“via pacote microdatasus”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fetch_datasus()</w:t>
            </w:r>
            <w:r>
              <w:t xml:space="preserve"> </w:t>
            </w:r>
            <w:r>
              <w:t xml:space="preserve">aceita SIH, SIM, SINASC, CNES, SIA e SINAN;</w:t>
            </w:r>
            <w:r>
              <w:t xml:space="preserve"> </w:t>
            </w:r>
            <w:r>
              <w:rPr>
                <w:b/>
                <w:bCs/>
              </w:rPr>
              <w:t xml:space="preserve">não</w:t>
            </w:r>
            <w:r>
              <w:t xml:space="preserve"> </w:t>
            </w:r>
            <w:r>
              <w:t xml:space="preserve">aceita SIVEP-Gripe/SRAG, que é distribuído por outro canal (Portal de Dados Abertos, CSV/PARQUET)</w:t>
            </w:r>
          </w:p>
        </w:tc>
        <w:tc>
          <w:tcPr/>
          <w:p>
            <w:pPr>
              <w:pStyle w:val="Compact"/>
            </w:pPr>
            <w:r>
              <w:t xml:space="preserve">https://rfsaldanha.github.io/microdatasus/reference/fetch_datasus.html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Chave</w:t>
            </w:r>
            <w:r>
              <w:t xml:space="preserve"> </w:t>
            </w:r>
            <w:r>
              <w:rPr>
                <w:rStyle w:val="VerbatimChar"/>
              </w:rPr>
              <w:t xml:space="preserve">CO_MUNIC_RES</w:t>
            </w:r>
            <w:r>
              <w:t xml:space="preserve">,</w:t>
            </w:r>
            <w:r>
              <w:t xml:space="preserve"> </w:t>
            </w:r>
            <w:r>
              <w:t xml:space="preserve">“sete dígitos”</w:t>
            </w:r>
          </w:p>
        </w:tc>
        <w:tc>
          <w:tcPr/>
          <w:p>
            <w:pPr>
              <w:pStyle w:val="Compact"/>
            </w:pPr>
            <w:r>
              <w:t xml:space="preserve">O campo é</w:t>
            </w:r>
            <w:r>
              <w:t xml:space="preserve"> </w:t>
            </w:r>
            <w:r>
              <w:rPr>
                <w:rStyle w:val="VerbatimChar"/>
              </w:rPr>
              <w:t xml:space="preserve">CO_MUN_RES</w:t>
            </w:r>
            <w:r>
              <w:t xml:space="preserve">, tipo</w:t>
            </w:r>
            <w:r>
              <w:t xml:space="preserve"> </w:t>
            </w:r>
            <w:r>
              <w:rPr>
                <w:rStyle w:val="VerbatimChar"/>
              </w:rPr>
              <w:t xml:space="preserve">Varchar2(6)</w:t>
            </w:r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seis</w:t>
            </w:r>
            <w:r>
              <w:t xml:space="preserve"> </w:t>
            </w:r>
            <w:r>
              <w:t xml:space="preserve">dígitos. A malha do</w:t>
            </w:r>
            <w:r>
              <w:t xml:space="preserve"> </w:t>
            </w:r>
            <w:r>
              <w:rPr>
                <w:rStyle w:val="VerbatimChar"/>
              </w:rPr>
              <w:t xml:space="preserve">geobr</w:t>
            </w:r>
            <w:r>
              <w:t xml:space="preserve"> </w:t>
            </w:r>
            <w:r>
              <w:t xml:space="preserve">tem sete; a junção exige truncar</w:t>
            </w:r>
          </w:p>
        </w:tc>
        <w:tc>
          <w:tcPr/>
          <w:p>
            <w:pPr>
              <w:pStyle w:val="Compact"/>
            </w:pPr>
            <w:r>
              <w:t xml:space="preserve">Dicionário de dados SIVEP-Gripe (campo 24,</w:t>
            </w:r>
            <w:r>
              <w:t xml:space="preserve"> </w:t>
            </w:r>
            <w:r>
              <w:t xml:space="preserve">“Município de residência, código IBGE”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Campo</w:t>
            </w:r>
            <w:r>
              <w:t xml:space="preserve"> </w:t>
            </w:r>
            <w:r>
              <w:rPr>
                <w:rStyle w:val="VerbatimChar"/>
              </w:rPr>
              <w:t xml:space="preserve">PCR_FLU</w:t>
            </w:r>
          </w:p>
        </w:tc>
        <w:tc>
          <w:tcPr/>
          <w:p>
            <w:pPr>
              <w:pStyle w:val="Compact"/>
            </w:pPr>
            <w:r>
              <w:t xml:space="preserve">Influenza por RT-PCR é</w:t>
            </w:r>
            <w:r>
              <w:t xml:space="preserve"> </w:t>
            </w:r>
            <w:r>
              <w:rPr>
                <w:rStyle w:val="VerbatimChar"/>
              </w:rPr>
              <w:t xml:space="preserve">POS_PCRFLU</w:t>
            </w:r>
            <w:r>
              <w:t xml:space="preserve"> </w:t>
            </w:r>
            <w:r>
              <w:t xml:space="preserve">(1-Sim/2-Não/9-Ignorado) com subtipo em</w:t>
            </w:r>
            <w:r>
              <w:t xml:space="preserve"> </w:t>
            </w:r>
            <w:r>
              <w:rPr>
                <w:rStyle w:val="VerbatimChar"/>
              </w:rPr>
              <w:t xml:space="preserve">TP_FLU_PCR</w:t>
            </w:r>
            <w:r>
              <w:t xml:space="preserve"> </w:t>
            </w:r>
            <w:r>
              <w:t xml:space="preserve">(1-A/2-B); por antígeno,</w:t>
            </w:r>
            <w:r>
              <w:t xml:space="preserve"> </w:t>
            </w:r>
            <w:r>
              <w:rPr>
                <w:rStyle w:val="VerbatimChar"/>
              </w:rPr>
              <w:t xml:space="preserve">POS_AN_FLU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TP_FLU_AN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PCR_SARS2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PCR_VSR</w:t>
            </w:r>
            <w:r>
              <w:t xml:space="preserve"> </w:t>
            </w:r>
            <w:r>
              <w:t xml:space="preserve">estão corretos; os de antígeno (</w:t>
            </w:r>
            <w:r>
              <w:rPr>
                <w:rStyle w:val="VerbatimChar"/>
              </w:rPr>
              <w:t xml:space="preserve">AN_SARS2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AN_VSR</w:t>
            </w:r>
            <w:r>
              <w:t xml:space="preserve">) não eram citados</w:t>
            </w:r>
          </w:p>
        </w:tc>
        <w:tc>
          <w:tcPr/>
          <w:p>
            <w:pPr>
              <w:pStyle w:val="Compact"/>
            </w:pPr>
            <w:r>
              <w:t xml:space="preserve">Dicionário de dados SIVEP-Gripe (campos 66 e 69)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“Estimativas populacionais intercensitárias”</w:t>
            </w:r>
            <w:r>
              <w:t xml:space="preserve"> </w:t>
            </w:r>
            <w:r>
              <w:t xml:space="preserve">para todos os anos</w:t>
            </w:r>
          </w:p>
        </w:tc>
        <w:tc>
          <w:tcPr/>
          <w:p>
            <w:pPr>
              <w:pStyle w:val="Compact"/>
            </w:pPr>
            <w:r>
              <w:t xml:space="preserve">A tabela 6579 tem 2024, 2025 e 2026 e</w:t>
            </w:r>
            <w:r>
              <w:t xml:space="preserve"> </w:t>
            </w:r>
            <w:r>
              <w:rPr>
                <w:b/>
                <w:bCs/>
              </w:rPr>
              <w:t xml:space="preserve">não tem 2023</w:t>
            </w:r>
            <w:r>
              <w:t xml:space="preserve">; 2022 está no Censo (4714). O denominador de 2023 exige regra explícita</w:t>
            </w:r>
          </w:p>
        </w:tc>
        <w:tc>
          <w:tcPr/>
          <w:p>
            <w:pPr>
              <w:pStyle w:val="Compact"/>
            </w:pPr>
            <w:r>
              <w:t xml:space="preserve">API SIDRA:</w:t>
            </w:r>
            <w:r>
              <w:t xml:space="preserve"> </w:t>
            </w:r>
            <w:r>
              <w:rPr>
                <w:rStyle w:val="VerbatimChar"/>
              </w:rPr>
              <w:t xml:space="preserve">apisidra.ibge.gov.br/values/t/6579/n6/3304557/v/9324/p/all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Pipeline</w:t>
            </w:r>
            <w:r>
              <w:t xml:space="preserve"> </w:t>
            </w:r>
            <w:r>
              <w:t xml:space="preserve">“reprodutível”</w:t>
            </w:r>
            <w:r>
              <w:t xml:space="preserve"> </w:t>
            </w:r>
            <w:r>
              <w:t xml:space="preserve">sem menção a versão dos dados</w:t>
            </w:r>
          </w:p>
        </w:tc>
        <w:tc>
          <w:tcPr/>
          <w:p>
            <w:pPr>
              <w:pStyle w:val="Compact"/>
            </w:pPr>
            <w:r>
              <w:t xml:space="preserve">O banco de 2025 é atualizado semanalmente (última atualização 14/09/2026); reprodutibilidade exige data de corte e hash</w:t>
            </w:r>
          </w:p>
        </w:tc>
        <w:tc>
          <w:tcPr/>
          <w:p>
            <w:pPr>
              <w:pStyle w:val="Compact"/>
            </w:pPr>
            <w:r>
              <w:t xml:space="preserve">Portal de Dados Abertos, metadados do conjunto</w:t>
            </w:r>
            <w:r>
              <w:t xml:space="preserve"> </w:t>
            </w:r>
            <w:r>
              <w:t xml:space="preserve">“SRAG 2019 a 2026”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Seção 4.2</w:t>
            </w:r>
            <w:r>
              <w:t xml:space="preserve"> </w:t>
            </w:r>
            <w:r>
              <w:t xml:space="preserve">“por bairro”</w:t>
            </w:r>
          </w:p>
        </w:tc>
        <w:tc>
          <w:tcPr/>
          <w:p>
            <w:pPr>
              <w:pStyle w:val="Compact"/>
            </w:pPr>
            <w:r>
              <w:t xml:space="preserve">Todo o desenho é municipal; o SIVEP não tem bairro estruturado para o estado</w:t>
            </w:r>
          </w:p>
        </w:tc>
        <w:tc>
          <w:tcPr/>
          <w:p>
            <w:pPr>
              <w:pStyle w:val="Compact"/>
            </w:pPr>
            <w:r>
              <w:t xml:space="preserve">v1, §3.1 e §3.3</w:t>
            </w:r>
          </w:p>
        </w:tc>
      </w:tr>
    </w:tbl>
    <w:bookmarkEnd w:id="36"/>
    <w:bookmarkEnd w:id="37"/>
    <w:sectPr>
      <w:footnotePr>
        <w:numRestart w:val="eachSect"/>
      </w:footnotePr>
      <w:pgSz w:h="16838" w:w="11906"/>
      <w:pgMar w:bottom="1134" w:footer="709" w:gutter="0" w:header="709" w:left="1701" w:right="1134" w:top="170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20" w:before="0" w:line="360" w:lineRule="auto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rial" w:cs="Arial" w:hAnsi="Arial"/>
      <w:b/>
      <w:color w:val="000000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rial" w:cs="Arial" w:hAnsi="Arial"/>
      <w:b/>
      <w:color w:val="000000"/>
      <w:sz w:val="24"/>
      <w:szCs w:val="24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Arial" w:cs="Arial" w:hAnsi="Arial"/>
      <w:b/>
      <w:color w:val="000000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rPr>
      <w:rFonts w:ascii="Arial" w:cs="Arial" w:hAnsi="Arial"/>
      <w:sz w:val="18"/>
      <w:szCs w:val="18"/>
    </w:rPr>
    <w:tblPr>
      <w:tblInd w:type="dxa" w:w="0"/>
      <w:tblBorders>
        <w:top w:color="000000" w:space="0" w:sz="8" w:val="single"/>
        <w:bottom w:color="000000" w:space="0" w:sz="8" w:val="single"/>
      </w:tblBorders>
      <w:tblCellMar>
        <w:top w:type="dxa" w:w="0"/>
        <w:left w:type="dxa" w:w="80"/>
        <w:bottom w:type="dxa" w:w="0"/>
        <w:right w:type="dxa" w:w="80"/>
      </w:tblCellMar>
    </w:tblPr>
    <w:tblStylePr w:type="firstRow">
      <w:rPr>
        <w:b/>
      </w:rPr>
      <w:tcPr>
        <w:tcBorders>
          <w:top w:color="000000" w:space="0" w:sz="8" w:val="single"/>
          <w:bottom w:color="000000" w:space="0" w:sz="8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2026-09-14T12:00:00Z</dcterms:created>
  <dcterms:modified xsi:type="dcterms:W3CDTF">2026-09-14T12:00:00Z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