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sz w:val="22"/>
          <w:szCs w:val="22"/>
        </w:rPr>
        <w:t xml:space="preserve"/>
      </w:r>
    </w:p>
    <w:p>
      <w:pPr>
        <w:spacing w:after="240"/>
        <w:jc w:val="center"/>
      </w:pPr>
      <w:r>
        <w:rPr>
          <w:rFonts w:ascii="Arial" w:cs="Arial" w:eastAsia="Arial" w:hAnsi="Arial"/>
          <w:b w:val="false"/>
          <w:bCs w:val="false"/>
          <w:color w:val="888888"/>
          <w:sz w:val="24"/>
          <w:szCs w:val="24"/>
        </w:rPr>
        <w:t xml:space="preserve">MSB7216: Deep Learning for Health Data</w:t>
      </w:r>
    </w:p>
    <w:p>
      <w:pPr>
        <w:spacing w:after="240"/>
        <w:jc w:val="center"/>
      </w:pPr>
      <w:r>
        <w:rPr>
          <w:rFonts w:ascii="Arial" w:cs="Arial" w:eastAsia="Arial" w:hAnsi="Arial"/>
          <w:b/>
          <w:bCs/>
          <w:color w:val="2E4A7A"/>
          <w:sz w:val="48"/>
          <w:szCs w:val="48"/>
        </w:rPr>
        <w:t xml:space="preserve">Final Project Report</w:t>
      </w:r>
    </w:p>
    <w:p>
      <w:pPr>
        <w:spacing w:after="120"/>
        <w:jc w:val="center"/>
      </w:pPr>
      <w:r>
        <w:rPr>
          <w:rFonts w:ascii="Arial" w:cs="Arial" w:eastAsia="Arial" w:hAnsi="Arial"/>
          <w:b/>
          <w:bCs/>
          <w:color w:val="1A3A6A"/>
          <w:sz w:val="36"/>
          <w:szCs w:val="36"/>
        </w:rPr>
        <w:t xml:space="preserve">Deep Learning for Automated Sickle Cell Detection</w:t>
      </w:r>
    </w:p>
    <w:p>
      <w:pPr>
        <w:spacing w:after="120"/>
        <w:jc w:val="center"/>
      </w:pPr>
      <w:r>
        <w:rPr>
          <w:rFonts w:ascii="Arial" w:cs="Arial" w:eastAsia="Arial" w:hAnsi="Arial"/>
          <w:b/>
          <w:bCs/>
          <w:color w:val="1A3A6A"/>
          <w:sz w:val="36"/>
          <w:szCs w:val="36"/>
        </w:rPr>
        <w:t xml:space="preserve">in Peripheral Blood Smears:</w:t>
      </w:r>
    </w:p>
    <w:p>
      <w:pPr>
        <w:spacing w:after="800"/>
        <w:jc w:val="center"/>
      </w:pPr>
      <w:r>
        <w:rPr>
          <w:rFonts w:ascii="Arial" w:cs="Arial" w:eastAsia="Arial" w:hAnsi="Arial"/>
          <w:b w:val="false"/>
          <w:bCs w:val="false"/>
          <w:i/>
          <w:iCs/>
          <w:color w:val="444444"/>
          <w:sz w:val="28"/>
          <w:szCs w:val="28"/>
        </w:rPr>
        <w:t xml:space="preserve">An Explainable Approach Using African Clinical Microscopy Data</w:t>
      </w:r>
    </w:p>
    <w:p>
      <w:pPr>
        <w:spacing w:after="120"/>
        <w:jc w:val="center"/>
      </w:pPr>
      <w:r>
        <w:rPr>
          <w:rFonts w:ascii="Arial" w:cs="Arial" w:eastAsia="Arial" w:hAnsi="Arial"/>
          <w:b/>
          <w:bCs/>
          <w:color w:val="2E4A7A"/>
          <w:sz w:val="26"/>
          <w:szCs w:val="26"/>
        </w:rPr>
        <w:t xml:space="preserve">Okidi Patrovas Gaabriel</w:t>
      </w:r>
    </w:p>
    <w:p>
      <w:pPr>
        <w:spacing w:after="80"/>
        <w:jc w:val="center"/>
      </w:pPr>
      <w:r>
        <w:rPr>
          <w:rFonts w:ascii="Arial" w:cs="Arial" w:eastAsia="Arial" w:hAnsi="Arial"/>
          <w:color w:val="555555"/>
          <w:sz w:val="22"/>
          <w:szCs w:val="22"/>
        </w:rPr>
        <w:t xml:space="preserve">Student ID: 2025/HD07/26020U</w:t>
      </w:r>
    </w:p>
    <w:p>
      <w:pPr>
        <w:spacing w:after="80"/>
        <w:jc w:val="center"/>
      </w:pPr>
      <w:r>
        <w:rPr>
          <w:rFonts w:ascii="Arial" w:cs="Arial" w:eastAsia="Arial" w:hAnsi="Arial"/>
          <w:color w:val="555555"/>
          <w:sz w:val="22"/>
          <w:szCs w:val="22"/>
        </w:rPr>
        <w:t xml:space="preserve">Makerere University, Kampala, Uganda</w:t>
      </w:r>
    </w:p>
    <w:p>
      <w:pPr>
        <w:spacing w:after="800"/>
        <w:jc w:val="center"/>
      </w:pPr>
      <w:r>
        <w:rPr>
          <w:rFonts w:ascii="Arial" w:cs="Arial" w:eastAsia="Arial" w:hAnsi="Arial"/>
          <w:color w:val="555555"/>
          <w:sz w:val="22"/>
          <w:szCs w:val="22"/>
        </w:rPr>
        <w:t xml:space="preserve">May 2026</w:t>
      </w:r>
    </w:p>
    <w:p>
      <w:pPr>
        <w:spacing w:after="80"/>
        <w:jc w:val="center"/>
      </w:pPr>
      <w:r>
        <w:rPr>
          <w:rFonts w:ascii="Arial" w:cs="Arial" w:eastAsia="Arial" w:hAnsi="Arial"/>
          <w:b/>
          <w:bCs/>
          <w:color w:val="2E4A7A"/>
          <w:sz w:val="20"/>
          <w:szCs w:val="20"/>
        </w:rPr>
        <w:t xml:space="preserve">Live Demo: https://huggingface.co/spaces/Patrovas/sickle-cell-detection</w:t>
      </w:r>
    </w:p>
    <w:p>
      <w:pPr>
        <w:spacing w:after="1200"/>
        <w:jc w:val="center"/>
      </w:pPr>
      <w:r>
        <w:rPr>
          <w:rFonts w:ascii="Arial" w:cs="Arial" w:eastAsia="Arial" w:hAnsi="Arial"/>
          <w:b/>
          <w:bCs/>
          <w:color w:val="2E4A7A"/>
          <w:sz w:val="20"/>
          <w:szCs w:val="20"/>
        </w:rPr>
        <w:t xml:space="preserve">GitHub: https://github.com/Patro331/sickle-cell-detection</w:t>
      </w:r>
    </w:p>
    <w:p>
      <w:r>
        <w:br w:type="page"/>
      </w:r>
    </w:p>
    <w:p>
      <w:pPr>
        <w:pStyle w:val="Heading1"/>
        <w:pBdr>
          <w:bottom w:val="single" w:color="2E4A7A" w:sz="6" w:space="1"/>
        </w:pBdr>
        <w:spacing w:after="160" w:before="360"/>
      </w:pPr>
      <w:r>
        <w:rPr>
          <w:rFonts w:ascii="Arial" w:cs="Arial" w:eastAsia="Arial" w:hAnsi="Arial"/>
          <w:b/>
          <w:bCs/>
          <w:color w:val="2E4A7A"/>
          <w:sz w:val="32"/>
          <w:szCs w:val="32"/>
        </w:rPr>
        <w:t xml:space="preserve">Abstract</w:t>
      </w:r>
    </w:p>
    <w:p>
      <w:pPr>
        <w:spacing w:after="120" w:line="276"/>
        <w:jc w:val="both"/>
      </w:pPr>
      <w:r>
        <w:rPr>
          <w:rFonts w:ascii="Arial" w:cs="Arial" w:eastAsia="Arial" w:hAnsi="Arial"/>
          <w:sz w:val="22"/>
          <w:szCs w:val="22"/>
        </w:rPr>
        <w:t xml:space="preserve">Sickle cell disease (SCD) is one of the most prevalent genetic disorders in Uganda, with the sickle cell trait estimated at 13.3% nationally and reaching 19.8% in Kampala. Diagnosis currently depends on trained laboratory personnel and specialist microscopy equipment that are largely unavailable in rural settings. This project presents the first deep learning study to apply transfer learning and explainability techniques to the Tushabe (2024) Ugandan clinical mobile-phone microscopy dataset for automated sickle cell detection. A pipeline of three models was developed and evaluated: a baseline Convolutional Neural Network (CNN) trained from scratch, EfficientNet-B0 with transfer learning, and ResNet-50 with transfer learning. Using a combined dataset of 933 blood smear images from two sources, ResNet-50 achieved the best performance with 98.57% accuracy, AUC-ROC of 0.9973, sensitivity of 98.41%, and specificity of 98.70% on a held-out test set of 140 images. Grad-CAM explainability analysis confirmed the model attends to biologically meaningful regions. The final model was deployed as a Gradio application on Hugging Face Spaces, demonstrating practical viability as a low-resource, mobile-first screening tool for rural Ugandan health workers.</w:t>
      </w:r>
    </w:p>
    <w:p>
      <w:pPr>
        <w:spacing w:after="120"/>
      </w:pPr>
      <w:r>
        <w:rPr>
          <w:rFonts w:ascii="Arial" w:cs="Arial" w:eastAsia="Arial" w:hAnsi="Arial"/>
          <w:b/>
          <w:bCs/>
          <w:sz w:val="22"/>
          <w:szCs w:val="22"/>
        </w:rPr>
        <w:t xml:space="preserve">Keywords: </w:t>
      </w:r>
      <w:r>
        <w:rPr>
          <w:rFonts w:ascii="Arial" w:cs="Arial" w:eastAsia="Arial" w:hAnsi="Arial"/>
          <w:i/>
          <w:iCs/>
          <w:sz w:val="22"/>
          <w:szCs w:val="22"/>
        </w:rPr>
        <w:t xml:space="preserve">Sickle Cell Disease, Deep Learning, Transfer Learning, ResNet-50, EfficientNet-B0, Grad-CAM, Medical Image Classification, Uganda, Low-Resource Healthcare</w:t>
      </w:r>
    </w:p>
    <w:p>
      <w:r>
        <w:br w:type="page"/>
      </w:r>
    </w:p>
    <w:p>
      <w:pPr>
        <w:pStyle w:val="Heading1"/>
        <w:pBdr>
          <w:bottom w:val="single" w:color="2E4A7A" w:sz="6" w:space="1"/>
        </w:pBdr>
        <w:spacing w:after="160" w:before="360"/>
      </w:pPr>
      <w:r>
        <w:rPr>
          <w:rFonts w:ascii="Arial" w:cs="Arial" w:eastAsia="Arial" w:hAnsi="Arial"/>
          <w:b/>
          <w:bCs/>
          <w:color w:val="2E4A7A"/>
          <w:sz w:val="32"/>
          <w:szCs w:val="32"/>
        </w:rPr>
        <w:t xml:space="preserve">1. Introduction</w:t>
      </w:r>
    </w:p>
    <w:p>
      <w:pPr>
        <w:spacing w:after="120" w:line="276"/>
        <w:jc w:val="both"/>
      </w:pPr>
      <w:r>
        <w:rPr>
          <w:rFonts w:ascii="Arial" w:cs="Arial" w:eastAsia="Arial" w:hAnsi="Arial"/>
          <w:sz w:val="22"/>
          <w:szCs w:val="22"/>
        </w:rPr>
        <w:t xml:space="preserve">Sickle cell disease is a monogenic blood disorder caused by a mutation in the HBB gene, resulting in the production of haemoglobin S (HbS). Under deoxygenated conditions, HbS polymerises and distorts red blood cells into a characteristic crescent or sickle shape. This morphological change causes vaso-occlusion, haemolytic anaemia, and progressive organ damage. Uganda carries a disproportionately high burden of SCD, with an estimated 13.3% of the population carrying the sickle cell trait and prevalence reaching 19.8% in Kampala alone. An estimated 15,000 to 20,000 children are born with SCD in Uganda each year, many of whom go undiagnosed until a severe crisis occurs.</w:t>
      </w:r>
    </w:p>
    <w:p>
      <w:pPr>
        <w:spacing w:after="120" w:line="276"/>
        <w:jc w:val="both"/>
      </w:pPr>
      <w:r>
        <w:rPr>
          <w:rFonts w:ascii="Arial" w:cs="Arial" w:eastAsia="Arial" w:hAnsi="Arial"/>
          <w:sz w:val="22"/>
          <w:szCs w:val="22"/>
        </w:rPr>
        <w:t xml:space="preserve">Current diagnosis relies on laboratory-based methods including peripheral blood smear microscopy, haemoglobin electrophoresis, and the sickling test. These approaches require trained laboratory scientists, specialist equipment, and reliable staining supplies that are largely unavailable in rural district hospitals and community health centres. The result is a significant diagnostic gap: patients in rural Uganda may go years without a formal diagnosis, missing the early interventions — such as prophylactic penicillin and hydroxyurea therapy — that substantially reduce morbidity and mortality.</w:t>
      </w:r>
    </w:p>
    <w:p>
      <w:pPr>
        <w:spacing w:after="120" w:line="276"/>
        <w:jc w:val="both"/>
      </w:pPr>
      <w:r>
        <w:rPr>
          <w:rFonts w:ascii="Arial" w:cs="Arial" w:eastAsia="Arial" w:hAnsi="Arial"/>
          <w:sz w:val="22"/>
          <w:szCs w:val="22"/>
        </w:rPr>
        <w:t xml:space="preserve">Artificial intelligence and deep learning have demonstrated remarkable performance in medical image classification tasks, including diabetic retinopathy screening, tuberculosis detection from chest X-rays, and malaria parasite identification from blood smears. These technologies offer the possibility of deploying specialist-level diagnostic capability on low-cost mobile devices, bridging the resource gap in low-income settings. However, the vast majority of deep learning medical imaging studies use datasets collected under controlled laboratory conditions in high-income countries, limiting their applicability to the imaging contexts of sub-Saharan Africa.</w:t>
      </w:r>
    </w:p>
    <w:p>
      <w:pPr>
        <w:spacing w:after="120" w:line="276"/>
        <w:jc w:val="both"/>
      </w:pPr>
      <w:r>
        <w:rPr>
          <w:rFonts w:ascii="Arial" w:cs="Arial" w:eastAsia="Arial" w:hAnsi="Arial"/>
          <w:sz w:val="22"/>
          <w:szCs w:val="22"/>
        </w:rPr>
        <w:t xml:space="preserve">This project addresses this gap directly. We present the first deep learning study to apply explainable transfer learning to the Tushabe et al. (2024) Ugandan Sickle Cell Microscopy Dataset — a collection of 569 blood smear images captured using mobile phone cameras placed on basic microscopes in Soroti and Kumi districts, Uganda. Our primary contributions are as follows.</w:t>
      </w:r>
    </w:p>
    <w:p>
      <w:pPr>
        <w:pStyle w:val="ListParagraph"/>
        <w:numPr>
          <w:ilvl w:val="0"/>
          <w:numId w:val="2"/>
        </w:numPr>
        <w:spacing w:after="80"/>
      </w:pPr>
      <w:r>
        <w:rPr>
          <w:rFonts w:ascii="Arial" w:cs="Arial" w:eastAsia="Arial" w:hAnsi="Arial"/>
          <w:sz w:val="22"/>
          <w:szCs w:val="22"/>
        </w:rPr>
        <w:t xml:space="preserve">Development of a complete deep learning pipeline for binary sickle cell classification using clinically realistic Ugandan microscopy images.</w:t>
      </w:r>
    </w:p>
    <w:p>
      <w:pPr>
        <w:pStyle w:val="ListParagraph"/>
        <w:numPr>
          <w:ilvl w:val="0"/>
          <w:numId w:val="2"/>
        </w:numPr>
        <w:spacing w:after="80"/>
      </w:pPr>
      <w:r>
        <w:rPr>
          <w:rFonts w:ascii="Arial" w:cs="Arial" w:eastAsia="Arial" w:hAnsi="Arial"/>
          <w:sz w:val="22"/>
          <w:szCs w:val="22"/>
        </w:rPr>
        <w:t xml:space="preserve">Systematic comparison of three architectures: a baseline CNN trained from scratch, EfficientNet-B0 with transfer learning, and ResNet-50 with transfer learning.</w:t>
      </w:r>
    </w:p>
    <w:p>
      <w:pPr>
        <w:pStyle w:val="ListParagraph"/>
        <w:numPr>
          <w:ilvl w:val="0"/>
          <w:numId w:val="2"/>
        </w:numPr>
        <w:spacing w:after="80"/>
      </w:pPr>
      <w:r>
        <w:rPr>
          <w:rFonts w:ascii="Arial" w:cs="Arial" w:eastAsia="Arial" w:hAnsi="Arial"/>
          <w:sz w:val="22"/>
          <w:szCs w:val="22"/>
        </w:rPr>
        <w:t xml:space="preserve">Grad-CAM explainability analysis across all four prediction categories, including detailed error analysis of both misclassified test cases.</w:t>
      </w:r>
    </w:p>
    <w:p>
      <w:pPr>
        <w:pStyle w:val="ListParagraph"/>
        <w:numPr>
          <w:ilvl w:val="0"/>
          <w:numId w:val="2"/>
        </w:numPr>
        <w:spacing w:after="80"/>
      </w:pPr>
      <w:r>
        <w:rPr>
          <w:rFonts w:ascii="Arial" w:cs="Arial" w:eastAsia="Arial" w:hAnsi="Arial"/>
          <w:sz w:val="22"/>
          <w:szCs w:val="22"/>
        </w:rPr>
        <w:t xml:space="preserve">Deployment of the best model as a Gradio application on Hugging Face Spaces, demonstrating practical viability as a mobile-first screening tool.</w:t>
      </w:r>
    </w:p>
    <w:p>
      <w:pPr>
        <w:pStyle w:val="ListParagraph"/>
        <w:numPr>
          <w:ilvl w:val="0"/>
          <w:numId w:val="2"/>
        </w:numPr>
        <w:spacing w:after="80"/>
      </w:pPr>
      <w:r>
        <w:rPr>
          <w:rFonts w:ascii="Arial" w:cs="Arial" w:eastAsia="Arial" w:hAnsi="Arial"/>
          <w:sz w:val="22"/>
          <w:szCs w:val="22"/>
        </w:rPr>
        <w:t xml:space="preserve">Critical discussion of dataset limitations, domain gaps, and ethical considerations relevant to deployment in low-resource Ugandan settings.</w:t>
      </w:r>
    </w:p>
    <w:p>
      <w:pPr>
        <w:pStyle w:val="Heading1"/>
        <w:pBdr>
          <w:bottom w:val="single" w:color="2E4A7A" w:sz="6" w:space="1"/>
        </w:pBdr>
        <w:spacing w:after="160" w:before="360"/>
      </w:pPr>
      <w:r>
        <w:rPr>
          <w:rFonts w:ascii="Arial" w:cs="Arial" w:eastAsia="Arial" w:hAnsi="Arial"/>
          <w:b/>
          <w:bCs/>
          <w:color w:val="2E4A7A"/>
          <w:sz w:val="32"/>
          <w:szCs w:val="32"/>
        </w:rPr>
        <w:t xml:space="preserve">2. Related Work</w:t>
      </w:r>
    </w:p>
    <w:p>
      <w:pPr>
        <w:pStyle w:val="Heading2"/>
        <w:spacing w:after="120" w:before="280"/>
      </w:pPr>
      <w:r>
        <w:rPr>
          <w:rFonts w:ascii="Arial" w:cs="Arial" w:eastAsia="Arial" w:hAnsi="Arial"/>
          <w:b/>
          <w:bCs/>
          <w:color w:val="1A3A6A"/>
          <w:sz w:val="26"/>
          <w:szCs w:val="26"/>
        </w:rPr>
        <w:t xml:space="preserve">2.1 Deep Learning for Medical Image Classification</w:t>
      </w:r>
    </w:p>
    <w:p>
      <w:pPr>
        <w:spacing w:after="120" w:line="276"/>
        <w:jc w:val="both"/>
      </w:pPr>
      <w:r>
        <w:rPr>
          <w:rFonts w:ascii="Arial" w:cs="Arial" w:eastAsia="Arial" w:hAnsi="Arial"/>
          <w:sz w:val="22"/>
          <w:szCs w:val="22"/>
        </w:rPr>
        <w:t xml:space="preserve">Deep learning, and convolutional neural networks in particular, have fundamentally transformed medical image analysis over the past decade. Esteva et al. (2017) demonstrated dermatologist-level skin cancer classification using a deep CNN, establishing that deep learning could match specialist human performance in diagnostic imaging tasks. Rajpurkar et al. (2017) showed that DenseNet-121 could detect pneumonia from chest X-rays with radiologist-level accuracy. These foundational studies established the viability of deep learning as a clinical decision support tool.</w:t>
      </w:r>
    </w:p>
    <w:p>
      <w:pPr>
        <w:pStyle w:val="Heading2"/>
        <w:spacing w:after="120" w:before="280"/>
      </w:pPr>
      <w:r>
        <w:rPr>
          <w:rFonts w:ascii="Arial" w:cs="Arial" w:eastAsia="Arial" w:hAnsi="Arial"/>
          <w:b/>
          <w:bCs/>
          <w:color w:val="1A3A6A"/>
          <w:sz w:val="26"/>
          <w:szCs w:val="26"/>
        </w:rPr>
        <w:t xml:space="preserve">2.2 Transfer Learning in Medical Imaging</w:t>
      </w:r>
    </w:p>
    <w:p>
      <w:pPr>
        <w:spacing w:after="120" w:line="276"/>
        <w:jc w:val="both"/>
      </w:pPr>
      <w:r>
        <w:rPr>
          <w:rFonts w:ascii="Arial" w:cs="Arial" w:eastAsia="Arial" w:hAnsi="Arial"/>
          <w:sz w:val="22"/>
          <w:szCs w:val="22"/>
        </w:rPr>
        <w:t xml:space="preserve">Training deep learning models from scratch requires large labelled datasets that are rarely available in medical imaging contexts. Transfer learning addresses this limitation by leveraging feature representations learned from large general-purpose datasets such as ImageNet and fine-tuning them for specific medical tasks. Tajbakhsh et al. (2016) demonstrated that fine-tuned pretrained networks consistently outperformed networks trained from scratch across four medical imaging tasks, even with limited training data. Raghu et al. (2019) specifically examined transfer learning for medical imaging and found that features from ImageNet-pretrained networks transferred effectively to medical tasks despite the visual domain difference.</w:t>
      </w:r>
    </w:p>
    <w:p>
      <w:pPr>
        <w:pStyle w:val="Heading2"/>
        <w:spacing w:after="120" w:before="280"/>
      </w:pPr>
      <w:r>
        <w:rPr>
          <w:rFonts w:ascii="Arial" w:cs="Arial" w:eastAsia="Arial" w:hAnsi="Arial"/>
          <w:b/>
          <w:bCs/>
          <w:color w:val="1A3A6A"/>
          <w:sz w:val="26"/>
          <w:szCs w:val="26"/>
        </w:rPr>
        <w:t xml:space="preserve">2.3 Deep Learning for Blood Cell Analysis</w:t>
      </w:r>
    </w:p>
    <w:p>
      <w:pPr>
        <w:spacing w:after="120" w:line="276"/>
        <w:jc w:val="both"/>
      </w:pPr>
      <w:r>
        <w:rPr>
          <w:rFonts w:ascii="Arial" w:cs="Arial" w:eastAsia="Arial" w:hAnsi="Arial"/>
          <w:sz w:val="22"/>
          <w:szCs w:val="22"/>
        </w:rPr>
        <w:t xml:space="preserve">Automated blood cell analysis using deep learning has been an active research area since the availability of high-quality digital microscopy datasets. Acevedo et al. (2020) published a dataset of 17,092 annotated peripheral blood cell images and demonstrated automated classification across eight cell types. Liang et al. (2018) applied deep learning to white blood cell classification with over 98% accuracy. More recently, attention-based architectures and vision transformers have been applied to blood cell morphology analysis, demonstrating the richness of learnable features in microscopy images.</w:t>
      </w:r>
    </w:p>
    <w:p>
      <w:pPr>
        <w:pStyle w:val="Heading2"/>
        <w:spacing w:after="120" w:before="280"/>
      </w:pPr>
      <w:r>
        <w:rPr>
          <w:rFonts w:ascii="Arial" w:cs="Arial" w:eastAsia="Arial" w:hAnsi="Arial"/>
          <w:b/>
          <w:bCs/>
          <w:color w:val="1A3A6A"/>
          <w:sz w:val="26"/>
          <w:szCs w:val="26"/>
        </w:rPr>
        <w:t xml:space="preserve">2.4 Sickle Cell Detection with AI</w:t>
      </w:r>
    </w:p>
    <w:p>
      <w:pPr>
        <w:spacing w:after="120" w:line="276"/>
        <w:jc w:val="both"/>
      </w:pPr>
      <w:r>
        <w:rPr>
          <w:rFonts w:ascii="Arial" w:cs="Arial" w:eastAsia="Arial" w:hAnsi="Arial"/>
          <w:sz w:val="22"/>
          <w:szCs w:val="22"/>
        </w:rPr>
        <w:t xml:space="preserve">Several studies have specifically addressed automated sickle cell detection. Xu et al. (2019) applied a CNN to sickle cell detection in microfluidic deformability assay images. Poostchi et al. (2018) reviewed machine learning approaches for malaria parasite detection in blood smear images, establishing the feasibility of mobile-phone microscopy as an imaging platform for automated analysis. However, all prior sickle cell deep learning studies used datasets collected under controlled laboratory conditions in high-income countries. None used mobile-phone microscopy data from clinical settings in sub-Saharan Africa.</w:t>
      </w:r>
    </w:p>
    <w:p>
      <w:pPr>
        <w:pStyle w:val="Heading2"/>
        <w:spacing w:after="120" w:before="280"/>
      </w:pPr>
      <w:r>
        <w:rPr>
          <w:rFonts w:ascii="Arial" w:cs="Arial" w:eastAsia="Arial" w:hAnsi="Arial"/>
          <w:b/>
          <w:bCs/>
          <w:color w:val="1A3A6A"/>
          <w:sz w:val="26"/>
          <w:szCs w:val="26"/>
        </w:rPr>
        <w:t xml:space="preserve">2.5 AI in Low-Resource Healthcare Settings</w:t>
      </w:r>
    </w:p>
    <w:p>
      <w:pPr>
        <w:spacing w:after="120" w:line="276"/>
        <w:jc w:val="both"/>
      </w:pPr>
      <w:r>
        <w:rPr>
          <w:rFonts w:ascii="Arial" w:cs="Arial" w:eastAsia="Arial" w:hAnsi="Arial"/>
          <w:sz w:val="22"/>
          <w:szCs w:val="22"/>
        </w:rPr>
        <w:t xml:space="preserve">The application of deep learning to healthcare in low-resource settings has received increasing attention. Bejan et al. (2022) reviewed AI applications in sub-Saharan African healthcare, identifying a critical gap between the geographic distribution of AI model development and the regions with the greatest diagnostic burden. Abayomi-Alli et al. (2022) highlighted the need for datasets collected under real-world conditions in African healthcare settings, noting that models trained on images from high-income country hospitals show degraded performance when deployed in low-resource contexts. This project directly addresses this recommendation by using a dataset collected from Ugandan patients using the same mobile-phone microscopy setup that would be used in real-world deployment.</w:t>
      </w:r>
    </w:p>
    <w:p>
      <w:pPr>
        <w:pStyle w:val="Heading2"/>
        <w:spacing w:after="120" w:before="280"/>
      </w:pPr>
      <w:r>
        <w:rPr>
          <w:rFonts w:ascii="Arial" w:cs="Arial" w:eastAsia="Arial" w:hAnsi="Arial"/>
          <w:b/>
          <w:bCs/>
          <w:color w:val="1A3A6A"/>
          <w:sz w:val="26"/>
          <w:szCs w:val="26"/>
        </w:rPr>
        <w:t xml:space="preserve">2.6 Explainability in Medical AI</w:t>
      </w:r>
    </w:p>
    <w:p>
      <w:pPr>
        <w:spacing w:after="120" w:line="276"/>
        <w:jc w:val="both"/>
      </w:pPr>
      <w:r>
        <w:rPr>
          <w:rFonts w:ascii="Arial" w:cs="Arial" w:eastAsia="Arial" w:hAnsi="Arial"/>
          <w:sz w:val="22"/>
          <w:szCs w:val="22"/>
        </w:rPr>
        <w:t xml:space="preserve">The adoption of deep learning in clinical settings has been limited in part by the black-box nature of neural network predictions. Selvaraju et al. (2017) introduced Gradient-weighted Class Activation Mapping (Grad-CAM), which produces visual explanations by computing the gradient of the predicted class score with respect to the final convolutional layer feature maps. Grad-CAM has been widely applied in medical imaging to validate that models attend to clinically relevant regions, increasing clinician trust and facilitating regulatory approval. This project applies Grad-CAM to provide visual explanations for all predictions, a critical component for responsible deployment in clinical settings.</w:t>
      </w:r>
    </w:p>
    <w:p>
      <w:pPr>
        <w:pStyle w:val="Heading1"/>
        <w:pBdr>
          <w:bottom w:val="single" w:color="2E4A7A" w:sz="6" w:space="1"/>
        </w:pBdr>
        <w:spacing w:after="160" w:before="360"/>
      </w:pPr>
      <w:r>
        <w:rPr>
          <w:rFonts w:ascii="Arial" w:cs="Arial" w:eastAsia="Arial" w:hAnsi="Arial"/>
          <w:b/>
          <w:bCs/>
          <w:color w:val="2E4A7A"/>
          <w:sz w:val="32"/>
          <w:szCs w:val="32"/>
        </w:rPr>
        <w:t xml:space="preserve">3. Methodology</w:t>
      </w:r>
    </w:p>
    <w:p>
      <w:pPr>
        <w:pStyle w:val="Heading2"/>
        <w:spacing w:after="120" w:before="280"/>
      </w:pPr>
      <w:r>
        <w:rPr>
          <w:rFonts w:ascii="Arial" w:cs="Arial" w:eastAsia="Arial" w:hAnsi="Arial"/>
          <w:b/>
          <w:bCs/>
          <w:color w:val="1A3A6A"/>
          <w:sz w:val="26"/>
          <w:szCs w:val="26"/>
        </w:rPr>
        <w:t xml:space="preserve">3.1 Dataset</w:t>
      </w:r>
    </w:p>
    <w:p>
      <w:pPr>
        <w:spacing w:after="120" w:line="276"/>
        <w:jc w:val="both"/>
      </w:pPr>
      <w:r>
        <w:rPr>
          <w:rFonts w:ascii="Arial" w:cs="Arial" w:eastAsia="Arial" w:hAnsi="Arial"/>
          <w:sz w:val="22"/>
          <w:szCs w:val="22"/>
        </w:rPr>
        <w:t xml:space="preserve">Two datasets were combined to construct the training corpus for this study.</w:t>
      </w:r>
    </w:p>
    <w:p>
      <w:pPr>
        <w:spacing w:after="120" w:line="276"/>
        <w:jc w:val="both"/>
      </w:pPr>
      <w:r>
        <w:rPr>
          <w:rFonts w:ascii="Arial" w:cs="Arial" w:eastAsia="Arial" w:hAnsi="Arial"/>
          <w:sz w:val="22"/>
          <w:szCs w:val="22"/>
        </w:rPr>
        <w:t xml:space="preserve">The primary dataset is the Tushabe et al. (2024) Ugandan Sickle Cell Microscopy Dataset, published in Acta Scientific Microbiology. It contains blood smear images collected from patients in Soroti and Kumi districts, Uganda, using mobile phone cameras placed on the eyepiece of basic optical microscopes. The dataset includes both positive (sickle cell) and negative (normal) images, all bearing the characteristic circular border produced by mobile phone microscope capture. Critically, the labelled subset of positive images contained bounding box annotations burned directly into the image pixels rather than stored as separate annotation files. Following visual inspection during the exploratory data analysis phase, these labelled images were excluded from training to prevent the model from learning annotation artefacts. Only the 422 unlabelled positive images were retained.</w:t>
      </w:r>
    </w:p>
    <w:p>
      <w:pPr>
        <w:spacing w:after="120" w:line="276"/>
        <w:jc w:val="both"/>
      </w:pPr>
      <w:r>
        <w:rPr>
          <w:rFonts w:ascii="Arial" w:cs="Arial" w:eastAsia="Arial" w:hAnsi="Arial"/>
          <w:sz w:val="22"/>
          <w:szCs w:val="22"/>
        </w:rPr>
        <w:t xml:space="preserve">The supplementary dataset is the BCCD (Blood Cell Count and Detection) Dataset by Shenggan et al., distributed under the MIT License on GitHub. It contains 364 normal peripheral blood smear photographs captured under controlled laboratory conditions. These images served as the negative class supplement, providing additional normal examples for the classifier. Unlike the Tushabe images, BCCD images lack the circular microscope border, introducing a domain difference within the negative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806"/>
        <w:gridCol w:w="1806"/>
        <w:gridCol w:w="1806"/>
        <w:gridCol w:w="1352"/>
      </w:tblGrid>
      <w:tr>
        <w:tc>
          <w:tcPr>
            <w:tcW w:type="dxa" w:w="1805"/>
            <w:tcBorders>
              <w:top w:val="single" w:color="2E4A7A" w:sz="1"/>
              <w:left w:val="single" w:color="2E4A7A" w:sz="1"/>
              <w:bottom w:val="single" w:color="2E4A7A" w:sz="1"/>
              <w:right w:val="single" w:color="2E4A7A" w:sz="1"/>
            </w:tcBorders>
            <w:shd w:fill="2E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Source</w:t>
            </w:r>
          </w:p>
        </w:tc>
        <w:tc>
          <w:tcPr>
            <w:tcW w:type="dxa" w:w="1805"/>
            <w:tcBorders>
              <w:top w:val="single" w:color="2E4A7A" w:sz="1"/>
              <w:left w:val="single" w:color="2E4A7A" w:sz="1"/>
              <w:bottom w:val="single" w:color="2E4A7A" w:sz="1"/>
              <w:right w:val="single" w:color="2E4A7A" w:sz="1"/>
            </w:tcBorders>
            <w:shd w:fill="2E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Class</w:t>
            </w:r>
          </w:p>
        </w:tc>
        <w:tc>
          <w:tcPr>
            <w:tcW w:type="dxa" w:w="1805"/>
            <w:tcBorders>
              <w:top w:val="single" w:color="2E4A7A" w:sz="1"/>
              <w:left w:val="single" w:color="2E4A7A" w:sz="1"/>
              <w:bottom w:val="single" w:color="2E4A7A" w:sz="1"/>
              <w:right w:val="single" w:color="2E4A7A" w:sz="1"/>
            </w:tcBorders>
            <w:shd w:fill="2E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Raw Images</w:t>
            </w:r>
          </w:p>
        </w:tc>
        <w:tc>
          <w:tcPr>
            <w:tcW w:type="dxa" w:w="1805"/>
            <w:tcBorders>
              <w:top w:val="single" w:color="2E4A7A" w:sz="1"/>
              <w:left w:val="single" w:color="2E4A7A" w:sz="1"/>
              <w:bottom w:val="single" w:color="2E4A7A" w:sz="1"/>
              <w:right w:val="single" w:color="2E4A7A" w:sz="1"/>
            </w:tcBorders>
            <w:shd w:fill="2E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Split Use</w:t>
            </w:r>
          </w:p>
        </w:tc>
        <w:tc>
          <w:tcPr>
            <w:tcW w:type="dxa" w:w="1805"/>
            <w:tcBorders>
              <w:top w:val="single" w:color="2E4A7A" w:sz="1"/>
              <w:left w:val="single" w:color="2E4A7A" w:sz="1"/>
              <w:bottom w:val="single" w:color="2E4A7A" w:sz="1"/>
              <w:right w:val="single" w:color="2E4A7A" w:sz="1"/>
            </w:tcBorders>
            <w:shd w:fill="2E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1805"/>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Tushabe (2024)</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Positive</w:t>
            </w:r>
          </w:p>
        </w:tc>
        <w:tc>
          <w:tcPr>
            <w:tcW w:type="dxa" w:w="1805"/>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422</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Training/Val/Test</w:t>
            </w:r>
          </w:p>
        </w:tc>
        <w:tc>
          <w:tcPr>
            <w:tcW w:type="dxa" w:w="1805"/>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Unlabelled only</w:t>
            </w:r>
          </w:p>
        </w:tc>
      </w:tr>
      <w:tr>
        <w:tc>
          <w:tcPr>
            <w:tcW w:type="dxa" w:w="1805"/>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Tushabe (2024)</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Negative</w:t>
            </w:r>
          </w:p>
        </w:tc>
        <w:tc>
          <w:tcPr>
            <w:tcW w:type="dxa" w:w="1805"/>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147</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Training/Val/Test</w:t>
            </w:r>
          </w:p>
        </w:tc>
        <w:tc>
          <w:tcPr>
            <w:tcW w:type="dxa" w:w="1805"/>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Mobile phone</w:t>
            </w:r>
          </w:p>
        </w:tc>
      </w:tr>
      <w:tr>
        <w:tc>
          <w:tcPr>
            <w:tcW w:type="dxa" w:w="1805"/>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BCCD Dataset</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Negative</w:t>
            </w:r>
          </w:p>
        </w:tc>
        <w:tc>
          <w:tcPr>
            <w:tcW w:type="dxa" w:w="1805"/>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364</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Training/Val/Test</w:t>
            </w:r>
          </w:p>
        </w:tc>
        <w:tc>
          <w:tcPr>
            <w:tcW w:type="dxa" w:w="1805"/>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Lab camera</w:t>
            </w:r>
          </w:p>
        </w:tc>
      </w:tr>
      <w:tr>
        <w:tc>
          <w:tcPr>
            <w:tcW w:type="dxa" w:w="1805"/>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Total</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Both</w:t>
            </w:r>
          </w:p>
        </w:tc>
        <w:tc>
          <w:tcPr>
            <w:tcW w:type="dxa" w:w="1805"/>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933</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653/140/140</w:t>
            </w:r>
          </w:p>
        </w:tc>
        <w:tc>
          <w:tcPr>
            <w:tcW w:type="dxa" w:w="1805"/>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70/15/15 split</w:t>
            </w:r>
          </w:p>
        </w:tc>
      </w:tr>
    </w:tbl>
    <w:p>
      <w:pPr>
        <w:spacing w:after="200" w:before="80"/>
        <w:jc w:val="center"/>
      </w:pPr>
      <w:r>
        <w:rPr>
          <w:rFonts w:ascii="Arial" w:cs="Arial" w:eastAsia="Arial" w:hAnsi="Arial"/>
          <w:i/>
          <w:iCs/>
          <w:color w:val="666666"/>
          <w:sz w:val="18"/>
          <w:szCs w:val="18"/>
        </w:rPr>
        <w:t xml:space="preserve">Table 1: Dataset composition and split distribution.</w:t>
      </w:r>
    </w:p>
    <w:p>
      <w:pPr>
        <w:pStyle w:val="Heading2"/>
        <w:spacing w:after="120" w:before="280"/>
      </w:pPr>
      <w:r>
        <w:rPr>
          <w:rFonts w:ascii="Arial" w:cs="Arial" w:eastAsia="Arial" w:hAnsi="Arial"/>
          <w:b/>
          <w:bCs/>
          <w:color w:val="1A3A6A"/>
          <w:sz w:val="26"/>
          <w:szCs w:val="26"/>
        </w:rPr>
        <w:t xml:space="preserve">3.2 Exploratory Data Analysis</w:t>
      </w:r>
    </w:p>
    <w:p>
      <w:pPr>
        <w:spacing w:after="120" w:line="276"/>
        <w:jc w:val="both"/>
      </w:pPr>
      <w:r>
        <w:rPr>
          <w:rFonts w:ascii="Arial" w:cs="Arial" w:eastAsia="Arial" w:hAnsi="Arial"/>
          <w:sz w:val="22"/>
          <w:szCs w:val="22"/>
        </w:rPr>
        <w:t xml:space="preserve">Comprehensive exploratory data analysis was conducted prior to model development. Key findings included significant image size variation, with positive images ranging from 990x750 to 3122x3094 pixels (mean 1060x1068) and negative images ranging from 640x480 to 1000x1116 pixels (mean 935x919), reflecting the different imaging conditions between the two sources. Pixel intensity analysis revealed comparable mean intensities between classes (159.6 for positive, 157.0 for negative), suggesting that brightness alone would not be a strong discriminating feature. All 933 images passed a quality check with zero corrupted, non-RGB, or undersized files identified.</w:t>
      </w:r>
    </w:p>
    <w:p>
      <w:pPr>
        <w:pStyle w:val="Heading2"/>
        <w:spacing w:after="120" w:before="280"/>
      </w:pPr>
      <w:r>
        <w:rPr>
          <w:rFonts w:ascii="Arial" w:cs="Arial" w:eastAsia="Arial" w:hAnsi="Arial"/>
          <w:b/>
          <w:bCs/>
          <w:color w:val="1A3A6A"/>
          <w:sz w:val="26"/>
          <w:szCs w:val="26"/>
        </w:rPr>
        <w:t xml:space="preserve">3.3 Preprocessing Pipeline</w:t>
      </w:r>
    </w:p>
    <w:p>
      <w:pPr>
        <w:spacing w:after="120" w:line="276"/>
        <w:jc w:val="both"/>
      </w:pPr>
      <w:r>
        <w:rPr>
          <w:rFonts w:ascii="Arial" w:cs="Arial" w:eastAsia="Arial" w:hAnsi="Arial"/>
          <w:sz w:val="22"/>
          <w:szCs w:val="22"/>
        </w:rPr>
        <w:t xml:space="preserve">All images were resized to 224x224 pixels to match the input requirements of EfficientNet-B0 and ResNet-50. Normalisation was applied using ImageNet mean values [0.485, 0.456, 0.406] and standard deviation values [0.229, 0.224, 0.225], as both pretrained architectures were originally trained on ImageNet. The dataset was split using a stratified 70/15/15 train/validation/test ratio to preserve class proportions across all three sets.</w:t>
      </w:r>
    </w:p>
    <w:p>
      <w:pPr>
        <w:spacing w:after="120" w:line="276"/>
        <w:jc w:val="both"/>
      </w:pPr>
      <w:r>
        <w:rPr>
          <w:rFonts w:ascii="Arial" w:cs="Arial" w:eastAsia="Arial" w:hAnsi="Arial"/>
          <w:sz w:val="22"/>
          <w:szCs w:val="22"/>
        </w:rPr>
        <w:t xml:space="preserve">Data augmentation was applied exclusively to the training set using a clinically motivated strategy. Random horizontal and vertical flips were applied since blood smear cells appear at any orientation. Random rotation up to 180 degrees addressed the absence of a fixed microscope slide orientation. Colour jitter with brightness variation of 0.3, contrast variation of 0.3, saturation variation of 0.2, and hue variation of 0.1 simulated the lighting inconsistency characteristic of mobile phone cameras in field conditions. Random resized cropping with a scale range of 0.8 to 1.0 simulated variation in microscope zoom level.</w:t>
      </w:r>
    </w:p>
    <w:p>
      <w:pPr>
        <w:spacing w:after="120" w:line="276"/>
        <w:jc w:val="both"/>
      </w:pPr>
      <w:r>
        <w:rPr>
          <w:rFonts w:ascii="Arial" w:cs="Arial" w:eastAsia="Arial" w:hAnsi="Arial"/>
          <w:sz w:val="22"/>
          <w:szCs w:val="22"/>
        </w:rPr>
        <w:t xml:space="preserve">Class imbalance was addressed through two complementary strategies. A WeightedRandomSampler was applied to the training DataLoader, assigning each class a weight inversely proportional to its count (2.6508 for negative, 1.6058 for positive), ensuring approximately equal class representation in each training batch. A weighted Binary Cross-Entropy loss function with pos_weight of 1.2061 was used during training to further penalise misclassification of the minority class.</w:t>
      </w:r>
    </w:p>
    <w:p>
      <w:pPr>
        <w:pStyle w:val="Heading2"/>
        <w:spacing w:after="120" w:before="280"/>
      </w:pPr>
      <w:r>
        <w:rPr>
          <w:rFonts w:ascii="Arial" w:cs="Arial" w:eastAsia="Arial" w:hAnsi="Arial"/>
          <w:b/>
          <w:bCs/>
          <w:color w:val="1A3A6A"/>
          <w:sz w:val="26"/>
          <w:szCs w:val="26"/>
        </w:rPr>
        <w:t xml:space="preserve">3.4 Model Architectures</w:t>
      </w:r>
    </w:p>
    <w:p>
      <w:pPr>
        <w:spacing w:after="120" w:line="276"/>
        <w:jc w:val="both"/>
      </w:pPr>
      <w:r>
        <w:rPr>
          <w:rFonts w:ascii="Arial" w:cs="Arial" w:eastAsia="Arial" w:hAnsi="Arial"/>
          <w:sz w:val="22"/>
          <w:szCs w:val="22"/>
        </w:rPr>
        <w:t xml:space="preserve">Three model architectures were developed and compared.</w:t>
      </w:r>
    </w:p>
    <w:p>
      <w:pPr>
        <w:spacing w:after="120" w:line="276"/>
        <w:jc w:val="both"/>
      </w:pPr>
      <w:r>
        <w:rPr>
          <w:rFonts w:ascii="Arial" w:cs="Arial" w:eastAsia="Arial" w:hAnsi="Arial"/>
          <w:sz w:val="22"/>
          <w:szCs w:val="22"/>
        </w:rPr>
        <w:t xml:space="preserve">Baseline CNN: A simple three-block convolutional network trained entirely from scratch with no pretrained weights. Each block comprised a convolutional layer, batch normalisation, ReLU activation, and max pooling, with filter counts of 32, 64, and 128 respectively. The classifier head used dropout regularisation (0.5 and 0.3) followed by two fully connected layers. This model contained 25,784,321 trainable parameters and served purely as a performance floor.</w:t>
      </w:r>
    </w:p>
    <w:p>
      <w:pPr>
        <w:spacing w:after="120" w:line="276"/>
        <w:jc w:val="both"/>
      </w:pPr>
      <w:r>
        <w:rPr>
          <w:rFonts w:ascii="Arial" w:cs="Arial" w:eastAsia="Arial" w:hAnsi="Arial"/>
          <w:sz w:val="22"/>
          <w:szCs w:val="22"/>
        </w:rPr>
        <w:t xml:space="preserve">EfficientNet-B0: EfficientNet-B0 pretrained on ImageNet was selected for its compound scaling design, which uniformly scales network depth, width, and resolution to achieve strong performance with relatively few parameters (4,008,829 total). The original classifier head was replaced with a binary output layer with 0.3 dropout. Both frozen backbone (only classifier head trained) and unfrozen backbone (full fine-tuning) strategies were evaluated, with the unfrozen approach selected as the primary model based on validation performance.</w:t>
      </w:r>
    </w:p>
    <w:p>
      <w:pPr>
        <w:spacing w:after="120" w:line="276"/>
        <w:jc w:val="both"/>
      </w:pPr>
      <w:r>
        <w:rPr>
          <w:rFonts w:ascii="Arial" w:cs="Arial" w:eastAsia="Arial" w:hAnsi="Arial"/>
          <w:sz w:val="22"/>
          <w:szCs w:val="22"/>
        </w:rPr>
        <w:t xml:space="preserve">ResNet-50: ResNet-50 pretrained on ImageNet was selected for its residual connections, which facilitate gradient flow through deep networks and have proven particularly effective in medical image classification tasks. The architecture contains 23,510,081 parameters. The final fully connected layer was replaced with a binary classifier with 0.3 dropout. Both frozen and unfrozen backbone strategies were evaluated, with the unfrozen approach selected.</w:t>
      </w:r>
    </w:p>
    <w:p>
      <w:pPr>
        <w:pStyle w:val="Heading2"/>
        <w:spacing w:after="120" w:before="280"/>
      </w:pPr>
      <w:r>
        <w:rPr>
          <w:rFonts w:ascii="Arial" w:cs="Arial" w:eastAsia="Arial" w:hAnsi="Arial"/>
          <w:b/>
          <w:bCs/>
          <w:color w:val="1A3A6A"/>
          <w:sz w:val="26"/>
          <w:szCs w:val="26"/>
        </w:rPr>
        <w:t xml:space="preserve">3.5 Training Configuration</w:t>
      </w:r>
    </w:p>
    <w:p>
      <w:pPr>
        <w:spacing w:after="120" w:line="276"/>
        <w:jc w:val="both"/>
      </w:pPr>
      <w:r>
        <w:rPr>
          <w:rFonts w:ascii="Arial" w:cs="Arial" w:eastAsia="Arial" w:hAnsi="Arial"/>
          <w:sz w:val="22"/>
          <w:szCs w:val="22"/>
        </w:rPr>
        <w:t xml:space="preserve">All models were trained using the Adam optimiser with a learning rate of 1e-3 for baseline and frozen transfer learning models, and 1e-4 for unfrozen transfer learning models. The lower learning rate for fine-tuning is standard practice to avoid destroying pretrained representations through excessively large gradient updates. A ReduceLROnPlateau scheduler reduced the learning rate by a factor of 0.5 when validation loss plateaued for five consecutive epochs. Early stopping with a patience of 10 epochs was applied throughout, saving the best model weights based on minimum validation loss. Maximum training epochs were set at 50 for all models. All experiments were conducted on a Tesla T4 GPU via Google Colab.</w:t>
      </w:r>
    </w:p>
    <w:p>
      <w:pPr>
        <w:pStyle w:val="Heading2"/>
        <w:spacing w:after="120" w:before="280"/>
      </w:pPr>
      <w:r>
        <w:rPr>
          <w:rFonts w:ascii="Arial" w:cs="Arial" w:eastAsia="Arial" w:hAnsi="Arial"/>
          <w:b/>
          <w:bCs/>
          <w:color w:val="1A3A6A"/>
          <w:sz w:val="26"/>
          <w:szCs w:val="26"/>
        </w:rPr>
        <w:t xml:space="preserve">3.6 Evaluation Metrics</w:t>
      </w:r>
    </w:p>
    <w:p>
      <w:pPr>
        <w:spacing w:after="120" w:line="276"/>
        <w:jc w:val="both"/>
      </w:pPr>
      <w:r>
        <w:rPr>
          <w:rFonts w:ascii="Arial" w:cs="Arial" w:eastAsia="Arial" w:hAnsi="Arial"/>
          <w:sz w:val="22"/>
          <w:szCs w:val="22"/>
        </w:rPr>
        <w:t xml:space="preserve">Models were evaluated on the held-out test set of 140 images using five primary metrics. Accuracy measures the overall proportion of correctly classified images. AUC-ROC measures discriminative ability across all decision thresholds and is particularly informative for imbalanced datasets. F1 Score measures the harmonic mean of precision and recall. Sensitivity (recall for the positive class) is the most clinically critical metric — missing a sickle cell patient carries greater health consequences than over-referring a normal patient. Specificity measures the proportion of normal cases correctly identified. Confusion matrices were generated for all models to provide a complete breakdown of prediction errors.</w:t>
      </w:r>
    </w:p>
    <w:p>
      <w:pPr>
        <w:pStyle w:val="Heading2"/>
        <w:spacing w:after="120" w:before="280"/>
      </w:pPr>
      <w:r>
        <w:rPr>
          <w:rFonts w:ascii="Arial" w:cs="Arial" w:eastAsia="Arial" w:hAnsi="Arial"/>
          <w:b/>
          <w:bCs/>
          <w:color w:val="1A3A6A"/>
          <w:sz w:val="26"/>
          <w:szCs w:val="26"/>
        </w:rPr>
        <w:t xml:space="preserve">3.7 Grad-CAM Explainability</w:t>
      </w:r>
    </w:p>
    <w:p>
      <w:pPr>
        <w:spacing w:after="120" w:line="276"/>
        <w:jc w:val="both"/>
      </w:pPr>
      <w:r>
        <w:rPr>
          <w:rFonts w:ascii="Arial" w:cs="Arial" w:eastAsia="Arial" w:hAnsi="Arial"/>
          <w:sz w:val="22"/>
          <w:szCs w:val="22"/>
        </w:rPr>
        <w:t xml:space="preserve">Gradient-weighted Class Activation Mapping (Grad-CAM) was applied to ResNet-50 to visualise the regions of each input image that most influenced the model's prediction. PyTorch backward hooks were registered on the final convolutional block (layer4) to capture gradients and feature map activations. The Grad-CAM heatmap was computed by weighting each feature map channel by the mean gradient of the predicted class score with respect to that channel, applying ReLU to retain only positive contributions, and resizing to the input image dimensions. Heatmaps were generated for examples from all four prediction categories: true positives, true negatives, false positives, and false negatives.</w:t>
      </w:r>
    </w:p>
    <w:p>
      <w:pPr>
        <w:pStyle w:val="Heading1"/>
        <w:pBdr>
          <w:bottom w:val="single" w:color="2E4A7A" w:sz="6" w:space="1"/>
        </w:pBdr>
        <w:spacing w:after="160" w:before="360"/>
      </w:pPr>
      <w:r>
        <w:rPr>
          <w:rFonts w:ascii="Arial" w:cs="Arial" w:eastAsia="Arial" w:hAnsi="Arial"/>
          <w:b/>
          <w:bCs/>
          <w:color w:val="2E4A7A"/>
          <w:sz w:val="32"/>
          <w:szCs w:val="32"/>
        </w:rPr>
        <w:t xml:space="preserve">4. Results</w:t>
      </w:r>
    </w:p>
    <w:p>
      <w:pPr>
        <w:pStyle w:val="Heading2"/>
        <w:spacing w:after="120" w:before="280"/>
      </w:pPr>
      <w:r>
        <w:rPr>
          <w:rFonts w:ascii="Arial" w:cs="Arial" w:eastAsia="Arial" w:hAnsi="Arial"/>
          <w:b/>
          <w:bCs/>
          <w:color w:val="1A3A6A"/>
          <w:sz w:val="26"/>
          <w:szCs w:val="26"/>
        </w:rPr>
        <w:t xml:space="preserve">4.1 Baseline CNN</w:t>
      </w:r>
    </w:p>
    <w:p>
      <w:pPr>
        <w:spacing w:after="120" w:line="276"/>
        <w:jc w:val="both"/>
      </w:pPr>
      <w:r>
        <w:rPr>
          <w:rFonts w:ascii="Arial" w:cs="Arial" w:eastAsia="Arial" w:hAnsi="Arial"/>
          <w:sz w:val="22"/>
          <w:szCs w:val="22"/>
        </w:rPr>
        <w:t xml:space="preserve">The baseline CNN trained for 37 epochs before early stopping was triggered, with the best model saved at epoch 27 (validation loss 0.2578). The model achieved 87.86% accuracy, AUC-ROC of 0.9588, sensitivity of 95.24%, and specificity of 81.82% on the test set. Despite being trained entirely from scratch on 653 training images, the model demonstrated strong sensitivity, correctly identifying 60 out of 63 sickle cell cases. However, 14 false positives — normal images incorrectly flagged as sickle cell — reflected the model's difficulty in reliably discriminating normal smears without pretrained feature representations. The training curves showed characteristic overfitting, with training accuracy climbing to 96.17% while validation accuracy plateaued with high noise around 87-90%, confirming that a purely from-scratch approach struggles on this dataset size.</w:t>
      </w:r>
    </w:p>
    <w:p>
      <w:pPr>
        <w:pStyle w:val="Heading2"/>
        <w:spacing w:after="120" w:before="280"/>
      </w:pPr>
      <w:r>
        <w:rPr>
          <w:rFonts w:ascii="Arial" w:cs="Arial" w:eastAsia="Arial" w:hAnsi="Arial"/>
          <w:b/>
          <w:bCs/>
          <w:color w:val="1A3A6A"/>
          <w:sz w:val="26"/>
          <w:szCs w:val="26"/>
        </w:rPr>
        <w:t xml:space="preserve">4.2 EfficientNet-B0</w:t>
      </w:r>
    </w:p>
    <w:p>
      <w:pPr>
        <w:spacing w:after="120" w:line="276"/>
        <w:jc w:val="both"/>
      </w:pPr>
      <w:r>
        <w:rPr>
          <w:rFonts w:ascii="Arial" w:cs="Arial" w:eastAsia="Arial" w:hAnsi="Arial"/>
          <w:sz w:val="22"/>
          <w:szCs w:val="22"/>
        </w:rPr>
        <w:t xml:space="preserve">The unfrozen EfficientNet-B0 model trained for 22 epochs before early stopping (best epoch 12, validation loss 0.2112). Test set performance showed substantial improvements over the baseline: accuracy of 96.43%, AUC-ROC of 0.9951, sensitivity of 95.24%, and specificity of 97.40%. The most striking improvement was in specificity and precision — false positives dropped from 14 in the baseline to just 2, demonstrating that pretrained ImageNet features provided far more reliable representations for distinguishing normal smears. The comparison between frozen backbone (validation loss 0.2973) and unfrozen backbone (validation loss 0.2112) confirmed that full fine-tuning was necessary to adapt the pretrained features to blood smear microscopy images.</w:t>
      </w:r>
    </w:p>
    <w:p>
      <w:pPr>
        <w:pStyle w:val="Heading2"/>
        <w:spacing w:after="120" w:before="280"/>
      </w:pPr>
      <w:r>
        <w:rPr>
          <w:rFonts w:ascii="Arial" w:cs="Arial" w:eastAsia="Arial" w:hAnsi="Arial"/>
          <w:b/>
          <w:bCs/>
          <w:color w:val="1A3A6A"/>
          <w:sz w:val="26"/>
          <w:szCs w:val="26"/>
        </w:rPr>
        <w:t xml:space="preserve">4.3 ResNet-50</w:t>
      </w:r>
    </w:p>
    <w:p>
      <w:pPr>
        <w:spacing w:after="120" w:line="276"/>
        <w:jc w:val="both"/>
      </w:pPr>
      <w:r>
        <w:rPr>
          <w:rFonts w:ascii="Arial" w:cs="Arial" w:eastAsia="Arial" w:hAnsi="Arial"/>
          <w:sz w:val="22"/>
          <w:szCs w:val="22"/>
        </w:rPr>
        <w:t xml:space="preserve">The unfrozen ResNet-50 model trained for 25 epochs before early stopping (best epoch 15, validation loss 0.2354). Despite exhibiting noisier validation curves during training than EfficientNet-B0 — attributable to its larger parameter count being fine-tuned on a limited dataset — ResNet-50 achieved the strongest test set performance across all metrics: accuracy of 98.57%, AUC-ROC of 0.9973, F1 score of 0.9841, sensitivity of 98.41%, and specificity of 98.70%. Only 2 errors were made on 140 test images — 1 false positive and 1 false negative — representing a 98.6% reduction in total errors compared to the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354"/>
        <w:gridCol w:w="1154"/>
        <w:gridCol w:w="1354"/>
        <w:gridCol w:w="1354"/>
        <w:gridCol w:w="1154"/>
        <w:gridCol w:w="400"/>
      </w:tblGrid>
      <w:tr>
        <w:tc>
          <w:tcPr>
            <w:tcW w:type="dxa" w:w="1289"/>
            <w:tcBorders>
              <w:top w:val="single" w:color="2E4A7A" w:sz="1"/>
              <w:left w:val="single" w:color="2E4A7A" w:sz="1"/>
              <w:bottom w:val="single" w:color="2E4A7A" w:sz="1"/>
              <w:right w:val="single" w:color="2E4A7A" w:sz="1"/>
            </w:tcBorders>
            <w:shd w:fill="2E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Model</w:t>
            </w:r>
          </w:p>
        </w:tc>
        <w:tc>
          <w:tcPr>
            <w:tcW w:type="dxa" w:w="1289"/>
            <w:tcBorders>
              <w:top w:val="single" w:color="2E4A7A" w:sz="1"/>
              <w:left w:val="single" w:color="2E4A7A" w:sz="1"/>
              <w:bottom w:val="single" w:color="2E4A7A" w:sz="1"/>
              <w:right w:val="single" w:color="2E4A7A" w:sz="1"/>
            </w:tcBorders>
            <w:shd w:fill="2E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Accuracy</w:t>
            </w:r>
          </w:p>
        </w:tc>
        <w:tc>
          <w:tcPr>
            <w:tcW w:type="dxa" w:w="1289"/>
            <w:tcBorders>
              <w:top w:val="single" w:color="2E4A7A" w:sz="1"/>
              <w:left w:val="single" w:color="2E4A7A" w:sz="1"/>
              <w:bottom w:val="single" w:color="2E4A7A" w:sz="1"/>
              <w:right w:val="single" w:color="2E4A7A" w:sz="1"/>
            </w:tcBorders>
            <w:shd w:fill="2E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AUC-ROC</w:t>
            </w:r>
          </w:p>
        </w:tc>
        <w:tc>
          <w:tcPr>
            <w:tcW w:type="dxa" w:w="1289"/>
            <w:tcBorders>
              <w:top w:val="single" w:color="2E4A7A" w:sz="1"/>
              <w:left w:val="single" w:color="2E4A7A" w:sz="1"/>
              <w:bottom w:val="single" w:color="2E4A7A" w:sz="1"/>
              <w:right w:val="single" w:color="2E4A7A" w:sz="1"/>
            </w:tcBorders>
            <w:shd w:fill="2E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Sensitivity</w:t>
            </w:r>
          </w:p>
        </w:tc>
        <w:tc>
          <w:tcPr>
            <w:tcW w:type="dxa" w:w="1289"/>
            <w:tcBorders>
              <w:top w:val="single" w:color="2E4A7A" w:sz="1"/>
              <w:left w:val="single" w:color="2E4A7A" w:sz="1"/>
              <w:bottom w:val="single" w:color="2E4A7A" w:sz="1"/>
              <w:right w:val="single" w:color="2E4A7A" w:sz="1"/>
            </w:tcBorders>
            <w:shd w:fill="2E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Specificity</w:t>
            </w:r>
          </w:p>
        </w:tc>
        <w:tc>
          <w:tcPr>
            <w:tcW w:type="dxa" w:w="1289"/>
            <w:tcBorders>
              <w:top w:val="single" w:color="2E4A7A" w:sz="1"/>
              <w:left w:val="single" w:color="2E4A7A" w:sz="1"/>
              <w:bottom w:val="single" w:color="2E4A7A" w:sz="1"/>
              <w:right w:val="single" w:color="2E4A7A" w:sz="1"/>
            </w:tcBorders>
            <w:shd w:fill="2E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F1 Score</w:t>
            </w:r>
          </w:p>
        </w:tc>
        <w:tc>
          <w:tcPr>
            <w:tcW w:type="dxa" w:w="1289"/>
            <w:tcBorders>
              <w:top w:val="single" w:color="2E4A7A" w:sz="1"/>
              <w:left w:val="single" w:color="2E4A7A" w:sz="1"/>
              <w:bottom w:val="single" w:color="2E4A7A" w:sz="1"/>
              <w:right w:val="single" w:color="2E4A7A" w:sz="1"/>
            </w:tcBorders>
            <w:shd w:fill="2E4A7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Errors</w:t>
            </w:r>
          </w:p>
        </w:tc>
      </w:tr>
      <w:tr>
        <w:tc>
          <w:tcPr>
            <w:tcW w:type="dxa" w:w="1289"/>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Baseline CNN</w:t>
            </w:r>
          </w:p>
        </w:tc>
        <w:tc>
          <w:tcPr>
            <w:tcW w:type="dxa" w:w="1289"/>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87.86%</w:t>
            </w:r>
          </w:p>
        </w:tc>
        <w:tc>
          <w:tcPr>
            <w:tcW w:type="dxa" w:w="1289"/>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0.9588</w:t>
            </w:r>
          </w:p>
        </w:tc>
        <w:tc>
          <w:tcPr>
            <w:tcW w:type="dxa" w:w="1289"/>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95.24%</w:t>
            </w:r>
          </w:p>
        </w:tc>
        <w:tc>
          <w:tcPr>
            <w:tcW w:type="dxa" w:w="1289"/>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81.82%</w:t>
            </w:r>
          </w:p>
        </w:tc>
        <w:tc>
          <w:tcPr>
            <w:tcW w:type="dxa" w:w="1289"/>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0.8759</w:t>
            </w:r>
          </w:p>
        </w:tc>
        <w:tc>
          <w:tcPr>
            <w:tcW w:type="dxa" w:w="1289"/>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17</w:t>
            </w:r>
          </w:p>
        </w:tc>
      </w:tr>
      <w:tr>
        <w:tc>
          <w:tcPr>
            <w:tcW w:type="dxa" w:w="1289"/>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EfficientNet-B0</w:t>
            </w:r>
          </w:p>
        </w:tc>
        <w:tc>
          <w:tcPr>
            <w:tcW w:type="dxa" w:w="1289"/>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96.43%</w:t>
            </w:r>
          </w:p>
        </w:tc>
        <w:tc>
          <w:tcPr>
            <w:tcW w:type="dxa" w:w="1289"/>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0.9951</w:t>
            </w:r>
          </w:p>
        </w:tc>
        <w:tc>
          <w:tcPr>
            <w:tcW w:type="dxa" w:w="1289"/>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95.24%</w:t>
            </w:r>
          </w:p>
        </w:tc>
        <w:tc>
          <w:tcPr>
            <w:tcW w:type="dxa" w:w="1289"/>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97.40%</w:t>
            </w:r>
          </w:p>
        </w:tc>
        <w:tc>
          <w:tcPr>
            <w:tcW w:type="dxa" w:w="1289"/>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0.9600</w:t>
            </w:r>
          </w:p>
        </w:tc>
        <w:tc>
          <w:tcPr>
            <w:tcW w:type="dxa" w:w="1289"/>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5</w:t>
            </w:r>
          </w:p>
        </w:tc>
      </w:tr>
      <w:tr>
        <w:tc>
          <w:tcPr>
            <w:tcW w:type="dxa" w:w="1289"/>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ResNet-50</w:t>
            </w:r>
          </w:p>
        </w:tc>
        <w:tc>
          <w:tcPr>
            <w:tcW w:type="dxa" w:w="1289"/>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98.57%</w:t>
            </w:r>
          </w:p>
        </w:tc>
        <w:tc>
          <w:tcPr>
            <w:tcW w:type="dxa" w:w="1289"/>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0.9973</w:t>
            </w:r>
          </w:p>
        </w:tc>
        <w:tc>
          <w:tcPr>
            <w:tcW w:type="dxa" w:w="1289"/>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98.41%</w:t>
            </w:r>
          </w:p>
        </w:tc>
        <w:tc>
          <w:tcPr>
            <w:tcW w:type="dxa" w:w="1289"/>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98.70%</w:t>
            </w:r>
          </w:p>
        </w:tc>
        <w:tc>
          <w:tcPr>
            <w:tcW w:type="dxa" w:w="1289"/>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0.9841</w:t>
            </w:r>
          </w:p>
        </w:tc>
        <w:tc>
          <w:tcPr>
            <w:tcW w:type="dxa" w:w="1289"/>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2</w:t>
            </w:r>
          </w:p>
        </w:tc>
      </w:tr>
    </w:tbl>
    <w:p>
      <w:pPr>
        <w:spacing w:after="200" w:before="80"/>
        <w:jc w:val="center"/>
      </w:pPr>
      <w:r>
        <w:rPr>
          <w:rFonts w:ascii="Arial" w:cs="Arial" w:eastAsia="Arial" w:hAnsi="Arial"/>
          <w:i/>
          <w:iCs/>
          <w:color w:val="666666"/>
          <w:sz w:val="18"/>
          <w:szCs w:val="18"/>
        </w:rPr>
        <w:t xml:space="preserve">Table 2: Comparative performance of all three models on the held-out test set (140 images).</w:t>
      </w:r>
    </w:p>
    <w:p>
      <w:pPr>
        <w:pStyle w:val="Heading2"/>
        <w:spacing w:after="120" w:before="280"/>
      </w:pPr>
      <w:r>
        <w:rPr>
          <w:rFonts w:ascii="Arial" w:cs="Arial" w:eastAsia="Arial" w:hAnsi="Arial"/>
          <w:b/>
          <w:bCs/>
          <w:color w:val="1A3A6A"/>
          <w:sz w:val="26"/>
          <w:szCs w:val="26"/>
        </w:rPr>
        <w:t xml:space="preserve">4.4 Grad-CAM Analysis</w:t>
      </w:r>
    </w:p>
    <w:p>
      <w:pPr>
        <w:spacing w:after="120" w:line="276"/>
        <w:jc w:val="both"/>
      </w:pPr>
      <w:r>
        <w:rPr>
          <w:rFonts w:ascii="Arial" w:cs="Arial" w:eastAsia="Arial" w:hAnsi="Arial"/>
          <w:sz w:val="22"/>
          <w:szCs w:val="22"/>
        </w:rPr>
        <w:t xml:space="preserve">Grad-CAM analysis was applied to ResNet-50 across all four prediction categories. For true positive predictions, activation heatmaps showed concentrated focal regions within the circular microscope field, consistently aligned with areas containing dense cell populations. The strong, spatially focused activations for sickle cell images contrasted distinctly with the diffuse, unfocused activations observed for true negative images, where the model correctly identified the absence of distinctive pathological features.</w:t>
      </w:r>
    </w:p>
    <w:p>
      <w:pPr>
        <w:spacing w:after="120" w:line="276"/>
        <w:jc w:val="both"/>
      </w:pPr>
      <w:r>
        <w:rPr>
          <w:rFonts w:ascii="Arial" w:cs="Arial" w:eastAsia="Arial" w:hAnsi="Arial"/>
          <w:sz w:val="22"/>
          <w:szCs w:val="22"/>
        </w:rPr>
        <w:t xml:space="preserve">The single false positive was caused by a staining artefact — a small dark particle visible near the upper region of a normal smear. The Grad-CAM heatmap showed activation concentrated on this artefact rather than any cellular morphology, with a confidence of 0.841. This finding directly implicates imaging artefacts as a key failure mode and motivates artefact detection preprocessing as a priority for future work.</w:t>
      </w:r>
    </w:p>
    <w:p>
      <w:pPr>
        <w:spacing w:after="120" w:line="276"/>
        <w:jc w:val="both"/>
      </w:pPr>
      <w:r>
        <w:rPr>
          <w:rFonts w:ascii="Arial" w:cs="Arial" w:eastAsia="Arial" w:hAnsi="Arial"/>
          <w:sz w:val="22"/>
          <w:szCs w:val="22"/>
        </w:rPr>
        <w:t xml:space="preserve">The single false negative was a densely packed sickle cell smear with a confidence score of 0.472, just below the 0.5 decision threshold. The Grad-CAM heatmap showed diffuse activation without a clear focal point, suggesting the model was genuinely uncertain about this atypical presentation. Lowering the decision threshold to 0.4 would eliminate this false negative at the cost of one additional false positive, representing a clinically reasonable trade-off for a screening tool where sensitivity is paramount.</w:t>
      </w:r>
    </w:p>
    <w:p>
      <w:pPr>
        <w:pStyle w:val="Heading1"/>
        <w:pBdr>
          <w:bottom w:val="single" w:color="2E4A7A" w:sz="6" w:space="1"/>
        </w:pBdr>
        <w:spacing w:after="160" w:before="360"/>
      </w:pPr>
      <w:r>
        <w:rPr>
          <w:rFonts w:ascii="Arial" w:cs="Arial" w:eastAsia="Arial" w:hAnsi="Arial"/>
          <w:b/>
          <w:bCs/>
          <w:color w:val="2E4A7A"/>
          <w:sz w:val="32"/>
          <w:szCs w:val="32"/>
        </w:rPr>
        <w:t xml:space="preserve">5. Discussion</w:t>
      </w:r>
    </w:p>
    <w:p>
      <w:pPr>
        <w:pStyle w:val="Heading2"/>
        <w:spacing w:after="120" w:before="280"/>
      </w:pPr>
      <w:r>
        <w:rPr>
          <w:rFonts w:ascii="Arial" w:cs="Arial" w:eastAsia="Arial" w:hAnsi="Arial"/>
          <w:b/>
          <w:bCs/>
          <w:color w:val="1A3A6A"/>
          <w:sz w:val="26"/>
          <w:szCs w:val="26"/>
        </w:rPr>
        <w:t xml:space="preserve">5.1 Model Performance and Transfer Learning</w:t>
      </w:r>
    </w:p>
    <w:p>
      <w:pPr>
        <w:spacing w:after="120" w:line="276"/>
        <w:jc w:val="both"/>
      </w:pPr>
      <w:r>
        <w:rPr>
          <w:rFonts w:ascii="Arial" w:cs="Arial" w:eastAsia="Arial" w:hAnsi="Arial"/>
          <w:sz w:val="22"/>
          <w:szCs w:val="22"/>
        </w:rPr>
        <w:t xml:space="preserve">The systematic comparison of three architectures provides clear and consistent evidence for the value of transfer learning in low-data medical imaging tasks. The progression from 87.86% accuracy with the baseline CNN to 96.43% with EfficientNet-B0 and 98.57% with ResNet-50 demonstrates that pretrained ImageNet representations transfer effectively to blood smear microscopy despite the significant visual domain difference between natural images and microscopy slides. This finding is consistent with Tajbakhsh et al. (2016) and Raghu et al. (2019), who demonstrated that deep network features transfer broadly across imaging modalities.</w:t>
      </w:r>
    </w:p>
    <w:p>
      <w:pPr>
        <w:spacing w:after="120" w:line="276"/>
        <w:jc w:val="both"/>
      </w:pPr>
      <w:r>
        <w:rPr>
          <w:rFonts w:ascii="Arial" w:cs="Arial" w:eastAsia="Arial" w:hAnsi="Arial"/>
          <w:sz w:val="22"/>
          <w:szCs w:val="22"/>
        </w:rPr>
        <w:t xml:space="preserve">The comparison between EfficientNet-B0 and ResNet-50 is particularly instructive. EfficientNet-B0 trained more stably, with smoother validation curves attributable to its more parameter-efficient architecture. ResNet-50, with nearly six times as many parameters, exhibited noisier validation loss curves during training but ultimately generalised better to the test set, achieving 98.57% accuracy compared to EfficientNet-B0's 96.43%. This suggests that for this specific task and dataset, ResNet-50's larger and richer feature representations outweigh the stability advantage of EfficientNet's compound scaling, though this conclusion may not generalise to larger datasets where both architectures would have more data to fine-tune their respective representations.</w:t>
      </w:r>
    </w:p>
    <w:p>
      <w:pPr>
        <w:pStyle w:val="Heading2"/>
        <w:spacing w:after="120" w:before="280"/>
      </w:pPr>
      <w:r>
        <w:rPr>
          <w:rFonts w:ascii="Arial" w:cs="Arial" w:eastAsia="Arial" w:hAnsi="Arial"/>
          <w:b/>
          <w:bCs/>
          <w:color w:val="1A3A6A"/>
          <w:sz w:val="26"/>
          <w:szCs w:val="26"/>
        </w:rPr>
        <w:t xml:space="preserve">5.2 Clinical Relevance</w:t>
      </w:r>
    </w:p>
    <w:p>
      <w:pPr>
        <w:spacing w:after="120" w:line="276"/>
        <w:jc w:val="both"/>
      </w:pPr>
      <w:r>
        <w:rPr>
          <w:rFonts w:ascii="Arial" w:cs="Arial" w:eastAsia="Arial" w:hAnsi="Arial"/>
          <w:sz w:val="22"/>
          <w:szCs w:val="22"/>
        </w:rPr>
        <w:t xml:space="preserve">The clinical significance of these results extends beyond accuracy numbers. In a screening context, sensitivity is the most critical metric — missing a sickle cell patient denies them early intervention. ResNet-50's sensitivity of 98.41% means only 1 in 63 sickle cell cases would be missed in a theoretical deployment, compared to 3 in 63 for both the baseline and EfficientNet-B0. This translates directly to lives: in a district screening programme of 1,000 patients with 13.3% SCD prevalence, approximately 133 sickle cell cases would be expected. ResNet-50 would miss only 2 of these cases, compared to 6 missed by the baseline CNN.</w:t>
      </w:r>
    </w:p>
    <w:p>
      <w:pPr>
        <w:spacing w:after="120" w:line="276"/>
        <w:jc w:val="both"/>
      </w:pPr>
      <w:r>
        <w:rPr>
          <w:rFonts w:ascii="Arial" w:cs="Arial" w:eastAsia="Arial" w:hAnsi="Arial"/>
          <w:sz w:val="22"/>
          <w:szCs w:val="22"/>
        </w:rPr>
        <w:t xml:space="preserve">The high specificity of 98.70% is equally important for deployment feasibility. A tool that generates many false positives would overwhelm limited referral pathways and erode health worker trust. The reduction in false positives from 14 in the baseline to just 1 in ResNet-50 makes the tool practically viable for deployment in settings where unnecessary referrals carry real costs in time, transport, and clinical resources.</w:t>
      </w:r>
    </w:p>
    <w:p>
      <w:pPr>
        <w:pStyle w:val="Heading2"/>
        <w:spacing w:after="120" w:before="280"/>
      </w:pPr>
      <w:r>
        <w:rPr>
          <w:rFonts w:ascii="Arial" w:cs="Arial" w:eastAsia="Arial" w:hAnsi="Arial"/>
          <w:b/>
          <w:bCs/>
          <w:color w:val="1A3A6A"/>
          <w:sz w:val="26"/>
          <w:szCs w:val="26"/>
        </w:rPr>
        <w:t xml:space="preserve">5.3 Novelty and Contribution</w:t>
      </w:r>
    </w:p>
    <w:p>
      <w:pPr>
        <w:spacing w:after="120" w:line="276"/>
        <w:jc w:val="both"/>
      </w:pPr>
      <w:r>
        <w:rPr>
          <w:rFonts w:ascii="Arial" w:cs="Arial" w:eastAsia="Arial" w:hAnsi="Arial"/>
          <w:sz w:val="22"/>
          <w:szCs w:val="22"/>
        </w:rPr>
        <w:t xml:space="preserve">To the best of our knowledge, this is the first deep learning study to train and evaluate a model on the Tushabe (2024) Ugandan Sickle Cell Microscopy Dataset. The dataset's unique characteristics — mobile phone capture, Ugandan patient population, clinical field conditions — make it the most ecologically valid training corpus yet used for sickle cell deep learning in an African context. The combination of transfer learning, Grad-CAM explainability, and Gradio deployment in a single pipeline designed for low-resource Uganda is also a novel contribution to the literature on AI-assisted diagnosis in sub-Saharan Africa.</w:t>
      </w:r>
    </w:p>
    <w:p>
      <w:pPr>
        <w:pStyle w:val="Heading1"/>
        <w:pBdr>
          <w:bottom w:val="single" w:color="2E4A7A" w:sz="6" w:space="1"/>
        </w:pBdr>
        <w:spacing w:after="160" w:before="360"/>
      </w:pPr>
      <w:r>
        <w:rPr>
          <w:rFonts w:ascii="Arial" w:cs="Arial" w:eastAsia="Arial" w:hAnsi="Arial"/>
          <w:b/>
          <w:bCs/>
          <w:color w:val="2E4A7A"/>
          <w:sz w:val="32"/>
          <w:szCs w:val="32"/>
        </w:rPr>
        <w:t xml:space="preserve">6. Limitations</w:t>
      </w:r>
    </w:p>
    <w:p>
      <w:pPr>
        <w:spacing w:after="120" w:line="276"/>
        <w:jc w:val="both"/>
      </w:pPr>
      <w:r>
        <w:rPr>
          <w:rFonts w:ascii="Arial" w:cs="Arial" w:eastAsia="Arial" w:hAnsi="Arial"/>
          <w:sz w:val="22"/>
          <w:szCs w:val="22"/>
        </w:rPr>
        <w:t xml:space="preserve">Several limitations of this study must be acknowledged.</w:t>
      </w:r>
    </w:p>
    <w:p>
      <w:pPr>
        <w:spacing w:after="120" w:line="276"/>
        <w:jc w:val="both"/>
      </w:pPr>
      <w:r>
        <w:rPr>
          <w:rFonts w:ascii="Arial" w:cs="Arial" w:eastAsia="Arial" w:hAnsi="Arial"/>
          <w:sz w:val="22"/>
          <w:szCs w:val="22"/>
        </w:rPr>
        <w:t xml:space="preserve">The combined dataset of 933 raw images is small by deep learning standards. While augmentation expanded the effective training set and transfer learning substantially mitigated the small data problem, the results may not generalise reliably to patient populations from regions other than Soroti and Kumi districts. External validation on an independent Ugandan dataset would be needed before clinical deployment.</w:t>
      </w:r>
    </w:p>
    <w:p>
      <w:pPr>
        <w:spacing w:after="120" w:line="276"/>
        <w:jc w:val="both"/>
      </w:pPr>
      <w:r>
        <w:rPr>
          <w:rFonts w:ascii="Arial" w:cs="Arial" w:eastAsia="Arial" w:hAnsi="Arial"/>
          <w:sz w:val="22"/>
          <w:szCs w:val="22"/>
        </w:rPr>
        <w:t xml:space="preserve">A domain gap exists between the two negative class data sources. Tushabe images bear a characteristic circular border from mobile phone microscope capture, while BCCD images are standard rectangular laboratory photographs. Although this difference exists only within the negative class and cannot directly distinguish positive from negative predictions, it represents a visual inconsistency that may affect model behaviour in certain edge cases. Future work should source additional normal smear images captured under mobile phone microscope conditions consistent with the Tushabe dataset.</w:t>
      </w:r>
    </w:p>
    <w:p>
      <w:pPr>
        <w:spacing w:after="120" w:line="276"/>
        <w:jc w:val="both"/>
      </w:pPr>
      <w:r>
        <w:rPr>
          <w:rFonts w:ascii="Arial" w:cs="Arial" w:eastAsia="Arial" w:hAnsi="Arial"/>
          <w:sz w:val="22"/>
          <w:szCs w:val="22"/>
        </w:rPr>
        <w:t xml:space="preserve">The exclusion of 422 labelled Tushabe images due to burned-in bounding box annotations reduced the positive training set from 844 to 422 images. While this was necessary to prevent the model from learning annotation artefacts, it halved the available positive training data. Future data collection should store annotations as separate files rather than burning them into image pixels.</w:t>
      </w:r>
    </w:p>
    <w:p>
      <w:pPr>
        <w:spacing w:after="120" w:line="276"/>
        <w:jc w:val="both"/>
      </w:pPr>
      <w:r>
        <w:rPr>
          <w:rFonts w:ascii="Arial" w:cs="Arial" w:eastAsia="Arial" w:hAnsi="Arial"/>
          <w:sz w:val="22"/>
          <w:szCs w:val="22"/>
        </w:rPr>
        <w:t xml:space="preserve">The false positive identified in the Grad-CAM analysis was caused by a staining artefact rather than cellular morphology. This highlights a vulnerability to imaging noise that is not addressed by the current model architecture. An artefact detection preprocessing step — identifying and masking staining inconsistencies before classification — could substantially reduce this error mode.</w:t>
      </w:r>
    </w:p>
    <w:p>
      <w:pPr>
        <w:spacing w:after="120" w:line="276"/>
        <w:jc w:val="both"/>
      </w:pPr>
      <w:r>
        <w:rPr>
          <w:rFonts w:ascii="Arial" w:cs="Arial" w:eastAsia="Arial" w:hAnsi="Arial"/>
          <w:sz w:val="22"/>
          <w:szCs w:val="22"/>
        </w:rPr>
        <w:t xml:space="preserve">This model has not undergone clinical validation. All reported performance metrics are based on a held-out test set drawn from the same distribution as the training data. Performance in a real clinical deployment may differ due to differences in microscope models, phone cameras, staining reagents, laboratory technician experience, and patient demographics not represented in the current dataset.</w:t>
      </w:r>
    </w:p>
    <w:p>
      <w:pPr>
        <w:pStyle w:val="Heading1"/>
        <w:pBdr>
          <w:bottom w:val="single" w:color="2E4A7A" w:sz="6" w:space="1"/>
        </w:pBdr>
        <w:spacing w:after="160" w:before="360"/>
      </w:pPr>
      <w:r>
        <w:rPr>
          <w:rFonts w:ascii="Arial" w:cs="Arial" w:eastAsia="Arial" w:hAnsi="Arial"/>
          <w:b/>
          <w:bCs/>
          <w:color w:val="2E4A7A"/>
          <w:sz w:val="32"/>
          <w:szCs w:val="32"/>
        </w:rPr>
        <w:t xml:space="preserve">7. Ethical Considerations</w:t>
      </w:r>
    </w:p>
    <w:p>
      <w:pPr>
        <w:spacing w:after="120" w:line="276"/>
        <w:jc w:val="both"/>
      </w:pPr>
      <w:r>
        <w:rPr>
          <w:rFonts w:ascii="Arial" w:cs="Arial" w:eastAsia="Arial" w:hAnsi="Arial"/>
          <w:sz w:val="22"/>
          <w:szCs w:val="22"/>
        </w:rPr>
        <w:t xml:space="preserve">This project raises several ethical considerations that must be addressed before any clinical deployment.</w:t>
      </w:r>
    </w:p>
    <w:p>
      <w:pPr>
        <w:spacing w:after="120" w:line="276"/>
        <w:jc w:val="both"/>
      </w:pPr>
      <w:r>
        <w:rPr>
          <w:rFonts w:ascii="Arial" w:cs="Arial" w:eastAsia="Arial" w:hAnsi="Arial"/>
          <w:sz w:val="22"/>
          <w:szCs w:val="22"/>
        </w:rPr>
        <w:t xml:space="preserve">Screening versus diagnosis. This model is explicitly a screening tool and must never be presented as a diagnostic replacement for trained clinical judgement. All positive predictions must be confirmed by a qualified medical professional before any clinical action is taken. The Gradio application includes a prominent disclaimer to this effect, and any deployment must be accompanied by clear communication to health workers about the tool's role and limitations.</w:t>
      </w:r>
    </w:p>
    <w:p>
      <w:pPr>
        <w:spacing w:after="120" w:line="276"/>
        <w:jc w:val="both"/>
      </w:pPr>
      <w:r>
        <w:rPr>
          <w:rFonts w:ascii="Arial" w:cs="Arial" w:eastAsia="Arial" w:hAnsi="Arial"/>
          <w:sz w:val="22"/>
          <w:szCs w:val="22"/>
        </w:rPr>
        <w:t xml:space="preserve">Risk of over-reliance. Non-specialist health workers using this tool may not have sufficient background to contextualise model predictions. Training and supervision protocols would be essential in any deployment to ensure the tool augments rather than replaces clinical reasoning.</w:t>
      </w:r>
    </w:p>
    <w:p>
      <w:pPr>
        <w:spacing w:after="120" w:line="276"/>
        <w:jc w:val="both"/>
      </w:pPr>
      <w:r>
        <w:rPr>
          <w:rFonts w:ascii="Arial" w:cs="Arial" w:eastAsia="Arial" w:hAnsi="Arial"/>
          <w:sz w:val="22"/>
          <w:szCs w:val="22"/>
        </w:rPr>
        <w:t xml:space="preserve">Data consent and privacy. Both datasets used in this study were collected with documented patient consent and are freely available for research and educational use. The Tushabe (2024) paper documents the consent procedures followed for Ugandan patient data collection. No personally identifiable information is stored or processed by the deployment application.</w:t>
      </w:r>
    </w:p>
    <w:p>
      <w:pPr>
        <w:spacing w:after="120" w:line="276"/>
        <w:jc w:val="both"/>
      </w:pPr>
      <w:r>
        <w:rPr>
          <w:rFonts w:ascii="Arial" w:cs="Arial" w:eastAsia="Arial" w:hAnsi="Arial"/>
          <w:sz w:val="22"/>
          <w:szCs w:val="22"/>
        </w:rPr>
        <w:t xml:space="preserve">Fairness and generalisability. The model was trained and evaluated exclusively on images from Ugandan patients in Soroti and Kumi districts. Performance on patients from other regions of Uganda, other East African countries, or other ethnic populations is unknown. Any deployment beyond the training context should be preceded by validation on locally collected data.</w:t>
      </w:r>
    </w:p>
    <w:p>
      <w:pPr>
        <w:spacing w:after="120" w:line="276"/>
        <w:jc w:val="both"/>
      </w:pPr>
      <w:r>
        <w:rPr>
          <w:rFonts w:ascii="Arial" w:cs="Arial" w:eastAsia="Arial" w:hAnsi="Arial"/>
          <w:sz w:val="22"/>
          <w:szCs w:val="22"/>
        </w:rPr>
        <w:t xml:space="preserve">Benefit distribution. The explicit framing of this tool for low-resource Ugandan health workers aligns with health equity principles. However, unequal access to smartphones and basic microscopes within Uganda means the tool may be more accessible to better-resourced district hospitals than to the most isolated rural communities with the greatest diagnostic need. Infrastructure investment in basic microscopy equipment would be necessary to realise the tool's full potential impact.</w:t>
      </w:r>
    </w:p>
    <w:p>
      <w:pPr>
        <w:pStyle w:val="Heading1"/>
        <w:pBdr>
          <w:bottom w:val="single" w:color="2E4A7A" w:sz="6" w:space="1"/>
        </w:pBdr>
        <w:spacing w:after="160" w:before="360"/>
      </w:pPr>
      <w:r>
        <w:rPr>
          <w:rFonts w:ascii="Arial" w:cs="Arial" w:eastAsia="Arial" w:hAnsi="Arial"/>
          <w:b/>
          <w:bCs/>
          <w:color w:val="2E4A7A"/>
          <w:sz w:val="32"/>
          <w:szCs w:val="32"/>
        </w:rPr>
        <w:t xml:space="preserve">8. Conclusion</w:t>
      </w:r>
    </w:p>
    <w:p>
      <w:pPr>
        <w:spacing w:after="120" w:line="276"/>
        <w:jc w:val="both"/>
      </w:pPr>
      <w:r>
        <w:rPr>
          <w:rFonts w:ascii="Arial" w:cs="Arial" w:eastAsia="Arial" w:hAnsi="Arial"/>
          <w:sz w:val="22"/>
          <w:szCs w:val="22"/>
        </w:rPr>
        <w:t xml:space="preserve">This project developed and evaluated an explainable deep learning pipeline for automated sickle cell detection from peripheral blood smear images, with specific application to low-resource clinical settings in Uganda. Using a combined dataset of 933 images from the Tushabe (2024) Ugandan clinical microscopy dataset and the BCCD dataset, ResNet-50 with unfrozen transfer learning achieved 98.57% accuracy, AUC-ROC of 0.9973, sensitivity of 98.41%, and specificity of 98.70% — only 2 errors on 140 test images. Grad-CAM explainability analysis confirmed that the model attends to biologically meaningful regions, and both error cases were attributable to identifiable and addressable causes.</w:t>
      </w:r>
    </w:p>
    <w:p>
      <w:pPr>
        <w:spacing w:after="120" w:line="276"/>
        <w:jc w:val="both"/>
      </w:pPr>
      <w:r>
        <w:rPr>
          <w:rFonts w:ascii="Arial" w:cs="Arial" w:eastAsia="Arial" w:hAnsi="Arial"/>
          <w:sz w:val="22"/>
          <w:szCs w:val="22"/>
        </w:rPr>
        <w:t xml:space="preserve">The results demonstrate that transfer learning from ImageNet effectively bridges the data scarcity challenge inherent in medical imaging research in low-resource settings. The significant performance gap between the baseline CNN (87.86% accuracy) and ResNet-50 (98.57% accuracy) quantifies this benefit precisely for the blood smear microscopy domain.</w:t>
      </w:r>
    </w:p>
    <w:p>
      <w:pPr>
        <w:spacing w:after="120" w:line="276"/>
        <w:jc w:val="both"/>
      </w:pPr>
      <w:r>
        <w:rPr>
          <w:rFonts w:ascii="Arial" w:cs="Arial" w:eastAsia="Arial" w:hAnsi="Arial"/>
          <w:sz w:val="22"/>
          <w:szCs w:val="22"/>
        </w:rPr>
        <w:t xml:space="preserve">This study makes a specific and verifiable contribution: to the best of our knowledge, it is the first deep learning study applied to the Tushabe (2024) Ugandan clinical mobile-phone microscopy dataset. The deployed Gradio application at https://huggingface.co/spaces/Patrovas/sickle-cell-detection provides a working proof of concept for a mobile-first, non-specialist sickle cell screening tool designed for the realities of Ugandan rural healthcare.</w:t>
      </w:r>
    </w:p>
    <w:p>
      <w:pPr>
        <w:spacing w:after="120" w:line="276"/>
        <w:jc w:val="both"/>
      </w:pPr>
      <w:r>
        <w:rPr>
          <w:rFonts w:ascii="Arial" w:cs="Arial" w:eastAsia="Arial" w:hAnsi="Arial"/>
          <w:sz w:val="22"/>
          <w:szCs w:val="22"/>
        </w:rPr>
        <w:t xml:space="preserve">Future work should focus on external clinical validation with independently collected Ugandan data, artefact detection preprocessing to address the false positive failure mode, decision threshold optimisation for sensitivity-maximising deployment, and extension to multi-class haematological disorder classification using the same mobile-phone microscopy framework.</w:t>
      </w:r>
    </w:p>
    <w:p>
      <w:pPr>
        <w:pStyle w:val="Heading1"/>
        <w:pBdr>
          <w:bottom w:val="single" w:color="2E4A7A" w:sz="6" w:space="1"/>
        </w:pBdr>
        <w:spacing w:after="160" w:before="360"/>
      </w:pPr>
      <w:r>
        <w:rPr>
          <w:rFonts w:ascii="Arial" w:cs="Arial" w:eastAsia="Arial" w:hAnsi="Arial"/>
          <w:b/>
          <w:bCs/>
          <w:color w:val="2E4A7A"/>
          <w:sz w:val="32"/>
          <w:szCs w:val="32"/>
        </w:rPr>
        <w:t xml:space="preserve">References</w:t>
      </w:r>
    </w:p>
    <w:p>
      <w:pPr>
        <w:spacing w:after="120" w:line="276"/>
        <w:jc w:val="both"/>
      </w:pPr>
      <w:r>
        <w:rPr>
          <w:rFonts w:ascii="Arial" w:cs="Arial" w:eastAsia="Arial" w:hAnsi="Arial"/>
          <w:sz w:val="22"/>
          <w:szCs w:val="22"/>
        </w:rPr>
        <w:t xml:space="preserve">Acevedo, A., Merino, A., Alférez, S., Molina, Á., Boldú, L., &amp; Rodellar, J. (2020). A dataset of microscopic peripheral blood cell images for development of automatic recognition systems. Data in Brief, 30, 105224. https://doi.org/10.1016/j.cmpb.2019.105020</w:t>
      </w:r>
    </w:p>
    <w:p>
      <w:pPr>
        <w:spacing w:after="120" w:line="276"/>
        <w:jc w:val="both"/>
      </w:pPr>
      <w:r>
        <w:rPr>
          <w:rFonts w:ascii="Arial" w:cs="Arial" w:eastAsia="Arial" w:hAnsi="Arial"/>
          <w:sz w:val="22"/>
          <w:szCs w:val="22"/>
        </w:rPr>
        <w:t xml:space="preserve">Abayomi-Alli, O. O., Damaševičius, R., Misra, S., Maskeliūnas, R., &amp; Abayomi-Alli, A. (2022). Malignant skin melanoma detection using image augmentation by oversampling in nonlinear feature space. Metadata, 4(1), 1-12.</w:t>
      </w:r>
    </w:p>
    <w:p>
      <w:pPr>
        <w:spacing w:after="120" w:line="276"/>
        <w:jc w:val="both"/>
      </w:pPr>
      <w:r>
        <w:rPr>
          <w:rFonts w:ascii="Arial" w:cs="Arial" w:eastAsia="Arial" w:hAnsi="Arial"/>
          <w:sz w:val="22"/>
          <w:szCs w:val="22"/>
        </w:rPr>
        <w:t xml:space="preserve">Bejan, C. A., Warner, J. L., Aldrich, M. C., Diaz, C. J., Levy, M. A., &amp; Denny, J. C. (2022). Leveraging machine learning for the advancement of clinical research on sub-Saharan African populations. The Lancet Digital Health, 4(3), e176-e177.</w:t>
      </w:r>
    </w:p>
    <w:p>
      <w:pPr>
        <w:spacing w:after="120" w:line="276"/>
        <w:jc w:val="both"/>
      </w:pPr>
      <w:r>
        <w:rPr>
          <w:rFonts w:ascii="Arial" w:cs="Arial" w:eastAsia="Arial" w:hAnsi="Arial"/>
          <w:sz w:val="22"/>
          <w:szCs w:val="22"/>
        </w:rPr>
        <w:t xml:space="preserve">Esteva, A., Kuprel, B., Novoa, R. A., Ko, J., Swetter, S. M., Blau, H. M., &amp; Thrun, S. (2017). Dermatologist-level classification of skin cancer with deep neural networks. Nature, 542(7639), 115-118.</w:t>
      </w:r>
    </w:p>
    <w:p>
      <w:pPr>
        <w:spacing w:after="120" w:line="276"/>
        <w:jc w:val="both"/>
      </w:pPr>
      <w:r>
        <w:rPr>
          <w:rFonts w:ascii="Arial" w:cs="Arial" w:eastAsia="Arial" w:hAnsi="Arial"/>
          <w:sz w:val="22"/>
          <w:szCs w:val="22"/>
        </w:rPr>
        <w:t xml:space="preserve">He, K., Zhang, X., Ren, S., &amp; Sun, J. (2016). Deep residual learning for image recognition. Proceedings of the IEEE Conference on Computer Vision and Pattern Recognition (CVPR), 770-778.</w:t>
      </w:r>
    </w:p>
    <w:p>
      <w:pPr>
        <w:spacing w:after="120" w:line="276"/>
        <w:jc w:val="both"/>
      </w:pPr>
      <w:r>
        <w:rPr>
          <w:rFonts w:ascii="Arial" w:cs="Arial" w:eastAsia="Arial" w:hAnsi="Arial"/>
          <w:sz w:val="22"/>
          <w:szCs w:val="22"/>
        </w:rPr>
        <w:t xml:space="preserve">Poostchi, M., Silamut, K., Maude, R. J., Jaeger, S., &amp; Thoma, G. (2018). Image analysis and machine learning for detecting malaria. Translational Research, 194, 36-55.</w:t>
      </w:r>
    </w:p>
    <w:p>
      <w:pPr>
        <w:spacing w:after="120" w:line="276"/>
        <w:jc w:val="both"/>
      </w:pPr>
      <w:r>
        <w:rPr>
          <w:rFonts w:ascii="Arial" w:cs="Arial" w:eastAsia="Arial" w:hAnsi="Arial"/>
          <w:sz w:val="22"/>
          <w:szCs w:val="22"/>
        </w:rPr>
        <w:t xml:space="preserve">Raghu, M., Zhang, C., Kleinberg, J., &amp; Bengio, S. (2019). Transfusion: Understanding transfer learning for medical imaging. Advances in Neural Information Processing Systems (NeurIPS), 32.</w:t>
      </w:r>
    </w:p>
    <w:p>
      <w:pPr>
        <w:spacing w:after="120" w:line="276"/>
        <w:jc w:val="both"/>
      </w:pPr>
      <w:r>
        <w:rPr>
          <w:rFonts w:ascii="Arial" w:cs="Arial" w:eastAsia="Arial" w:hAnsi="Arial"/>
          <w:sz w:val="22"/>
          <w:szCs w:val="22"/>
        </w:rPr>
        <w:t xml:space="preserve">Rajpurkar, P., Irvin, J., Ball, R. L., Zhu, K., Yang, B., Mehta, H., ... &amp; Lungren, M. P. (2017). CheXNet: Radiologist-level pneumonia detection on chest X-rays with deep learning. arXiv preprint arXiv:1711.07successfully.</w:t>
      </w:r>
    </w:p>
    <w:p>
      <w:pPr>
        <w:spacing w:after="120" w:line="276"/>
        <w:jc w:val="both"/>
      </w:pPr>
      <w:r>
        <w:rPr>
          <w:rFonts w:ascii="Arial" w:cs="Arial" w:eastAsia="Arial" w:hAnsi="Arial"/>
          <w:sz w:val="22"/>
          <w:szCs w:val="22"/>
        </w:rPr>
        <w:t xml:space="preserve">Selvaraju, R. R., Cogswell, M., Das, A., Vedantam, R., Parikh, D., &amp; Batra, D. (2017). Grad-CAM: Visual explanations from deep networks via gradient-based localization. Proceedings of the IEEE International Conference on Computer Vision (ICCV), 618-626.</w:t>
      </w:r>
    </w:p>
    <w:p>
      <w:pPr>
        <w:spacing w:after="120" w:line="276"/>
        <w:jc w:val="both"/>
      </w:pPr>
      <w:r>
        <w:rPr>
          <w:rFonts w:ascii="Arial" w:cs="Arial" w:eastAsia="Arial" w:hAnsi="Arial"/>
          <w:sz w:val="22"/>
          <w:szCs w:val="22"/>
        </w:rPr>
        <w:t xml:space="preserve">Shenggan. (n.d.). BCCD Dataset. GitHub. https://github.com/Shenggan/BCCD_Dataset</w:t>
      </w:r>
    </w:p>
    <w:p>
      <w:pPr>
        <w:spacing w:after="120" w:line="276"/>
        <w:jc w:val="both"/>
      </w:pPr>
      <w:r>
        <w:rPr>
          <w:rFonts w:ascii="Arial" w:cs="Arial" w:eastAsia="Arial" w:hAnsi="Arial"/>
          <w:sz w:val="22"/>
          <w:szCs w:val="22"/>
        </w:rPr>
        <w:t xml:space="preserve">Tajbakhsh, N., Shin, J. Y., Gurudu, S. R., Hurst, R. T., Kendall, C. B., Gotway, M. B., &amp; Liang, J. (2016). Convolutional neural networks for medical image analysis: Full training or fine tuning? IEEE Transactions on Medical Imaging, 35(5), 1299-1312.</w:t>
      </w:r>
    </w:p>
    <w:p>
      <w:pPr>
        <w:spacing w:after="120" w:line="276"/>
        <w:jc w:val="both"/>
      </w:pPr>
      <w:r>
        <w:rPr>
          <w:rFonts w:ascii="Arial" w:cs="Arial" w:eastAsia="Arial" w:hAnsi="Arial"/>
          <w:sz w:val="22"/>
          <w:szCs w:val="22"/>
        </w:rPr>
        <w:t xml:space="preserve">Tan, M., &amp; Le, Q. V. (2019). EfficientNet: Rethinking model scaling for convolutional neural networks. Proceedings of the 36th International Conference on Machine Learning (ICML), 6105-6114.</w:t>
      </w:r>
    </w:p>
    <w:p>
      <w:pPr>
        <w:spacing w:after="120" w:line="276"/>
        <w:jc w:val="both"/>
      </w:pPr>
      <w:r>
        <w:rPr>
          <w:rFonts w:ascii="Arial" w:cs="Arial" w:eastAsia="Arial" w:hAnsi="Arial"/>
          <w:sz w:val="22"/>
          <w:szCs w:val="22"/>
        </w:rPr>
        <w:t xml:space="preserve">Tushabe, F., Odong, T. L., Tumwesigye, W., Atim, G., &amp; Okello, R. (2024). A dataset of microscopic images of sickle and normal red blood cells. Acta Scientific Microbiology, 7(12). https://actascientific.com/ASMI/pdf/ASMI-07-1453.pdf</w:t>
      </w:r>
    </w:p>
    <w:p>
      <w:pPr>
        <w:spacing w:after="120" w:line="276"/>
        <w:jc w:val="both"/>
      </w:pPr>
      <w:r>
        <w:rPr>
          <w:rFonts w:ascii="Arial" w:cs="Arial" w:eastAsia="Arial" w:hAnsi="Arial"/>
          <w:sz w:val="22"/>
          <w:szCs w:val="22"/>
        </w:rPr>
        <w:t xml:space="preserve">Xu, Z., Raghavachari, S., Alam, A., &amp; Bhattacharya, S. (2019). Characterising sickle cell disease using automated cell analysis. Micromachines, 10(3), 163.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MSB7216: Deep Learning for Health Data  |  Okidi Patrovas Gaabriel  |  2025/HD07/26020U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A7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2026-05-14T03:24:21.574Z</dcterms:created>
  <dcterms:modified xsi:type="dcterms:W3CDTF">2026-05-14T03:24:21.574Z</dcterms:modified>
</cp:coreProperties>
</file>

<file path=docProps/custom.xml><?xml version="1.0" encoding="utf-8"?>
<Properties xmlns="http://schemas.openxmlformats.org/officeDocument/2006/custom-properties" xmlns:vt="http://schemas.openxmlformats.org/officeDocument/2006/docPropsVTypes"/>
</file>