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BAE" w:rsidRPr="00B223FE" w:rsidRDefault="009F0BAE" w:rsidP="00B223FE">
      <w:pPr>
        <w:jc w:val="center"/>
        <w:rPr>
          <w:b/>
          <w:sz w:val="36"/>
          <w:szCs w:val="36"/>
        </w:rPr>
      </w:pPr>
      <w:r w:rsidRPr="00B223FE">
        <w:rPr>
          <w:b/>
          <w:sz w:val="36"/>
          <w:szCs w:val="36"/>
        </w:rPr>
        <w:t>Symulacja wahadła zawieszonego na sprężynie</w:t>
      </w:r>
    </w:p>
    <w:p w:rsidR="00367EDB" w:rsidRPr="00B223FE" w:rsidRDefault="00367EDB" w:rsidP="00B223FE">
      <w:pPr>
        <w:jc w:val="both"/>
        <w:rPr>
          <w:b/>
          <w:sz w:val="32"/>
          <w:szCs w:val="32"/>
        </w:rPr>
      </w:pPr>
    </w:p>
    <w:p w:rsidR="009F0BAE" w:rsidRPr="00B223FE" w:rsidRDefault="00236112" w:rsidP="00B223FE">
      <w:pPr>
        <w:jc w:val="both"/>
        <w:rPr>
          <w:sz w:val="24"/>
          <w:szCs w:val="24"/>
        </w:rPr>
      </w:pPr>
      <w:r w:rsidRPr="00B223FE"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 wp14:anchorId="0D9CFD30" wp14:editId="5AA9C65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14245" cy="213360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23FE">
        <w:rPr>
          <w:sz w:val="24"/>
          <w:szCs w:val="24"/>
        </w:rPr>
        <w:t xml:space="preserve">Celem </w:t>
      </w:r>
      <w:r w:rsidR="009C38B4">
        <w:rPr>
          <w:sz w:val="24"/>
          <w:szCs w:val="24"/>
        </w:rPr>
        <w:t xml:space="preserve">zadania </w:t>
      </w:r>
      <w:r w:rsidR="002D7716">
        <w:rPr>
          <w:sz w:val="24"/>
          <w:szCs w:val="24"/>
        </w:rPr>
        <w:t>jest</w:t>
      </w:r>
      <w:bookmarkStart w:id="0" w:name="_GoBack"/>
      <w:bookmarkEnd w:id="0"/>
      <w:r w:rsidR="009C38B4">
        <w:rPr>
          <w:sz w:val="24"/>
          <w:szCs w:val="24"/>
        </w:rPr>
        <w:t xml:space="preserve"> przeprowadzenie</w:t>
      </w:r>
      <w:r w:rsidRPr="00B223FE">
        <w:rPr>
          <w:sz w:val="24"/>
          <w:szCs w:val="24"/>
        </w:rPr>
        <w:t xml:space="preserve"> w programie </w:t>
      </w:r>
      <w:proofErr w:type="spellStart"/>
      <w:r w:rsidRPr="00B223FE">
        <w:rPr>
          <w:sz w:val="24"/>
          <w:szCs w:val="24"/>
        </w:rPr>
        <w:t>Matlab</w:t>
      </w:r>
      <w:proofErr w:type="spellEnd"/>
      <w:r w:rsidRPr="00B223FE">
        <w:rPr>
          <w:sz w:val="24"/>
          <w:szCs w:val="24"/>
        </w:rPr>
        <w:t xml:space="preserve"> </w:t>
      </w:r>
      <w:r w:rsidR="009C38B4">
        <w:rPr>
          <w:sz w:val="24"/>
          <w:szCs w:val="24"/>
        </w:rPr>
        <w:t xml:space="preserve">symulacji </w:t>
      </w:r>
      <w:r w:rsidRPr="00B223FE">
        <w:rPr>
          <w:sz w:val="24"/>
          <w:szCs w:val="24"/>
        </w:rPr>
        <w:t>ruchu wahadła</w:t>
      </w:r>
      <w:r w:rsidR="009C38B4">
        <w:rPr>
          <w:sz w:val="24"/>
          <w:szCs w:val="24"/>
        </w:rPr>
        <w:t xml:space="preserve"> </w:t>
      </w:r>
      <w:r w:rsidRPr="00B223FE">
        <w:rPr>
          <w:sz w:val="24"/>
          <w:szCs w:val="24"/>
        </w:rPr>
        <w:t>zawieszonego na sprężynie.</w:t>
      </w:r>
    </w:p>
    <w:p w:rsidR="00236112" w:rsidRPr="00B223FE" w:rsidRDefault="00236112" w:rsidP="00B223FE">
      <w:pPr>
        <w:jc w:val="both"/>
        <w:rPr>
          <w:sz w:val="24"/>
          <w:szCs w:val="24"/>
        </w:rPr>
      </w:pPr>
      <w:r w:rsidRPr="00B223FE">
        <w:rPr>
          <w:sz w:val="24"/>
          <w:szCs w:val="24"/>
        </w:rPr>
        <w:t>Przyjmijmy następujące parametry:</w:t>
      </w:r>
    </w:p>
    <w:p w:rsidR="00236112" w:rsidRPr="00B223FE" w:rsidRDefault="00236112" w:rsidP="00B223FE">
      <w:pPr>
        <w:jc w:val="both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m</m:t>
        </m:r>
      </m:oMath>
      <w:r w:rsidRPr="00B223FE">
        <w:rPr>
          <w:sz w:val="24"/>
          <w:szCs w:val="24"/>
        </w:rPr>
        <w:t xml:space="preserve"> – masa ciężarka zawieszonego na sprężynie</w:t>
      </w:r>
    </w:p>
    <w:p w:rsidR="00067468" w:rsidRPr="00B223FE" w:rsidRDefault="002D7716" w:rsidP="00B223FE">
      <w:p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067468" w:rsidRPr="00B223FE">
        <w:rPr>
          <w:b/>
          <w:sz w:val="24"/>
          <w:szCs w:val="24"/>
        </w:rPr>
        <w:t xml:space="preserve"> </w:t>
      </w:r>
      <w:r w:rsidR="00067468" w:rsidRPr="00B223FE">
        <w:rPr>
          <w:sz w:val="24"/>
          <w:szCs w:val="24"/>
        </w:rPr>
        <w:t>– długość nierozciągniętej sprężyny</w:t>
      </w:r>
    </w:p>
    <w:p w:rsidR="00236112" w:rsidRPr="00B223FE" w:rsidRDefault="00236112" w:rsidP="00B223FE">
      <w:pPr>
        <w:jc w:val="both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l</m:t>
        </m:r>
      </m:oMath>
      <w:r w:rsidRPr="00B223FE">
        <w:rPr>
          <w:b/>
          <w:sz w:val="24"/>
          <w:szCs w:val="24"/>
        </w:rPr>
        <w:t xml:space="preserve"> </w:t>
      </w:r>
      <w:r w:rsidRPr="00B223FE">
        <w:rPr>
          <w:sz w:val="24"/>
          <w:szCs w:val="24"/>
        </w:rPr>
        <w:t>– długość sprężyny</w:t>
      </w:r>
    </w:p>
    <w:p w:rsidR="00236112" w:rsidRPr="00B223FE" w:rsidRDefault="00236112" w:rsidP="00B223FE">
      <w:pPr>
        <w:jc w:val="both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k</m:t>
        </m:r>
      </m:oMath>
      <w:r w:rsidRPr="00B223FE">
        <w:rPr>
          <w:sz w:val="24"/>
          <w:szCs w:val="24"/>
        </w:rPr>
        <w:t xml:space="preserve"> – współczynnik sprężystości</w:t>
      </w:r>
    </w:p>
    <w:p w:rsidR="00236112" w:rsidRPr="00B223FE" w:rsidRDefault="00236112" w:rsidP="00B223FE">
      <w:pPr>
        <w:jc w:val="both"/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α</m:t>
        </m:r>
      </m:oMath>
      <w:r w:rsidRPr="00B223FE">
        <w:rPr>
          <w:rFonts w:eastAsiaTheme="minorEastAsia"/>
          <w:sz w:val="24"/>
          <w:szCs w:val="24"/>
        </w:rPr>
        <w:t xml:space="preserve"> – kąt wychylenia z położenia równowagi</w:t>
      </w:r>
    </w:p>
    <w:p w:rsidR="00236112" w:rsidRPr="00B223FE" w:rsidRDefault="00236112" w:rsidP="00B223FE">
      <w:pPr>
        <w:jc w:val="both"/>
        <w:rPr>
          <w:rFonts w:eastAsiaTheme="minorEastAsia"/>
          <w:sz w:val="24"/>
          <w:szCs w:val="24"/>
        </w:rPr>
      </w:pPr>
    </w:p>
    <w:p w:rsidR="00D30B41" w:rsidRPr="00B223FE" w:rsidRDefault="00276065" w:rsidP="00B223FE">
      <w:pPr>
        <w:jc w:val="both"/>
        <w:rPr>
          <w:rFonts w:eastAsiaTheme="minorEastAsia"/>
          <w:sz w:val="24"/>
          <w:szCs w:val="24"/>
        </w:rPr>
      </w:pPr>
      <w:r w:rsidRPr="00B223FE">
        <w:rPr>
          <w:rFonts w:eastAsiaTheme="minorEastAsia"/>
          <w:sz w:val="24"/>
          <w:szCs w:val="24"/>
        </w:rPr>
        <w:t xml:space="preserve">Równania ruchu dla naszego wahadła zapisane we współrzędnych biegunowych wyglądają następująco: </w:t>
      </w:r>
    </w:p>
    <w:p w:rsidR="00276065" w:rsidRPr="00B223FE" w:rsidRDefault="00276065" w:rsidP="00B223FE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</m:oMath>
      </m:oMathPara>
    </w:p>
    <w:p w:rsidR="00276065" w:rsidRPr="00B223FE" w:rsidRDefault="00276065" w:rsidP="00B223FE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</w:p>
    <w:p w:rsidR="00D30B41" w:rsidRPr="00B223FE" w:rsidRDefault="009C38B4" w:rsidP="00B223F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Mamy</w:t>
      </w:r>
      <w:r w:rsidR="00E860C2">
        <w:rPr>
          <w:rFonts w:eastAsiaTheme="minorEastAsia"/>
          <w:sz w:val="24"/>
          <w:szCs w:val="24"/>
        </w:rPr>
        <w:t xml:space="preserve"> równania, więc</w:t>
      </w:r>
      <w:r w:rsidR="00276065" w:rsidRPr="00B223FE">
        <w:rPr>
          <w:rFonts w:eastAsiaTheme="minorEastAsia"/>
          <w:sz w:val="24"/>
          <w:szCs w:val="24"/>
        </w:rPr>
        <w:t xml:space="preserve"> policzymy</w:t>
      </w:r>
      <w:r w:rsidR="00D30B41" w:rsidRPr="00B223FE">
        <w:rPr>
          <w:rFonts w:eastAsiaTheme="minorEastAsia"/>
          <w:sz w:val="24"/>
          <w:szCs w:val="24"/>
        </w:rPr>
        <w:t xml:space="preserve"> ich</w:t>
      </w:r>
      <w:r w:rsidR="00276065" w:rsidRPr="00B223FE">
        <w:rPr>
          <w:rFonts w:eastAsiaTheme="minorEastAsia"/>
          <w:sz w:val="24"/>
          <w:szCs w:val="24"/>
        </w:rPr>
        <w:t xml:space="preserve"> pochodne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 w:rsidR="00276065" w:rsidRPr="00B223FE">
        <w:rPr>
          <w:rFonts w:eastAsiaTheme="minorEastAsia"/>
          <w:sz w:val="24"/>
          <w:szCs w:val="24"/>
        </w:rPr>
        <w:t xml:space="preserve"> oraz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acc>
      </m:oMath>
      <w:r w:rsidR="00276065" w:rsidRPr="00B223FE">
        <w:rPr>
          <w:rFonts w:eastAsiaTheme="minorEastAsia"/>
          <w:sz w:val="24"/>
          <w:szCs w:val="24"/>
        </w:rPr>
        <w:t>.</w:t>
      </w:r>
    </w:p>
    <w:p w:rsidR="00276065" w:rsidRPr="00B223FE" w:rsidRDefault="002D7716" w:rsidP="00B223FE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-l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</m:oMath>
      </m:oMathPara>
    </w:p>
    <w:p w:rsidR="00D30B41" w:rsidRPr="00B223FE" w:rsidRDefault="002D7716" w:rsidP="00B223FE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</m:func>
          <m:r>
            <w:rPr>
              <w:rFonts w:ascii="Cambria Math" w:hAnsi="Cambria Math"/>
              <w:sz w:val="24"/>
              <w:szCs w:val="24"/>
            </w:rPr>
            <m:t>+l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</m:oMath>
      </m:oMathPara>
    </w:p>
    <w:p w:rsidR="00276065" w:rsidRPr="00B223FE" w:rsidRDefault="002775DE" w:rsidP="00B223F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Możemy</w:t>
      </w:r>
      <w:r w:rsidR="004C7C40" w:rsidRPr="00B223FE">
        <w:rPr>
          <w:rFonts w:eastAsiaTheme="minorEastAsia"/>
          <w:sz w:val="24"/>
          <w:szCs w:val="24"/>
        </w:rPr>
        <w:t xml:space="preserve"> teraz</w:t>
      </w:r>
      <w:r>
        <w:rPr>
          <w:rFonts w:eastAsiaTheme="minorEastAsia"/>
          <w:sz w:val="24"/>
          <w:szCs w:val="24"/>
        </w:rPr>
        <w:t xml:space="preserve"> skorzystać ze wzo</w:t>
      </w:r>
      <w:r w:rsidR="004C7C40" w:rsidRPr="00B223FE">
        <w:rPr>
          <w:rFonts w:eastAsiaTheme="minorEastAsia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>u</w:t>
      </w:r>
      <w:r w:rsidR="004C7C40" w:rsidRPr="00B223FE">
        <w:rPr>
          <w:rFonts w:eastAsiaTheme="minorEastAsia"/>
          <w:sz w:val="24"/>
          <w:szCs w:val="24"/>
        </w:rPr>
        <w:t xml:space="preserve"> na energię kinetyczną:</w:t>
      </w:r>
    </w:p>
    <w:p w:rsidR="004C7C40" w:rsidRPr="00B223FE" w:rsidRDefault="002D7716" w:rsidP="00B223FE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367EDB" w:rsidRPr="00B223FE" w:rsidRDefault="00367EDB" w:rsidP="00B223FE">
      <w:pPr>
        <w:jc w:val="both"/>
        <w:rPr>
          <w:rFonts w:eastAsiaTheme="minorEastAsia"/>
          <w:sz w:val="24"/>
          <w:szCs w:val="24"/>
        </w:rPr>
      </w:pPr>
      <w:r w:rsidRPr="00B223FE">
        <w:rPr>
          <w:rFonts w:eastAsiaTheme="minorEastAsia"/>
          <w:sz w:val="24"/>
          <w:szCs w:val="24"/>
        </w:rPr>
        <w:t xml:space="preserve">gdzie zamiast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072D0A">
        <w:rPr>
          <w:rFonts w:eastAsiaTheme="minorEastAsia"/>
          <w:sz w:val="24"/>
          <w:szCs w:val="24"/>
        </w:rPr>
        <w:t xml:space="preserve"> wstawimy</w:t>
      </w:r>
      <w:r w:rsidRPr="00B223FE">
        <w:rPr>
          <w:rFonts w:eastAsiaTheme="minorEastAsia"/>
          <w:sz w:val="24"/>
          <w:szCs w:val="24"/>
        </w:rPr>
        <w:t xml:space="preserve"> nasze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 w:rsidRPr="00B223FE">
        <w:rPr>
          <w:rFonts w:eastAsiaTheme="minorEastAsia"/>
          <w:sz w:val="24"/>
          <w:szCs w:val="24"/>
        </w:rPr>
        <w:t xml:space="preserve"> i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acc>
      </m:oMath>
      <w:r w:rsidRPr="00B223FE">
        <w:rPr>
          <w:rFonts w:eastAsiaTheme="minorEastAsia"/>
          <w:sz w:val="24"/>
          <w:szCs w:val="24"/>
        </w:rPr>
        <w:t>.</w:t>
      </w:r>
    </w:p>
    <w:p w:rsidR="00367EDB" w:rsidRPr="00B223FE" w:rsidRDefault="002D7716" w:rsidP="00B223FE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367EDB" w:rsidRPr="00B223FE" w:rsidRDefault="00367EDB" w:rsidP="00B223FE">
      <w:pPr>
        <w:jc w:val="both"/>
        <w:rPr>
          <w:rFonts w:eastAsiaTheme="minorEastAsia"/>
          <w:sz w:val="24"/>
          <w:szCs w:val="24"/>
        </w:rPr>
      </w:pPr>
      <w:r w:rsidRPr="00B223FE">
        <w:rPr>
          <w:rFonts w:eastAsiaTheme="minorEastAsia"/>
          <w:sz w:val="24"/>
          <w:szCs w:val="24"/>
        </w:rPr>
        <w:t>Podstawiamy odpowiednie równania, wykorzystujemy tzw. „jedynkę trygonometryczną” i otrzymujemy ostateczny wzór na energię kinetyczną dla naszego wahadła.</w:t>
      </w:r>
    </w:p>
    <w:p w:rsidR="00367EDB" w:rsidRPr="00B223FE" w:rsidRDefault="002D7716" w:rsidP="00B223FE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276065" w:rsidRPr="00B223FE" w:rsidRDefault="00276065" w:rsidP="00B223FE">
      <w:pPr>
        <w:jc w:val="both"/>
        <w:rPr>
          <w:sz w:val="24"/>
          <w:szCs w:val="24"/>
        </w:rPr>
      </w:pPr>
    </w:p>
    <w:p w:rsidR="003146B7" w:rsidRPr="00B223FE" w:rsidRDefault="00991AAC" w:rsidP="00B223FE">
      <w:pPr>
        <w:jc w:val="both"/>
        <w:rPr>
          <w:rFonts w:eastAsiaTheme="minorEastAsia"/>
          <w:sz w:val="24"/>
          <w:szCs w:val="24"/>
        </w:rPr>
      </w:pPr>
      <w:r w:rsidRPr="00B223FE">
        <w:rPr>
          <w:sz w:val="24"/>
          <w:szCs w:val="24"/>
        </w:rPr>
        <w:lastRenderedPageBreak/>
        <w:t xml:space="preserve">Teraz zajmiemy się </w:t>
      </w:r>
      <w:r w:rsidR="008F7CCD" w:rsidRPr="00B223FE">
        <w:rPr>
          <w:sz w:val="24"/>
          <w:szCs w:val="24"/>
        </w:rPr>
        <w:t>wyznaczeniem energii potencjalnej</w:t>
      </w:r>
      <w:r w:rsidRPr="00B223F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Pr="00B223FE">
        <w:rPr>
          <w:rFonts w:eastAsiaTheme="minorEastAsia"/>
          <w:sz w:val="24"/>
          <w:szCs w:val="24"/>
        </w:rPr>
        <w:t>, która jest sumą energii potencjalnej ciała w polu grawitacyjnym oraz energii potencjalnej sprężystości sprężyny.</w:t>
      </w:r>
    </w:p>
    <w:p w:rsidR="00991AAC" w:rsidRPr="00B223FE" w:rsidRDefault="002D7716" w:rsidP="00B223FE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=-mgy+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8F7CCD" w:rsidRPr="00B223FE" w:rsidRDefault="008F7CCD" w:rsidP="00B223FE">
      <w:pPr>
        <w:jc w:val="both"/>
        <w:rPr>
          <w:rFonts w:eastAsiaTheme="minorEastAsia"/>
          <w:sz w:val="24"/>
          <w:szCs w:val="24"/>
        </w:rPr>
      </w:pPr>
      <w:r w:rsidRPr="00B223FE">
        <w:rPr>
          <w:rFonts w:eastAsiaTheme="minorEastAsia"/>
          <w:sz w:val="24"/>
          <w:szCs w:val="24"/>
        </w:rPr>
        <w:t>Otrzymaliśmy wzory na energię kinetyczną</w:t>
      </w:r>
      <w:r w:rsidR="00991AAC" w:rsidRPr="00B223FE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Pr="00B223FE">
        <w:rPr>
          <w:rFonts w:eastAsiaTheme="minorEastAsia"/>
          <w:sz w:val="24"/>
          <w:szCs w:val="24"/>
        </w:rPr>
        <w:t xml:space="preserve"> oraz potencjalną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2775DE">
        <w:rPr>
          <w:rFonts w:eastAsiaTheme="minorEastAsia"/>
          <w:sz w:val="24"/>
          <w:szCs w:val="24"/>
        </w:rPr>
        <w:t xml:space="preserve">, więc </w:t>
      </w:r>
      <w:r w:rsidRPr="00B223FE">
        <w:rPr>
          <w:rFonts w:eastAsiaTheme="minorEastAsia"/>
          <w:sz w:val="24"/>
          <w:szCs w:val="24"/>
        </w:rPr>
        <w:t>teraz za</w:t>
      </w:r>
      <w:r w:rsidR="002775DE">
        <w:rPr>
          <w:rFonts w:eastAsiaTheme="minorEastAsia"/>
          <w:sz w:val="24"/>
          <w:szCs w:val="24"/>
        </w:rPr>
        <w:t xml:space="preserve">piszemy </w:t>
      </w:r>
      <w:proofErr w:type="spellStart"/>
      <w:r w:rsidRPr="00B223FE">
        <w:rPr>
          <w:rFonts w:eastAsiaTheme="minorEastAsia"/>
          <w:sz w:val="24"/>
          <w:szCs w:val="24"/>
        </w:rPr>
        <w:t>Lagranżjan</w:t>
      </w:r>
      <w:proofErr w:type="spellEnd"/>
      <w:r w:rsidRPr="00B223FE">
        <w:rPr>
          <w:rFonts w:eastAsiaTheme="minorEastAsia"/>
          <w:sz w:val="24"/>
          <w:szCs w:val="24"/>
        </w:rPr>
        <w:t xml:space="preserve"> dla naszego układu:</w:t>
      </w:r>
    </w:p>
    <w:p w:rsidR="00991AAC" w:rsidRPr="00B223FE" w:rsidRDefault="008F7CCD" w:rsidP="00B223FE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</m:oMath>
      </m:oMathPara>
    </w:p>
    <w:p w:rsidR="008F7CCD" w:rsidRPr="00B223FE" w:rsidRDefault="008F7CCD" w:rsidP="00B223FE">
      <w:pPr>
        <w:jc w:val="both"/>
        <w:rPr>
          <w:sz w:val="24"/>
          <w:szCs w:val="24"/>
        </w:rPr>
      </w:pPr>
      <w:r w:rsidRPr="00B223FE">
        <w:rPr>
          <w:sz w:val="24"/>
          <w:szCs w:val="24"/>
        </w:rPr>
        <w:t>W następnej kolejności możemy wyznaczyć równania ruchu wykorzystując wzór:</w:t>
      </w:r>
    </w:p>
    <w:p w:rsidR="008F7CCD" w:rsidRPr="00B223FE" w:rsidRDefault="002D7716" w:rsidP="00B223FE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δL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8F7CCD" w:rsidRPr="00B223FE" w:rsidRDefault="008F7CCD" w:rsidP="00B223FE">
      <w:pPr>
        <w:jc w:val="both"/>
        <w:rPr>
          <w:rFonts w:eastAsiaTheme="minorEastAsia"/>
          <w:sz w:val="24"/>
          <w:szCs w:val="24"/>
        </w:rPr>
      </w:pPr>
      <w:r w:rsidRPr="00B223FE">
        <w:rPr>
          <w:rFonts w:eastAsiaTheme="minorEastAsia"/>
          <w:sz w:val="24"/>
          <w:szCs w:val="24"/>
        </w:rPr>
        <w:t xml:space="preserve">gdzie 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67468" w:rsidRPr="00B223FE">
        <w:rPr>
          <w:rFonts w:eastAsiaTheme="minorEastAsia"/>
          <w:sz w:val="24"/>
          <w:szCs w:val="24"/>
        </w:rPr>
        <w:t xml:space="preserve"> podstawimy naszą zmienną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067468" w:rsidRPr="00B223FE">
        <w:rPr>
          <w:rFonts w:eastAsiaTheme="minorEastAsia"/>
          <w:sz w:val="24"/>
          <w:szCs w:val="24"/>
        </w:rPr>
        <w:t xml:space="preserve"> lub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="00067468" w:rsidRPr="00B223FE">
        <w:rPr>
          <w:rFonts w:eastAsiaTheme="minorEastAsia"/>
          <w:sz w:val="24"/>
          <w:szCs w:val="24"/>
        </w:rPr>
        <w:t>.</w:t>
      </w:r>
    </w:p>
    <w:p w:rsidR="00067468" w:rsidRPr="00B223FE" w:rsidRDefault="00067468" w:rsidP="00B223FE">
      <w:pPr>
        <w:jc w:val="both"/>
        <w:rPr>
          <w:sz w:val="24"/>
          <w:szCs w:val="24"/>
        </w:rPr>
      </w:pPr>
      <w:r w:rsidRPr="00B223FE">
        <w:rPr>
          <w:sz w:val="24"/>
          <w:szCs w:val="24"/>
        </w:rPr>
        <w:t>Równania ruchu dla naszego wahadła przyjmą postać:</w:t>
      </w:r>
    </w:p>
    <w:p w:rsidR="00067468" w:rsidRPr="00B223FE" w:rsidRDefault="00171256" w:rsidP="00B223FE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ml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=-mg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-2m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</m:oMath>
      </m:oMathPara>
    </w:p>
    <w:p w:rsidR="00067468" w:rsidRPr="00B223FE" w:rsidRDefault="00067468" w:rsidP="00B223FE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=ml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+mg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-k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067468" w:rsidRPr="00B223FE" w:rsidRDefault="00067468" w:rsidP="00B223FE">
      <w:pPr>
        <w:jc w:val="both"/>
        <w:rPr>
          <w:rFonts w:eastAsiaTheme="minorEastAsia"/>
          <w:sz w:val="24"/>
          <w:szCs w:val="24"/>
        </w:rPr>
      </w:pPr>
      <w:r w:rsidRPr="00B223FE">
        <w:rPr>
          <w:rFonts w:eastAsiaTheme="minorEastAsia"/>
          <w:sz w:val="24"/>
          <w:szCs w:val="24"/>
        </w:rPr>
        <w:t xml:space="preserve">Dzielimy równania </w:t>
      </w:r>
      <w:r w:rsidR="00171256" w:rsidRPr="00B223FE">
        <w:rPr>
          <w:rFonts w:eastAsiaTheme="minorEastAsia"/>
          <w:sz w:val="24"/>
          <w:szCs w:val="24"/>
        </w:rPr>
        <w:t xml:space="preserve">stronami </w:t>
      </w:r>
      <w:r w:rsidRPr="00B223FE">
        <w:rPr>
          <w:rFonts w:eastAsiaTheme="minorEastAsia"/>
          <w:sz w:val="24"/>
          <w:szCs w:val="24"/>
        </w:rPr>
        <w:t>odpowiednio</w:t>
      </w:r>
      <w:r w:rsidR="00171256" w:rsidRPr="00B223FE">
        <w:rPr>
          <w:rFonts w:eastAsiaTheme="minorEastAsia"/>
          <w:sz w:val="24"/>
          <w:szCs w:val="24"/>
        </w:rPr>
        <w:t xml:space="preserve"> przez </w:t>
      </w:r>
      <m:oMath>
        <m:r>
          <w:rPr>
            <w:rFonts w:ascii="Cambria Math" w:eastAsiaTheme="minorEastAsia" w:hAnsi="Cambria Math"/>
            <w:sz w:val="24"/>
            <w:szCs w:val="24"/>
          </w:rPr>
          <m:t>ml</m:t>
        </m:r>
      </m:oMath>
      <w:r w:rsidR="00171256" w:rsidRPr="00B223FE">
        <w:rPr>
          <w:rFonts w:eastAsiaTheme="minorEastAsia"/>
          <w:sz w:val="24"/>
          <w:szCs w:val="24"/>
        </w:rPr>
        <w:t xml:space="preserve"> oraz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171256" w:rsidRPr="00B223FE">
        <w:rPr>
          <w:rFonts w:eastAsiaTheme="minorEastAsia"/>
          <w:sz w:val="24"/>
          <w:szCs w:val="24"/>
        </w:rPr>
        <w:t>:</w:t>
      </w:r>
    </w:p>
    <w:p w:rsidR="00255DC4" w:rsidRPr="00B223FE" w:rsidRDefault="002D7716" w:rsidP="00255DC4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gsi</m:t>
              </m:r>
              <m:func>
                <m:func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</m:oMath>
      </m:oMathPara>
    </w:p>
    <w:p w:rsidR="00255DC4" w:rsidRPr="00B223FE" w:rsidRDefault="002D7716" w:rsidP="00255DC4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=g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+l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171256" w:rsidRPr="00B223FE" w:rsidRDefault="009B59E4" w:rsidP="00B223FE">
      <w:pPr>
        <w:jc w:val="both"/>
        <w:rPr>
          <w:rFonts w:eastAsiaTheme="minorEastAsia"/>
          <w:sz w:val="24"/>
          <w:szCs w:val="24"/>
        </w:rPr>
      </w:pPr>
      <w:r w:rsidRPr="00B223FE">
        <w:rPr>
          <w:rFonts w:eastAsiaTheme="minorEastAsia"/>
          <w:sz w:val="24"/>
          <w:szCs w:val="24"/>
        </w:rPr>
        <w:t xml:space="preserve">Możemy teraz w programie </w:t>
      </w:r>
      <w:proofErr w:type="spellStart"/>
      <w:r w:rsidRPr="00B223FE">
        <w:rPr>
          <w:rFonts w:eastAsiaTheme="minorEastAsia"/>
          <w:sz w:val="24"/>
          <w:szCs w:val="24"/>
        </w:rPr>
        <w:t>Matlab</w:t>
      </w:r>
      <w:proofErr w:type="spellEnd"/>
      <w:r w:rsidRPr="00B223FE">
        <w:rPr>
          <w:rFonts w:eastAsiaTheme="minorEastAsia"/>
          <w:sz w:val="24"/>
          <w:szCs w:val="24"/>
        </w:rPr>
        <w:t xml:space="preserve"> przeprowadzić symulację ruchu naszego wahadła wykorzystując funkcję </w:t>
      </w:r>
      <w:r w:rsidRPr="00B223FE">
        <w:rPr>
          <w:rFonts w:eastAsiaTheme="minorEastAsia"/>
          <w:i/>
          <w:sz w:val="24"/>
          <w:szCs w:val="24"/>
        </w:rPr>
        <w:t>ode45</w:t>
      </w:r>
      <w:r w:rsidRPr="00B223FE">
        <w:rPr>
          <w:rFonts w:eastAsiaTheme="minorEastAsia"/>
          <w:sz w:val="24"/>
          <w:szCs w:val="24"/>
        </w:rPr>
        <w:t xml:space="preserve"> oraz </w:t>
      </w:r>
      <w:r w:rsidR="00E860C2">
        <w:rPr>
          <w:rFonts w:eastAsiaTheme="minorEastAsia"/>
          <w:sz w:val="24"/>
          <w:szCs w:val="24"/>
        </w:rPr>
        <w:t>wyprowadzone</w:t>
      </w:r>
      <w:r w:rsidRPr="00B223FE">
        <w:rPr>
          <w:rFonts w:eastAsiaTheme="minorEastAsia"/>
          <w:sz w:val="24"/>
          <w:szCs w:val="24"/>
        </w:rPr>
        <w:t xml:space="preserve"> równania</w:t>
      </w:r>
      <w:r w:rsidR="00B223FE" w:rsidRPr="00B223FE">
        <w:rPr>
          <w:rFonts w:eastAsiaTheme="minorEastAsia"/>
          <w:sz w:val="24"/>
          <w:szCs w:val="24"/>
        </w:rPr>
        <w:t xml:space="preserve"> do których wstawimy przykładowe wartości parametrów:</w:t>
      </w:r>
    </w:p>
    <w:p w:rsidR="00B223FE" w:rsidRPr="00B223FE" w:rsidRDefault="00B223FE" w:rsidP="00B223FE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l=1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k=20,  g=10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71256" w:rsidRPr="00072D0A" w:rsidRDefault="00B223FE" w:rsidP="00072D0A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 w:rsidRPr="00B223FE">
        <w:rPr>
          <w:rFonts w:cs="Courier New"/>
          <w:color w:val="000000"/>
          <w:sz w:val="24"/>
          <w:szCs w:val="24"/>
        </w:rPr>
        <w:t>Okaz</w:t>
      </w:r>
      <w:r w:rsidR="00072D0A">
        <w:rPr>
          <w:rFonts w:cs="Courier New"/>
          <w:color w:val="000000"/>
          <w:sz w:val="24"/>
          <w:szCs w:val="24"/>
        </w:rPr>
        <w:t>uje się jednak, że</w:t>
      </w:r>
      <w:r>
        <w:rPr>
          <w:rFonts w:cs="Courier New"/>
          <w:color w:val="000000"/>
          <w:sz w:val="24"/>
          <w:szCs w:val="24"/>
        </w:rPr>
        <w:t xml:space="preserve"> wahadło będzie prawdopodobnie poruszać się nieskończenie długo (nie zatrzyma się) ze względu na brak sił tarcia lub jakichkolwiek innych oporów</w:t>
      </w:r>
      <w:r w:rsidR="002775DE">
        <w:rPr>
          <w:rFonts w:cs="Courier New"/>
          <w:color w:val="000000"/>
          <w:sz w:val="24"/>
          <w:szCs w:val="24"/>
        </w:rPr>
        <w:t xml:space="preserve"> ruchu</w:t>
      </w:r>
      <w:r>
        <w:rPr>
          <w:rFonts w:cs="Courier New"/>
          <w:color w:val="000000"/>
          <w:sz w:val="24"/>
          <w:szCs w:val="24"/>
        </w:rPr>
        <w:t>. Aby temu zapobiec zmodyfikowałem nieco ostateczne r</w:t>
      </w:r>
      <w:r w:rsidR="00072D0A">
        <w:rPr>
          <w:rFonts w:cs="Courier New"/>
          <w:color w:val="000000"/>
          <w:sz w:val="24"/>
          <w:szCs w:val="24"/>
        </w:rPr>
        <w:t>ozwiązanie</w:t>
      </w:r>
      <w:r>
        <w:rPr>
          <w:rFonts w:cs="Courier New"/>
          <w:color w:val="000000"/>
          <w:sz w:val="24"/>
          <w:szCs w:val="24"/>
        </w:rPr>
        <w:t xml:space="preserve"> uwzględniając dodatkowy parametr z tym związany.</w:t>
      </w:r>
      <w:r w:rsidR="00AD67F8">
        <w:rPr>
          <w:rFonts w:cs="Courier New"/>
          <w:color w:val="000000"/>
          <w:sz w:val="24"/>
          <w:szCs w:val="24"/>
        </w:rPr>
        <w:t xml:space="preserve"> Program działa jednak poprawie i bez tego (w innych warunkach, bez oporów).</w:t>
      </w:r>
    </w:p>
    <w:p w:rsidR="00B223FE" w:rsidRPr="00B223FE" w:rsidRDefault="002D7716" w:rsidP="00B223FE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gsi</m:t>
              </m:r>
              <m:func>
                <m:func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</m:oMath>
      </m:oMathPara>
    </w:p>
    <w:p w:rsidR="00B223FE" w:rsidRPr="00CF504F" w:rsidRDefault="002D7716" w:rsidP="00B223FE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=g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+l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</m:acc>
        </m:oMath>
      </m:oMathPara>
    </w:p>
    <w:p w:rsidR="00AD67F8" w:rsidRPr="00B223FE" w:rsidRDefault="00CF504F" w:rsidP="00B223F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Teraz wahadło</w:t>
      </w:r>
      <w:r w:rsidR="002775DE">
        <w:rPr>
          <w:rFonts w:eastAsiaTheme="minorEastAsia"/>
          <w:sz w:val="24"/>
          <w:szCs w:val="24"/>
        </w:rPr>
        <w:t xml:space="preserve"> po upływie pewnego czasu</w:t>
      </w:r>
      <w:r>
        <w:rPr>
          <w:rFonts w:eastAsiaTheme="minorEastAsia"/>
          <w:sz w:val="24"/>
          <w:szCs w:val="24"/>
        </w:rPr>
        <w:t xml:space="preserve"> powinno się zatrzymać.</w:t>
      </w:r>
    </w:p>
    <w:sectPr w:rsidR="00AD67F8" w:rsidRPr="00B22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6F0"/>
    <w:rsid w:val="00067468"/>
    <w:rsid w:val="00072D0A"/>
    <w:rsid w:val="00171256"/>
    <w:rsid w:val="001E64A0"/>
    <w:rsid w:val="00236112"/>
    <w:rsid w:val="00255DC4"/>
    <w:rsid w:val="00276065"/>
    <w:rsid w:val="002775DE"/>
    <w:rsid w:val="002D7716"/>
    <w:rsid w:val="003146B7"/>
    <w:rsid w:val="00367EDB"/>
    <w:rsid w:val="003F44EA"/>
    <w:rsid w:val="004C7C40"/>
    <w:rsid w:val="005C6183"/>
    <w:rsid w:val="008116F0"/>
    <w:rsid w:val="008F7CCD"/>
    <w:rsid w:val="00991AAC"/>
    <w:rsid w:val="009B59E4"/>
    <w:rsid w:val="009C38B4"/>
    <w:rsid w:val="009F0BAE"/>
    <w:rsid w:val="00AD67F8"/>
    <w:rsid w:val="00B223FE"/>
    <w:rsid w:val="00B47F17"/>
    <w:rsid w:val="00CD0055"/>
    <w:rsid w:val="00CF504F"/>
    <w:rsid w:val="00D30B41"/>
    <w:rsid w:val="00E8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2D93"/>
  <w15:chartTrackingRefBased/>
  <w15:docId w15:val="{E62BE6C1-6C21-410B-B02C-EA070160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36112"/>
    <w:rPr>
      <w:color w:val="808080"/>
    </w:rPr>
  </w:style>
  <w:style w:type="paragraph" w:styleId="Bezodstpw">
    <w:name w:val="No Spacing"/>
    <w:uiPriority w:val="1"/>
    <w:qFormat/>
    <w:rsid w:val="002361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364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Aramil</dc:creator>
  <cp:keywords/>
  <dc:description/>
  <cp:lastModifiedBy>Aramil</cp:lastModifiedBy>
  <cp:revision>19</cp:revision>
  <cp:lastPrinted>2014-01-18T13:24:00Z</cp:lastPrinted>
  <dcterms:created xsi:type="dcterms:W3CDTF">2014-01-17T23:36:00Z</dcterms:created>
  <dcterms:modified xsi:type="dcterms:W3CDTF">2017-12-17T13:56:00Z</dcterms:modified>
</cp:coreProperties>
</file>