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 TRADE AI v10</w:t>
      </w:r>
    </w:p>
    <w:p>
      <w:pPr>
        <w:jc w:val="center"/>
      </w:pPr>
      <w:r>
        <w:rPr>
          <w:sz w:val="20"/>
        </w:rPr>
        <w:t>Run Window: 1000  ·  Date: 2026-04-29  ·  Generated: 10:09:45 ET</w:t>
      </w:r>
    </w:p>
    <w:p>
      <w:pPr>
        <w:pBdr>
          <w:bottom w:val="single" w:sz="4" w:space="1" w:color="1A73E8"/>
        </w:pBdr>
      </w:pPr>
    </w:p>
    <w:p>
      <w:bookmarkStart w:id="1" w:name="toc"/>
      <w:pPr>
        <w:pStyle w:val="Heading2"/>
      </w:pPr>
      <w:r>
        <w:t>Table of Contents</w:t>
      </w:r>
      <w:bookmarkEnd w:id="1"/>
    </w:p>
    <w:p>
      <w:pPr>
        <w:spacing w:after="40"/>
      </w:pPr>
      <w:r>
        <w:t xml:space="preserve">  → </w:t>
      </w:r>
      <w:hyperlink w:anchor="exec_summary">
        <w:r>
          <w:rPr>
            <w:rStyle w:val="Hyperlink"/>
          </w:rPr>
          <w:t xml:space="preserve">Executive Summary</w:t>
        </w:r>
      </w:hyperlink>
    </w:p>
    <w:p>
      <w:pPr>
        <w:spacing w:after="40"/>
      </w:pPr>
      <w:r>
        <w:t xml:space="preserve">  → </w:t>
      </w:r>
      <w:hyperlink w:anchor="delta_section">
        <w:r>
          <w:rPr>
            <w:rStyle w:val="Hyperlink"/>
          </w:rPr>
          <w:t xml:space="preserve">What Changed</w:t>
        </w:r>
      </w:hyperlink>
    </w:p>
    <w:p>
      <w:pPr>
        <w:spacing w:after="40"/>
      </w:pPr>
      <w:r>
        <w:t xml:space="preserve">  → </w:t>
      </w:r>
      <w:hyperlink w:anchor="scorecard">
        <w:r>
          <w:rPr>
            <w:rStyle w:val="Hyperlink"/>
          </w:rPr>
          <w:t xml:space="preserve">Full Scorecard</w:t>
        </w:r>
      </w:hyperlink>
    </w:p>
    <w:p>
      <w:pPr>
        <w:spacing w:after="40"/>
      </w:pPr>
      <w:r>
        <w:t xml:space="preserve">  → </w:t>
      </w:r>
      <w:hyperlink w:anchor="go_picks">
        <w:r>
          <w:rPr>
            <w:rStyle w:val="Hyperlink"/>
          </w:rPr>
          <w:t xml:space="preserve">GO-Tier Picks</w:t>
        </w:r>
      </w:hyperlink>
    </w:p>
    <w:p>
      <w:pPr>
        <w:spacing w:after="40"/>
      </w:pPr>
      <w:r>
        <w:t xml:space="preserve">  → </w:t>
      </w:r>
      <w:hyperlink w:anchor="cat_tape">
        <w:r>
          <w:rPr>
            <w:rStyle w:val="Hyperlink"/>
          </w:rPr>
          <w:t xml:space="preserve">Catalyst Tape</w:t>
        </w:r>
      </w:hyperlink>
    </w:p>
    <w:p>
      <w:pPr>
        <w:spacing w:after="40"/>
      </w:pPr>
      <w:r>
        <w:t xml:space="preserve">  → </w:t>
      </w:r>
      <w:hyperlink w:anchor="tos_export">
        <w:r>
          <w:rPr>
            <w:rStyle w:val="Hyperlink"/>
          </w:rPr>
          <w:t xml:space="preserve">ThinkorSwim Export</w:t>
        </w:r>
      </w:hyperlink>
    </w:p>
    <w:p>
      <w:bookmarkStart w:id="2" w:name="exec_summary"/>
      <w:pPr>
        <w:pStyle w:val="Heading2"/>
      </w:pPr>
      <w:r>
        <w:t>Executive Summary</w:t>
      </w:r>
      <w:bookmarkEnd w:id="2"/>
    </w:p>
    <w:tbl>
      <w:tblPr>
        <w:tblStyle w:val="TableGrid"/>
        <w:tblW w:type="auto" w:w="0"/>
        <w:tblLook w:firstColumn="1" w:firstRow="1" w:lastColumn="0" w:lastRow="0" w:noHBand="0" w:noVBand="1" w:val="04A0"/>
      </w:tblPr>
      <w:tblGrid>
        <w:gridCol w:w="5040"/>
        <w:gridCol w:w="5040"/>
      </w:tblGrid>
      <w:tr>
        <w:tc>
          <w:tcPr>
            <w:tcW w:type="dxa" w:w="5040"/>
            <w:shd w:val="clear" w:color="auto" w:fill="2C2C44"/>
          </w:tcPr>
          <w:p>
            <w:r>
              <w:rPr>
                <w:b/>
              </w:rPr>
              <w:t>Metric</w:t>
            </w:r>
          </w:p>
        </w:tc>
        <w:tc>
          <w:tcPr>
            <w:tcW w:type="dxa" w:w="5040"/>
            <w:shd w:val="clear" w:color="auto" w:fill="2C2C44"/>
          </w:tcPr>
          <w:p>
            <w:r>
              <w:rPr>
                <w:b/>
              </w:rPr>
              <w:t>Value</w:t>
            </w:r>
          </w:p>
        </w:tc>
      </w:tr>
      <w:tr>
        <w:tc>
          <w:tcPr>
            <w:tcW w:type="dxa" w:w="5040"/>
          </w:tcPr>
          <w:p>
            <w:r>
              <w:t>Total Tickers Scanned</w:t>
            </w:r>
          </w:p>
        </w:tc>
        <w:tc>
          <w:tcPr>
            <w:tcW w:type="dxa" w:w="5040"/>
          </w:tcPr>
          <w:p>
            <w:r>
              <w:t>17</w:t>
            </w:r>
          </w:p>
        </w:tc>
      </w:tr>
      <w:tr>
        <w:tc>
          <w:tcPr>
            <w:tcW w:type="dxa" w:w="5040"/>
          </w:tcPr>
          <w:p>
            <w:r>
              <w:t>GO-Tier (≥40)</w:t>
            </w:r>
          </w:p>
        </w:tc>
        <w:tc>
          <w:tcPr>
            <w:tcW w:type="dxa" w:w="5040"/>
          </w:tcPr>
          <w:p>
            <w:r>
              <w:t>5</w:t>
            </w:r>
          </w:p>
        </w:tc>
      </w:tr>
      <w:tr>
        <w:tc>
          <w:tcPr>
            <w:tcW w:type="dxa" w:w="5040"/>
          </w:tcPr>
          <w:p>
            <w:r>
              <w:t>WAIT-Tier (30–39)</w:t>
            </w:r>
          </w:p>
        </w:tc>
        <w:tc>
          <w:tcPr>
            <w:tcW w:type="dxa" w:w="5040"/>
          </w:tcPr>
          <w:p>
            <w:r>
              <w:t>5</w:t>
            </w:r>
          </w:p>
        </w:tc>
      </w:tr>
      <w:tr>
        <w:tc>
          <w:tcPr>
            <w:tcW w:type="dxa" w:w="5040"/>
          </w:tcPr>
          <w:p>
            <w:r>
              <w:t>New Tickers This Run</w:t>
            </w:r>
          </w:p>
        </w:tc>
        <w:tc>
          <w:tcPr>
            <w:tcW w:type="dxa" w:w="5040"/>
          </w:tcPr>
          <w:p>
            <w:r>
              <w:t>0</w:t>
            </w:r>
          </w:p>
        </w:tc>
      </w:tr>
      <w:tr>
        <w:tc>
          <w:tcPr>
            <w:tcW w:type="dxa" w:w="5040"/>
          </w:tcPr>
          <w:p>
            <w:r>
              <w:t>Delta Events</w:t>
            </w:r>
          </w:p>
        </w:tc>
        <w:tc>
          <w:tcPr>
            <w:tcW w:type="dxa" w:w="5040"/>
          </w:tcPr>
          <w:p>
            <w:r>
              <w:t>11</w:t>
            </w:r>
          </w:p>
        </w:tc>
      </w:tr>
      <w:tr>
        <w:tc>
          <w:tcPr>
            <w:tcW w:type="dxa" w:w="5040"/>
          </w:tcPr>
          <w:p>
            <w:r>
              <w:t>Top Score</w:t>
            </w:r>
          </w:p>
        </w:tc>
        <w:tc>
          <w:tcPr>
            <w:tcW w:type="dxa" w:w="5040"/>
          </w:tcPr>
          <w:p>
            <w:r>
              <w:t>50 (SAGT)</w:t>
            </w:r>
          </w:p>
        </w:tc>
      </w:tr>
    </w:tbl>
    <w:p>
      <w:bookmarkStart w:id="3" w:name="delta_section"/>
      <w:pPr>
        <w:pStyle w:val="Heading2"/>
      </w:pPr>
      <w:r>
        <w:t>What Changed Since Last Run</w:t>
      </w:r>
      <w:bookmarkEnd w:id="3"/>
    </w:p>
    <w:p>
      <w:pPr>
        <w:spacing w:after="20"/>
      </w:pPr>
      <w:r>
        <w:rPr>
          <w:sz w:val="19"/>
        </w:rPr>
        <w:t>📈 UP   SAGT  —  35 → 50 (+15)</w:t>
      </w:r>
    </w:p>
    <w:p>
      <w:pPr>
        <w:spacing w:after="20"/>
      </w:pPr>
      <w:r>
        <w:rPr>
          <w:sz w:val="19"/>
        </w:rPr>
        <w:t>📈 UP   FCEL  —  26 → 43 (+17)</w:t>
      </w:r>
    </w:p>
    <w:p>
      <w:pPr>
        <w:spacing w:after="20"/>
      </w:pPr>
      <w:r>
        <w:rPr>
          <w:sz w:val="19"/>
        </w:rPr>
        <w:t>📈 UP   TRAW  —  28 → 43 (+15)</w:t>
      </w:r>
    </w:p>
    <w:p>
      <w:pPr>
        <w:spacing w:after="20"/>
      </w:pPr>
      <w:r>
        <w:rPr>
          <w:sz w:val="19"/>
        </w:rPr>
        <w:t>📈 UP   PRCH  —  28 → 42 (+14)</w:t>
      </w:r>
    </w:p>
    <w:p>
      <w:pPr>
        <w:spacing w:after="20"/>
      </w:pPr>
      <w:r>
        <w:rPr>
          <w:sz w:val="19"/>
        </w:rPr>
        <w:t>📈 UP   KALV  —  28 → 41 (+13)</w:t>
      </w:r>
    </w:p>
    <w:p>
      <w:pPr>
        <w:spacing w:after="20"/>
      </w:pPr>
      <w:r>
        <w:rPr>
          <w:sz w:val="19"/>
        </w:rPr>
        <w:t>📈 UP   FVRR  —  30 → 39 (+9)</w:t>
      </w:r>
    </w:p>
    <w:p>
      <w:pPr>
        <w:spacing w:after="20"/>
      </w:pPr>
      <w:r>
        <w:rPr>
          <w:sz w:val="19"/>
        </w:rPr>
        <w:t>📈 UP   SKYQ  —  28 → 37 (+9)</w:t>
      </w:r>
    </w:p>
    <w:p>
      <w:pPr>
        <w:spacing w:after="20"/>
      </w:pPr>
      <w:r>
        <w:rPr>
          <w:sz w:val="19"/>
        </w:rPr>
        <w:t>📈 UP   MNTS  —  22 → 30 (+8)</w:t>
      </w:r>
    </w:p>
    <w:p>
      <w:pPr>
        <w:spacing w:after="20"/>
      </w:pPr>
      <w:r>
        <w:rPr>
          <w:sz w:val="19"/>
        </w:rPr>
        <w:t>📈 UP   AGIO  —  17 → 29 (+12)</w:t>
      </w:r>
    </w:p>
    <w:p>
      <w:pPr>
        <w:spacing w:after="20"/>
      </w:pPr>
      <w:r>
        <w:rPr>
          <w:sz w:val="19"/>
        </w:rPr>
        <w:t>📈 UP   NBP  —  20 → 29 (+9)</w:t>
      </w:r>
    </w:p>
    <w:p>
      <w:pPr>
        <w:spacing w:after="20"/>
      </w:pPr>
      <w:r>
        <w:rPr>
          <w:sz w:val="19"/>
        </w:rPr>
        <w:t>📈 UP   MAIA  —  15 → 21 (+6)</w:t>
      </w:r>
    </w:p>
    <w:p>
      <w:bookmarkStart w:id="4" w:name="scorecard"/>
      <w:pPr>
        <w:pStyle w:val="Heading2"/>
      </w:pPr>
      <w:r>
        <w:t>Full Scorecard</w:t>
      </w:r>
      <w:bookmarkEnd w:id="4"/>
    </w:p>
    <w:tbl>
      <w:tblPr>
        <w:tblStyle w:val="TableGrid"/>
        <w:tblW w:type="auto" w:w="0"/>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1008"/>
            <w:shd w:val="clear" w:color="auto" w:fill="2C2C44"/>
          </w:tcPr>
          <w:p>
            <w:r>
              <w:rPr>
                <w:b/>
                <w:color w:val="1A73E8"/>
              </w:rPr>
              <w:t>Symbol</w:t>
            </w:r>
          </w:p>
        </w:tc>
        <w:tc>
          <w:tcPr>
            <w:tcW w:type="dxa" w:w="1008"/>
            <w:shd w:val="clear" w:color="auto" w:fill="2C2C44"/>
          </w:tcPr>
          <w:p>
            <w:r>
              <w:rPr>
                <w:b/>
                <w:color w:val="1A73E8"/>
              </w:rPr>
              <w:t>Score</w:t>
            </w:r>
          </w:p>
        </w:tc>
        <w:tc>
          <w:tcPr>
            <w:tcW w:type="dxa" w:w="1008"/>
            <w:shd w:val="clear" w:color="auto" w:fill="2C2C44"/>
          </w:tcPr>
          <w:p>
            <w:r>
              <w:rPr>
                <w:b/>
                <w:color w:val="1A73E8"/>
              </w:rPr>
              <w:t>Grade</w:t>
            </w:r>
          </w:p>
        </w:tc>
        <w:tc>
          <w:tcPr>
            <w:tcW w:type="dxa" w:w="1008"/>
            <w:shd w:val="clear" w:color="auto" w:fill="2C2C44"/>
          </w:tcPr>
          <w:p>
            <w:r>
              <w:rPr>
                <w:b/>
                <w:color w:val="1A73E8"/>
              </w:rPr>
              <w:t>Decision</w:t>
            </w:r>
          </w:p>
        </w:tc>
        <w:tc>
          <w:tcPr>
            <w:tcW w:type="dxa" w:w="1008"/>
            <w:shd w:val="clear" w:color="auto" w:fill="2C2C44"/>
          </w:tcPr>
          <w:p>
            <w:r>
              <w:rPr>
                <w:b/>
                <w:color w:val="1A73E8"/>
              </w:rPr>
              <w:t>RVOL</w:t>
            </w:r>
          </w:p>
        </w:tc>
        <w:tc>
          <w:tcPr>
            <w:tcW w:type="dxa" w:w="1008"/>
            <w:shd w:val="clear" w:color="auto" w:fill="2C2C44"/>
          </w:tcPr>
          <w:p>
            <w:r>
              <w:rPr>
                <w:b/>
                <w:color w:val="1A73E8"/>
              </w:rPr>
              <w:t>Price</w:t>
            </w:r>
          </w:p>
        </w:tc>
        <w:tc>
          <w:tcPr>
            <w:tcW w:type="dxa" w:w="1008"/>
            <w:shd w:val="clear" w:color="auto" w:fill="2C2C44"/>
          </w:tcPr>
          <w:p>
            <w:r>
              <w:rPr>
                <w:b/>
                <w:color w:val="1A73E8"/>
              </w:rPr>
              <w:t>Chg%</w:t>
            </w:r>
          </w:p>
        </w:tc>
        <w:tc>
          <w:tcPr>
            <w:tcW w:type="dxa" w:w="1008"/>
            <w:shd w:val="clear" w:color="auto" w:fill="2C2C44"/>
          </w:tcPr>
          <w:p>
            <w:r>
              <w:rPr>
                <w:b/>
                <w:color w:val="1A73E8"/>
              </w:rPr>
              <w:t>Gap%</w:t>
            </w:r>
          </w:p>
        </w:tc>
        <w:tc>
          <w:tcPr>
            <w:tcW w:type="dxa" w:w="1008"/>
            <w:shd w:val="clear" w:color="auto" w:fill="2C2C44"/>
          </w:tcPr>
          <w:p>
            <w:r>
              <w:rPr>
                <w:b/>
                <w:color w:val="1A73E8"/>
              </w:rPr>
              <w:t>Float M</w:t>
            </w:r>
          </w:p>
        </w:tc>
        <w:tc>
          <w:tcPr>
            <w:tcW w:type="dxa" w:w="1008"/>
            <w:shd w:val="clear" w:color="auto" w:fill="2C2C44"/>
          </w:tcPr>
          <w:p>
            <w:r>
              <w:rPr>
                <w:b/>
                <w:color w:val="1A73E8"/>
              </w:rPr>
              <w:t>Catalyst</w:t>
            </w:r>
          </w:p>
        </w:tc>
      </w:tr>
      <w:tr>
        <w:tc>
          <w:tcPr>
            <w:tcW w:type="dxa" w:w="1008"/>
          </w:tcPr>
          <w:p>
            <w:r>
              <w:rPr>
                <w:sz w:val="17"/>
              </w:rPr>
              <w:t>SAGT</w:t>
            </w:r>
          </w:p>
        </w:tc>
        <w:tc>
          <w:tcPr>
            <w:tcW w:type="dxa" w:w="1008"/>
          </w:tcPr>
          <w:p>
            <w:r>
              <w:rPr>
                <w:sz w:val="17"/>
              </w:rPr>
              <w:t>50</w:t>
            </w:r>
          </w:p>
        </w:tc>
        <w:tc>
          <w:tcPr>
            <w:tcW w:type="dxa" w:w="1008"/>
          </w:tcPr>
          <w:p>
            <w:r>
              <w:rPr>
                <w:sz w:val="17"/>
              </w:rPr>
              <w:t>A_plus</w:t>
            </w:r>
          </w:p>
        </w:tc>
        <w:tc>
          <w:tcPr>
            <w:tcW w:type="dxa" w:w="1008"/>
          </w:tcPr>
          <w:p>
            <w:r>
              <w:rPr>
                <w:b/>
                <w:color w:val="0F9D58"/>
                <w:sz w:val="17"/>
              </w:rPr>
              <w:t>GO</w:t>
            </w:r>
          </w:p>
        </w:tc>
        <w:tc>
          <w:tcPr>
            <w:tcW w:type="dxa" w:w="1008"/>
          </w:tcPr>
          <w:p>
            <w:r>
              <w:rPr>
                <w:sz w:val="17"/>
              </w:rPr>
              <w:t>11.5x</w:t>
            </w:r>
          </w:p>
        </w:tc>
        <w:tc>
          <w:tcPr>
            <w:tcW w:type="dxa" w:w="1008"/>
          </w:tcPr>
          <w:p>
            <w:r>
              <w:rPr>
                <w:sz w:val="17"/>
              </w:rPr>
              <w:t>$2.48</w:t>
            </w:r>
          </w:p>
        </w:tc>
        <w:tc>
          <w:tcPr>
            <w:tcW w:type="dxa" w:w="1008"/>
          </w:tcPr>
          <w:p>
            <w:r>
              <w:rPr>
                <w:sz w:val="17"/>
              </w:rPr>
              <w:t>+45.9%</w:t>
            </w:r>
          </w:p>
        </w:tc>
        <w:tc>
          <w:tcPr>
            <w:tcW w:type="dxa" w:w="1008"/>
          </w:tcPr>
          <w:p>
            <w:r>
              <w:rPr>
                <w:sz w:val="17"/>
              </w:rPr>
              <w:t>+80.3%</w:t>
            </w:r>
          </w:p>
        </w:tc>
        <w:tc>
          <w:tcPr>
            <w:tcW w:type="dxa" w:w="1008"/>
          </w:tcPr>
          <w:p>
            <w:r>
              <w:rPr>
                <w:sz w:val="17"/>
              </w:rPr>
              <w:t>0.3M</w:t>
            </w:r>
          </w:p>
        </w:tc>
        <w:tc>
          <w:tcPr>
            <w:tcW w:type="dxa" w:w="1008"/>
          </w:tcPr>
          <w:p>
            <w:r>
              <w:rPr>
                <w:sz w:val="17"/>
              </w:rPr>
              <w:t>Get insights into the top gainers and losers of We</w:t>
            </w:r>
          </w:p>
        </w:tc>
      </w:tr>
      <w:tr>
        <w:tc>
          <w:tcPr>
            <w:tcW w:type="dxa" w:w="1008"/>
          </w:tcPr>
          <w:p>
            <w:r>
              <w:rPr>
                <w:sz w:val="17"/>
              </w:rPr>
              <w:t>FCEL</w:t>
            </w:r>
          </w:p>
        </w:tc>
        <w:tc>
          <w:tcPr>
            <w:tcW w:type="dxa" w:w="1008"/>
          </w:tcPr>
          <w:p>
            <w:r>
              <w:rPr>
                <w:sz w:val="17"/>
              </w:rPr>
              <w:t>43</w:t>
            </w:r>
          </w:p>
        </w:tc>
        <w:tc>
          <w:tcPr>
            <w:tcW w:type="dxa" w:w="1008"/>
          </w:tcPr>
          <w:p>
            <w:r>
              <w:rPr>
                <w:sz w:val="17"/>
              </w:rPr>
              <w:t>A</w:t>
            </w:r>
          </w:p>
        </w:tc>
        <w:tc>
          <w:tcPr>
            <w:tcW w:type="dxa" w:w="1008"/>
          </w:tcPr>
          <w:p>
            <w:r>
              <w:rPr>
                <w:b/>
                <w:color w:val="0F9D58"/>
                <w:sz w:val="17"/>
              </w:rPr>
              <w:t>GO</w:t>
            </w:r>
          </w:p>
        </w:tc>
        <w:tc>
          <w:tcPr>
            <w:tcW w:type="dxa" w:w="1008"/>
          </w:tcPr>
          <w:p>
            <w:r>
              <w:rPr>
                <w:sz w:val="17"/>
              </w:rPr>
              <w:t>9.8x</w:t>
            </w:r>
          </w:p>
        </w:tc>
        <w:tc>
          <w:tcPr>
            <w:tcW w:type="dxa" w:w="1008"/>
          </w:tcPr>
          <w:p>
            <w:r>
              <w:rPr>
                <w:sz w:val="17"/>
              </w:rPr>
              <w:t>$11.07</w:t>
            </w:r>
          </w:p>
        </w:tc>
        <w:tc>
          <w:tcPr>
            <w:tcW w:type="dxa" w:w="1008"/>
          </w:tcPr>
          <w:p>
            <w:r>
              <w:rPr>
                <w:sz w:val="17"/>
              </w:rPr>
              <w:t>+11.4%</w:t>
            </w:r>
          </w:p>
        </w:tc>
        <w:tc>
          <w:tcPr>
            <w:tcW w:type="dxa" w:w="1008"/>
          </w:tcPr>
          <w:p>
            <w:r>
              <w:rPr>
                <w:sz w:val="17"/>
              </w:rPr>
              <w:t>+14.3%</w:t>
            </w:r>
          </w:p>
        </w:tc>
        <w:tc>
          <w:tcPr>
            <w:tcW w:type="dxa" w:w="1008"/>
          </w:tcPr>
          <w:p>
            <w:r>
              <w:rPr>
                <w:sz w:val="17"/>
              </w:rPr>
              <w:t>52.9M</w:t>
            </w:r>
          </w:p>
        </w:tc>
        <w:tc>
          <w:tcPr>
            <w:tcW w:type="dxa" w:w="1008"/>
          </w:tcPr>
          <w:p>
            <w:r>
              <w:rPr>
                <w:sz w:val="17"/>
              </w:rPr>
              <w:t>Bloom Energy Hikes AI-Fueled Outlook Above Views A</w:t>
            </w:r>
          </w:p>
        </w:tc>
      </w:tr>
      <w:tr>
        <w:tc>
          <w:tcPr>
            <w:tcW w:type="dxa" w:w="1008"/>
          </w:tcPr>
          <w:p>
            <w:r>
              <w:rPr>
                <w:sz w:val="17"/>
              </w:rPr>
              <w:t>TRAW</w:t>
            </w:r>
          </w:p>
        </w:tc>
        <w:tc>
          <w:tcPr>
            <w:tcW w:type="dxa" w:w="1008"/>
          </w:tcPr>
          <w:p>
            <w:r>
              <w:rPr>
                <w:sz w:val="17"/>
              </w:rPr>
              <w:t>43</w:t>
            </w:r>
          </w:p>
        </w:tc>
        <w:tc>
          <w:tcPr>
            <w:tcW w:type="dxa" w:w="1008"/>
          </w:tcPr>
          <w:p>
            <w:r>
              <w:rPr>
                <w:sz w:val="17"/>
              </w:rPr>
              <w:t>A</w:t>
            </w:r>
          </w:p>
        </w:tc>
        <w:tc>
          <w:tcPr>
            <w:tcW w:type="dxa" w:w="1008"/>
          </w:tcPr>
          <w:p>
            <w:r>
              <w:rPr>
                <w:b/>
                <w:color w:val="0F9D58"/>
                <w:sz w:val="17"/>
              </w:rPr>
              <w:t>GO</w:t>
            </w:r>
          </w:p>
        </w:tc>
        <w:tc>
          <w:tcPr>
            <w:tcW w:type="dxa" w:w="1008"/>
          </w:tcPr>
          <w:p>
            <w:r>
              <w:rPr>
                <w:sz w:val="17"/>
              </w:rPr>
              <w:t>12.9x</w:t>
            </w:r>
          </w:p>
        </w:tc>
        <w:tc>
          <w:tcPr>
            <w:tcW w:type="dxa" w:w="1008"/>
          </w:tcPr>
          <w:p>
            <w:r>
              <w:rPr>
                <w:sz w:val="17"/>
              </w:rPr>
              <w:t>$1.29</w:t>
            </w:r>
          </w:p>
        </w:tc>
        <w:tc>
          <w:tcPr>
            <w:tcW w:type="dxa" w:w="1008"/>
          </w:tcPr>
          <w:p>
            <w:r>
              <w:rPr>
                <w:sz w:val="17"/>
              </w:rPr>
              <w:t>+6.6%</w:t>
            </w:r>
          </w:p>
        </w:tc>
        <w:tc>
          <w:tcPr>
            <w:tcW w:type="dxa" w:w="1008"/>
          </w:tcPr>
          <w:p>
            <w:r>
              <w:rPr>
                <w:sz w:val="17"/>
              </w:rPr>
              <w:t>+15.7%</w:t>
            </w:r>
          </w:p>
        </w:tc>
        <w:tc>
          <w:tcPr>
            <w:tcW w:type="dxa" w:w="1008"/>
          </w:tcPr>
          <w:p>
            <w:r>
              <w:rPr>
                <w:sz w:val="17"/>
              </w:rPr>
              <w:t>7.7M</w:t>
            </w:r>
          </w:p>
        </w:tc>
        <w:tc>
          <w:tcPr>
            <w:tcW w:type="dxa" w:w="1008"/>
          </w:tcPr>
          <w:p>
            <w:r>
              <w:rPr>
                <w:sz w:val="17"/>
              </w:rPr>
              <w:t>12 Health Care Stocks Moving In Wednesday's Pre-Ma</w:t>
            </w:r>
          </w:p>
        </w:tc>
      </w:tr>
      <w:tr>
        <w:tc>
          <w:tcPr>
            <w:tcW w:type="dxa" w:w="1008"/>
          </w:tcPr>
          <w:p>
            <w:r>
              <w:rPr>
                <w:sz w:val="17"/>
              </w:rPr>
              <w:t>PRCH</w:t>
            </w:r>
          </w:p>
        </w:tc>
        <w:tc>
          <w:tcPr>
            <w:tcW w:type="dxa" w:w="1008"/>
          </w:tcPr>
          <w:p>
            <w:r>
              <w:rPr>
                <w:sz w:val="17"/>
              </w:rPr>
              <w:t>42</w:t>
            </w:r>
          </w:p>
        </w:tc>
        <w:tc>
          <w:tcPr>
            <w:tcW w:type="dxa" w:w="1008"/>
          </w:tcPr>
          <w:p>
            <w:r>
              <w:rPr>
                <w:sz w:val="17"/>
              </w:rPr>
              <w:t>A</w:t>
            </w:r>
          </w:p>
        </w:tc>
        <w:tc>
          <w:tcPr>
            <w:tcW w:type="dxa" w:w="1008"/>
          </w:tcPr>
          <w:p>
            <w:r>
              <w:rPr>
                <w:b/>
                <w:color w:val="0F9D58"/>
                <w:sz w:val="17"/>
              </w:rPr>
              <w:t>GO</w:t>
            </w:r>
          </w:p>
        </w:tc>
        <w:tc>
          <w:tcPr>
            <w:tcW w:type="dxa" w:w="1008"/>
          </w:tcPr>
          <w:p>
            <w:r>
              <w:rPr>
                <w:sz w:val="17"/>
              </w:rPr>
              <w:t>6.5x</w:t>
            </w:r>
          </w:p>
        </w:tc>
        <w:tc>
          <w:tcPr>
            <w:tcW w:type="dxa" w:w="1008"/>
          </w:tcPr>
          <w:p>
            <w:r>
              <w:rPr>
                <w:sz w:val="17"/>
              </w:rPr>
              <w:t>$10.28</w:t>
            </w:r>
          </w:p>
        </w:tc>
        <w:tc>
          <w:tcPr>
            <w:tcW w:type="dxa" w:w="1008"/>
          </w:tcPr>
          <w:p>
            <w:r>
              <w:rPr>
                <w:sz w:val="17"/>
              </w:rPr>
              <w:t>+19.7%</w:t>
            </w:r>
          </w:p>
        </w:tc>
        <w:tc>
          <w:tcPr>
            <w:tcW w:type="dxa" w:w="1008"/>
          </w:tcPr>
          <w:p>
            <w:r>
              <w:rPr>
                <w:sz w:val="17"/>
              </w:rPr>
              <w:t>+17.6%</w:t>
            </w:r>
          </w:p>
        </w:tc>
        <w:tc>
          <w:tcPr>
            <w:tcW w:type="dxa" w:w="1008"/>
          </w:tcPr>
          <w:p>
            <w:r>
              <w:rPr>
                <w:sz w:val="17"/>
              </w:rPr>
              <w:t>82.0M</w:t>
            </w:r>
          </w:p>
        </w:tc>
        <w:tc>
          <w:tcPr>
            <w:tcW w:type="dxa" w:w="1008"/>
          </w:tcPr>
          <w:p>
            <w:r>
              <w:rPr>
                <w:sz w:val="17"/>
              </w:rPr>
              <w:t>Porch Group Inc (PRCH) Q1 2026 Earnings Call Highl</w:t>
            </w:r>
          </w:p>
        </w:tc>
      </w:tr>
      <w:tr>
        <w:tc>
          <w:tcPr>
            <w:tcW w:type="dxa" w:w="1008"/>
          </w:tcPr>
          <w:p>
            <w:r>
              <w:rPr>
                <w:sz w:val="17"/>
              </w:rPr>
              <w:t>KALV</w:t>
            </w:r>
          </w:p>
        </w:tc>
        <w:tc>
          <w:tcPr>
            <w:tcW w:type="dxa" w:w="1008"/>
          </w:tcPr>
          <w:p>
            <w:r>
              <w:rPr>
                <w:sz w:val="17"/>
              </w:rPr>
              <w:t>41</w:t>
            </w:r>
          </w:p>
        </w:tc>
        <w:tc>
          <w:tcPr>
            <w:tcW w:type="dxa" w:w="1008"/>
          </w:tcPr>
          <w:p>
            <w:r>
              <w:rPr>
                <w:sz w:val="17"/>
              </w:rPr>
              <w:t>A</w:t>
            </w:r>
          </w:p>
        </w:tc>
        <w:tc>
          <w:tcPr>
            <w:tcW w:type="dxa" w:w="1008"/>
          </w:tcPr>
          <w:p>
            <w:r>
              <w:rPr>
                <w:b/>
                <w:color w:val="0F9D58"/>
                <w:sz w:val="17"/>
              </w:rPr>
              <w:t>GO</w:t>
            </w:r>
          </w:p>
        </w:tc>
        <w:tc>
          <w:tcPr>
            <w:tcW w:type="dxa" w:w="1008"/>
          </w:tcPr>
          <w:p>
            <w:r>
              <w:rPr>
                <w:sz w:val="17"/>
              </w:rPr>
              <w:t>6.4x</w:t>
            </w:r>
          </w:p>
        </w:tc>
        <w:tc>
          <w:tcPr>
            <w:tcW w:type="dxa" w:w="1008"/>
          </w:tcPr>
          <w:p>
            <w:r>
              <w:rPr>
                <w:sz w:val="17"/>
              </w:rPr>
              <w:t>$26.70</w:t>
            </w:r>
          </w:p>
        </w:tc>
        <w:tc>
          <w:tcPr>
            <w:tcW w:type="dxa" w:w="1008"/>
          </w:tcPr>
          <w:p>
            <w:r>
              <w:rPr>
                <w:sz w:val="17"/>
              </w:rPr>
              <w:t>+38.8%</w:t>
            </w:r>
          </w:p>
        </w:tc>
        <w:tc>
          <w:tcPr>
            <w:tcW w:type="dxa" w:w="1008"/>
          </w:tcPr>
          <w:p>
            <w:r>
              <w:rPr>
                <w:sz w:val="17"/>
              </w:rPr>
              <w:t>+38.8%</w:t>
            </w:r>
          </w:p>
        </w:tc>
        <w:tc>
          <w:tcPr>
            <w:tcW w:type="dxa" w:w="1008"/>
          </w:tcPr>
          <w:p>
            <w:r>
              <w:rPr>
                <w:sz w:val="17"/>
              </w:rPr>
              <w:t>37.9M</w:t>
            </w:r>
          </w:p>
        </w:tc>
        <w:tc>
          <w:tcPr>
            <w:tcW w:type="dxa" w:w="1008"/>
          </w:tcPr>
          <w:p>
            <w:r>
              <w:rPr>
                <w:sz w:val="17"/>
              </w:rPr>
              <w:t>Get insights into the top gainers and losers of We</w:t>
            </w:r>
          </w:p>
        </w:tc>
      </w:tr>
      <w:tr>
        <w:tc>
          <w:tcPr>
            <w:tcW w:type="dxa" w:w="1008"/>
          </w:tcPr>
          <w:p>
            <w:r>
              <w:rPr>
                <w:sz w:val="17"/>
              </w:rPr>
              <w:t>FVRR</w:t>
            </w:r>
          </w:p>
        </w:tc>
        <w:tc>
          <w:tcPr>
            <w:tcW w:type="dxa" w:w="1008"/>
          </w:tcPr>
          <w:p>
            <w:r>
              <w:rPr>
                <w:sz w:val="17"/>
              </w:rPr>
              <w:t>39</w:t>
            </w:r>
          </w:p>
        </w:tc>
        <w:tc>
          <w:tcPr>
            <w:tcW w:type="dxa" w:w="1008"/>
          </w:tcPr>
          <w:p>
            <w:r>
              <w:rPr>
                <w:sz w:val="17"/>
              </w:rPr>
              <w:t>B</w:t>
            </w:r>
          </w:p>
        </w:tc>
        <w:tc>
          <w:tcPr>
            <w:tcW w:type="dxa" w:w="1008"/>
          </w:tcPr>
          <w:p>
            <w:r>
              <w:rPr>
                <w:b/>
                <w:color w:val="F4B400"/>
                <w:sz w:val="17"/>
              </w:rPr>
              <w:t>WAIT</w:t>
            </w:r>
          </w:p>
        </w:tc>
        <w:tc>
          <w:tcPr>
            <w:tcW w:type="dxa" w:w="1008"/>
          </w:tcPr>
          <w:p>
            <w:r>
              <w:rPr>
                <w:sz w:val="17"/>
              </w:rPr>
              <w:t>4.6x</w:t>
            </w:r>
          </w:p>
        </w:tc>
        <w:tc>
          <w:tcPr>
            <w:tcW w:type="dxa" w:w="1008"/>
          </w:tcPr>
          <w:p>
            <w:r>
              <w:rPr>
                <w:sz w:val="17"/>
              </w:rPr>
              <w:t>$12.31</w:t>
            </w:r>
          </w:p>
        </w:tc>
        <w:tc>
          <w:tcPr>
            <w:tcW w:type="dxa" w:w="1008"/>
          </w:tcPr>
          <w:p>
            <w:r>
              <w:rPr>
                <w:sz w:val="17"/>
              </w:rPr>
              <w:t>+18.8%</w:t>
            </w:r>
          </w:p>
        </w:tc>
        <w:tc>
          <w:tcPr>
            <w:tcW w:type="dxa" w:w="1008"/>
          </w:tcPr>
          <w:p>
            <w:r>
              <w:rPr>
                <w:sz w:val="17"/>
              </w:rPr>
              <w:t>+17.3%</w:t>
            </w:r>
          </w:p>
        </w:tc>
        <w:tc>
          <w:tcPr>
            <w:tcW w:type="dxa" w:w="1008"/>
          </w:tcPr>
          <w:p>
            <w:r>
              <w:rPr>
                <w:sz w:val="17"/>
              </w:rPr>
              <w:t>29.9M</w:t>
            </w:r>
          </w:p>
        </w:tc>
        <w:tc>
          <w:tcPr>
            <w:tcW w:type="dxa" w:w="1008"/>
          </w:tcPr>
          <w:p>
            <w:r>
              <w:rPr>
                <w:sz w:val="17"/>
              </w:rPr>
              <w:t>Fiverr Jumps 10% After Revenue Beat and Upgraded P</w:t>
            </w:r>
          </w:p>
        </w:tc>
      </w:tr>
      <w:tr>
        <w:tc>
          <w:tcPr>
            <w:tcW w:type="dxa" w:w="1008"/>
          </w:tcPr>
          <w:p>
            <w:r>
              <w:rPr>
                <w:sz w:val="17"/>
              </w:rPr>
              <w:t>SKYQ</w:t>
            </w:r>
          </w:p>
        </w:tc>
        <w:tc>
          <w:tcPr>
            <w:tcW w:type="dxa" w:w="1008"/>
          </w:tcPr>
          <w:p>
            <w:r>
              <w:rPr>
                <w:sz w:val="17"/>
              </w:rPr>
              <w:t>37</w:t>
            </w:r>
          </w:p>
        </w:tc>
        <w:tc>
          <w:tcPr>
            <w:tcW w:type="dxa" w:w="1008"/>
          </w:tcPr>
          <w:p>
            <w:r>
              <w:rPr>
                <w:sz w:val="17"/>
              </w:rPr>
              <w:t>B</w:t>
            </w:r>
          </w:p>
        </w:tc>
        <w:tc>
          <w:tcPr>
            <w:tcW w:type="dxa" w:w="1008"/>
          </w:tcPr>
          <w:p>
            <w:r>
              <w:rPr>
                <w:b/>
                <w:color w:val="F4B400"/>
                <w:sz w:val="17"/>
              </w:rPr>
              <w:t>WAIT</w:t>
            </w:r>
          </w:p>
        </w:tc>
        <w:tc>
          <w:tcPr>
            <w:tcW w:type="dxa" w:w="1008"/>
          </w:tcPr>
          <w:p>
            <w:r>
              <w:rPr>
                <w:sz w:val="17"/>
              </w:rPr>
              <w:t>32.9x</w:t>
            </w:r>
          </w:p>
        </w:tc>
        <w:tc>
          <w:tcPr>
            <w:tcW w:type="dxa" w:w="1008"/>
          </w:tcPr>
          <w:p>
            <w:r>
              <w:rPr>
                <w:sz w:val="17"/>
              </w:rPr>
              <w:t>$6.25</w:t>
            </w:r>
          </w:p>
        </w:tc>
        <w:tc>
          <w:tcPr>
            <w:tcW w:type="dxa" w:w="1008"/>
          </w:tcPr>
          <w:p>
            <w:r>
              <w:rPr>
                <w:sz w:val="17"/>
              </w:rPr>
              <w:t>+5.9%</w:t>
            </w:r>
          </w:p>
        </w:tc>
        <w:tc>
          <w:tcPr>
            <w:tcW w:type="dxa" w:w="1008"/>
          </w:tcPr>
          <w:p>
            <w:r>
              <w:rPr>
                <w:sz w:val="17"/>
              </w:rPr>
              <w:t>+6.8%</w:t>
            </w:r>
          </w:p>
        </w:tc>
        <w:tc>
          <w:tcPr>
            <w:tcW w:type="dxa" w:w="1008"/>
          </w:tcPr>
          <w:p>
            <w:r>
              <w:rPr>
                <w:sz w:val="17"/>
              </w:rPr>
              <w:t>3.0M</w:t>
            </w:r>
          </w:p>
        </w:tc>
        <w:tc>
          <w:tcPr>
            <w:tcW w:type="dxa" w:w="1008"/>
          </w:tcPr>
          <w:p>
            <w:r>
              <w:rPr>
                <w:sz w:val="17"/>
              </w:rPr>
              <w:t>Sky Quarry Issues Request for Proposals to Acceler</w:t>
            </w:r>
          </w:p>
        </w:tc>
      </w:tr>
      <w:tr>
        <w:tc>
          <w:tcPr>
            <w:tcW w:type="dxa" w:w="1008"/>
          </w:tcPr>
          <w:p>
            <w:r>
              <w:rPr>
                <w:sz w:val="17"/>
              </w:rPr>
              <w:t>RDZN</w:t>
            </w:r>
          </w:p>
        </w:tc>
        <w:tc>
          <w:tcPr>
            <w:tcW w:type="dxa" w:w="1008"/>
          </w:tcPr>
          <w:p>
            <w:r>
              <w:rPr>
                <w:sz w:val="17"/>
              </w:rPr>
              <w:t>33</w:t>
            </w:r>
          </w:p>
        </w:tc>
        <w:tc>
          <w:tcPr>
            <w:tcW w:type="dxa" w:w="1008"/>
          </w:tcPr>
          <w:p>
            <w:r>
              <w:rPr>
                <w:sz w:val="17"/>
              </w:rPr>
              <w:t>B</w:t>
            </w:r>
          </w:p>
        </w:tc>
        <w:tc>
          <w:tcPr>
            <w:tcW w:type="dxa" w:w="1008"/>
          </w:tcPr>
          <w:p>
            <w:r>
              <w:rPr>
                <w:b/>
                <w:color w:val="F4B400"/>
                <w:sz w:val="17"/>
              </w:rPr>
              <w:t>WAIT</w:t>
            </w:r>
          </w:p>
        </w:tc>
        <w:tc>
          <w:tcPr>
            <w:tcW w:type="dxa" w:w="1008"/>
          </w:tcPr>
          <w:p>
            <w:r>
              <w:rPr>
                <w:sz w:val="17"/>
              </w:rPr>
              <w:t>9.3x</w:t>
            </w:r>
          </w:p>
        </w:tc>
        <w:tc>
          <w:tcPr>
            <w:tcW w:type="dxa" w:w="1008"/>
          </w:tcPr>
          <w:p>
            <w:r>
              <w:rPr>
                <w:sz w:val="17"/>
              </w:rPr>
              <w:t>$1.62</w:t>
            </w:r>
          </w:p>
        </w:tc>
        <w:tc>
          <w:tcPr>
            <w:tcW w:type="dxa" w:w="1008"/>
          </w:tcPr>
          <w:p>
            <w:r>
              <w:rPr>
                <w:sz w:val="17"/>
              </w:rPr>
              <w:t>+10.2%</w:t>
            </w:r>
          </w:p>
        </w:tc>
        <w:tc>
          <w:tcPr>
            <w:tcW w:type="dxa" w:w="1008"/>
          </w:tcPr>
          <w:p>
            <w:r>
              <w:rPr>
                <w:sz w:val="17"/>
              </w:rPr>
              <w:t>+13.6%</w:t>
            </w:r>
          </w:p>
        </w:tc>
        <w:tc>
          <w:tcPr>
            <w:tcW w:type="dxa" w:w="1008"/>
          </w:tcPr>
          <w:p>
            <w:r>
              <w:rPr>
                <w:sz w:val="17"/>
              </w:rPr>
              <w:t>48.9M</w:t>
            </w:r>
          </w:p>
        </w:tc>
        <w:tc>
          <w:tcPr>
            <w:tcW w:type="dxa" w:w="1008"/>
          </w:tcPr>
          <w:p>
            <w:r>
              <w:rPr>
                <w:sz w:val="17"/>
              </w:rPr>
              <w:t>Loss-Making Roadzen, Inc. (NASDAQ:RDZN) Expected T</w:t>
            </w:r>
          </w:p>
        </w:tc>
      </w:tr>
      <w:tr>
        <w:tc>
          <w:tcPr>
            <w:tcW w:type="dxa" w:w="1008"/>
          </w:tcPr>
          <w:p>
            <w:r>
              <w:rPr>
                <w:sz w:val="17"/>
              </w:rPr>
              <w:t>AKAN</w:t>
            </w:r>
          </w:p>
        </w:tc>
        <w:tc>
          <w:tcPr>
            <w:tcW w:type="dxa" w:w="1008"/>
          </w:tcPr>
          <w:p>
            <w:r>
              <w:rPr>
                <w:sz w:val="17"/>
              </w:rPr>
              <w:t>32</w:t>
            </w:r>
          </w:p>
        </w:tc>
        <w:tc>
          <w:tcPr>
            <w:tcW w:type="dxa" w:w="1008"/>
          </w:tcPr>
          <w:p>
            <w:r>
              <w:rPr>
                <w:sz w:val="17"/>
              </w:rPr>
              <w:t>B</w:t>
            </w:r>
          </w:p>
        </w:tc>
        <w:tc>
          <w:tcPr>
            <w:tcW w:type="dxa" w:w="1008"/>
          </w:tcPr>
          <w:p>
            <w:r>
              <w:rPr>
                <w:b/>
                <w:color w:val="F4B400"/>
                <w:sz w:val="17"/>
              </w:rPr>
              <w:t>WAIT</w:t>
            </w:r>
          </w:p>
        </w:tc>
        <w:tc>
          <w:tcPr>
            <w:tcW w:type="dxa" w:w="1008"/>
          </w:tcPr>
          <w:p>
            <w:r>
              <w:rPr>
                <w:sz w:val="17"/>
              </w:rPr>
              <w:t>37.2x</w:t>
            </w:r>
          </w:p>
        </w:tc>
        <w:tc>
          <w:tcPr>
            <w:tcW w:type="dxa" w:w="1008"/>
          </w:tcPr>
          <w:p>
            <w:r>
              <w:rPr>
                <w:sz w:val="17"/>
              </w:rPr>
              <w:t>$20.51</w:t>
            </w:r>
          </w:p>
        </w:tc>
        <w:tc>
          <w:tcPr>
            <w:tcW w:type="dxa" w:w="1008"/>
          </w:tcPr>
          <w:p>
            <w:r>
              <w:rPr>
                <w:sz w:val="17"/>
              </w:rPr>
              <w:t>+17.3%</w:t>
            </w:r>
          </w:p>
        </w:tc>
        <w:tc>
          <w:tcPr>
            <w:tcW w:type="dxa" w:w="1008"/>
          </w:tcPr>
          <w:p>
            <w:r>
              <w:rPr>
                <w:sz w:val="17"/>
              </w:rPr>
              <w:t>+13.6%</w:t>
            </w:r>
          </w:p>
        </w:tc>
        <w:tc>
          <w:tcPr>
            <w:tcW w:type="dxa" w:w="1008"/>
          </w:tcPr>
          <w:p>
            <w:r>
              <w:rPr>
                <w:sz w:val="17"/>
              </w:rPr>
              <w:t>0.5M</w:t>
            </w:r>
          </w:p>
        </w:tc>
        <w:tc>
          <w:tcPr>
            <w:tcW w:type="dxa" w:w="1008"/>
          </w:tcPr>
          <w:p>
            <w:r>
              <w:rPr>
                <w:sz w:val="17"/>
              </w:rPr>
              <w:t>Akanda Adjourns Special Meeting of Shareholders</w:t>
            </w:r>
          </w:p>
        </w:tc>
      </w:tr>
      <w:tr>
        <w:tc>
          <w:tcPr>
            <w:tcW w:type="dxa" w:w="1008"/>
          </w:tcPr>
          <w:p>
            <w:r>
              <w:rPr>
                <w:sz w:val="17"/>
              </w:rPr>
              <w:t>MNTS</w:t>
            </w:r>
          </w:p>
        </w:tc>
        <w:tc>
          <w:tcPr>
            <w:tcW w:type="dxa" w:w="1008"/>
          </w:tcPr>
          <w:p>
            <w:r>
              <w:rPr>
                <w:sz w:val="17"/>
              </w:rPr>
              <w:t>30</w:t>
            </w:r>
          </w:p>
        </w:tc>
        <w:tc>
          <w:tcPr>
            <w:tcW w:type="dxa" w:w="1008"/>
          </w:tcPr>
          <w:p>
            <w:r>
              <w:rPr>
                <w:sz w:val="17"/>
              </w:rPr>
              <w:t>B</w:t>
            </w:r>
          </w:p>
        </w:tc>
        <w:tc>
          <w:tcPr>
            <w:tcW w:type="dxa" w:w="1008"/>
          </w:tcPr>
          <w:p>
            <w:r>
              <w:rPr>
                <w:b/>
                <w:color w:val="F4B400"/>
                <w:sz w:val="17"/>
              </w:rPr>
              <w:t>WAIT</w:t>
            </w:r>
          </w:p>
        </w:tc>
        <w:tc>
          <w:tcPr>
            <w:tcW w:type="dxa" w:w="1008"/>
          </w:tcPr>
          <w:p>
            <w:r>
              <w:rPr>
                <w:sz w:val="17"/>
              </w:rPr>
              <w:t>22.2x</w:t>
            </w:r>
          </w:p>
        </w:tc>
        <w:tc>
          <w:tcPr>
            <w:tcW w:type="dxa" w:w="1008"/>
          </w:tcPr>
          <w:p>
            <w:r>
              <w:rPr>
                <w:sz w:val="17"/>
              </w:rPr>
              <w:t>$4.60</w:t>
            </w:r>
          </w:p>
        </w:tc>
        <w:tc>
          <w:tcPr>
            <w:tcW w:type="dxa" w:w="1008"/>
          </w:tcPr>
          <w:p>
            <w:r>
              <w:rPr>
                <w:sz w:val="17"/>
              </w:rPr>
              <w:t>-10.2%</w:t>
            </w:r>
          </w:p>
        </w:tc>
        <w:tc>
          <w:tcPr>
            <w:tcW w:type="dxa" w:w="1008"/>
          </w:tcPr>
          <w:p>
            <w:r>
              <w:rPr>
                <w:sz w:val="17"/>
              </w:rPr>
              <w:t>+6.5%</w:t>
            </w:r>
          </w:p>
        </w:tc>
        <w:tc>
          <w:tcPr>
            <w:tcW w:type="dxa" w:w="1008"/>
          </w:tcPr>
          <w:p>
            <w:r>
              <w:rPr>
                <w:sz w:val="17"/>
              </w:rPr>
              <w:t>5.7M</w:t>
            </w:r>
          </w:p>
        </w:tc>
        <w:tc>
          <w:tcPr>
            <w:tcW w:type="dxa" w:w="1008"/>
          </w:tcPr>
          <w:p>
            <w:r>
              <w:rPr>
                <w:sz w:val="17"/>
              </w:rPr>
              <w:t>Fully Booked Momentus Mission Advances Through Pre</w:t>
            </w:r>
          </w:p>
        </w:tc>
      </w:tr>
      <w:tr>
        <w:tc>
          <w:tcPr>
            <w:tcW w:type="dxa" w:w="1008"/>
          </w:tcPr>
          <w:p>
            <w:r>
              <w:rPr>
                <w:sz w:val="17"/>
              </w:rPr>
              <w:t>AGIO</w:t>
            </w:r>
          </w:p>
        </w:tc>
        <w:tc>
          <w:tcPr>
            <w:tcW w:type="dxa" w:w="1008"/>
          </w:tcPr>
          <w:p>
            <w:r>
              <w:rPr>
                <w:sz w:val="17"/>
              </w:rPr>
              <w:t>29</w:t>
            </w:r>
          </w:p>
        </w:tc>
        <w:tc>
          <w:tcPr>
            <w:tcW w:type="dxa" w:w="1008"/>
          </w:tcPr>
          <w:p>
            <w:r>
              <w:rPr>
                <w:sz w:val="17"/>
              </w:rPr>
              <w:t>C</w:t>
            </w:r>
          </w:p>
        </w:tc>
        <w:tc>
          <w:tcPr>
            <w:tcW w:type="dxa" w:w="1008"/>
          </w:tcPr>
          <w:p>
            <w:r>
              <w:rPr>
                <w:b/>
                <w:color w:val="DB4437"/>
                <w:sz w:val="17"/>
              </w:rPr>
              <w:t>AVOID</w:t>
            </w:r>
          </w:p>
        </w:tc>
        <w:tc>
          <w:tcPr>
            <w:tcW w:type="dxa" w:w="1008"/>
          </w:tcPr>
          <w:p>
            <w:r>
              <w:rPr>
                <w:sz w:val="17"/>
              </w:rPr>
              <w:t>4.5x</w:t>
            </w:r>
          </w:p>
        </w:tc>
        <w:tc>
          <w:tcPr>
            <w:tcW w:type="dxa" w:w="1008"/>
          </w:tcPr>
          <w:p>
            <w:r>
              <w:rPr>
                <w:sz w:val="17"/>
              </w:rPr>
              <w:t>$27.27</w:t>
            </w:r>
          </w:p>
        </w:tc>
        <w:tc>
          <w:tcPr>
            <w:tcW w:type="dxa" w:w="1008"/>
          </w:tcPr>
          <w:p>
            <w:r>
              <w:rPr>
                <w:sz w:val="17"/>
              </w:rPr>
              <w:t>+10.0%</w:t>
            </w:r>
          </w:p>
        </w:tc>
        <w:tc>
          <w:tcPr>
            <w:tcW w:type="dxa" w:w="1008"/>
          </w:tcPr>
          <w:p>
            <w:r>
              <w:rPr>
                <w:sz w:val="17"/>
              </w:rPr>
              <w:t>+6.8%</w:t>
            </w:r>
          </w:p>
        </w:tc>
        <w:tc>
          <w:tcPr>
            <w:tcW w:type="dxa" w:w="1008"/>
          </w:tcPr>
          <w:p>
            <w:r>
              <w:rPr>
                <w:sz w:val="17"/>
              </w:rPr>
              <w:t>53.6M</w:t>
            </w:r>
          </w:p>
        </w:tc>
        <w:tc>
          <w:tcPr>
            <w:tcW w:type="dxa" w:w="1008"/>
          </w:tcPr>
          <w:p>
            <w:r>
              <w:rPr>
                <w:sz w:val="17"/>
              </w:rPr>
              <w:t>Agios Pharmaceuticals (NASDAQ:AGIO) Q1 2026 Earnin</w:t>
            </w:r>
          </w:p>
        </w:tc>
      </w:tr>
      <w:tr>
        <w:tc>
          <w:tcPr>
            <w:tcW w:type="dxa" w:w="1008"/>
          </w:tcPr>
          <w:p>
            <w:r>
              <w:rPr>
                <w:sz w:val="17"/>
              </w:rPr>
              <w:t>NBP</w:t>
            </w:r>
          </w:p>
        </w:tc>
        <w:tc>
          <w:tcPr>
            <w:tcW w:type="dxa" w:w="1008"/>
          </w:tcPr>
          <w:p>
            <w:r>
              <w:rPr>
                <w:sz w:val="17"/>
              </w:rPr>
              <w:t>29</w:t>
            </w:r>
          </w:p>
        </w:tc>
        <w:tc>
          <w:tcPr>
            <w:tcW w:type="dxa" w:w="1008"/>
          </w:tcPr>
          <w:p>
            <w:r>
              <w:rPr>
                <w:sz w:val="17"/>
              </w:rPr>
              <w:t>C</w:t>
            </w:r>
          </w:p>
        </w:tc>
        <w:tc>
          <w:tcPr>
            <w:tcW w:type="dxa" w:w="1008"/>
          </w:tcPr>
          <w:p>
            <w:r>
              <w:rPr>
                <w:b/>
                <w:color w:val="DB4437"/>
                <w:sz w:val="17"/>
              </w:rPr>
              <w:t>AVOID</w:t>
            </w:r>
          </w:p>
        </w:tc>
        <w:tc>
          <w:tcPr>
            <w:tcW w:type="dxa" w:w="1008"/>
          </w:tcPr>
          <w:p>
            <w:r>
              <w:rPr>
                <w:sz w:val="17"/>
              </w:rPr>
              <w:t>7.3x</w:t>
            </w:r>
          </w:p>
        </w:tc>
        <w:tc>
          <w:tcPr>
            <w:tcW w:type="dxa" w:w="1008"/>
          </w:tcPr>
          <w:p>
            <w:r>
              <w:rPr>
                <w:sz w:val="17"/>
              </w:rPr>
              <w:t>$2.53</w:t>
            </w:r>
          </w:p>
        </w:tc>
        <w:tc>
          <w:tcPr>
            <w:tcW w:type="dxa" w:w="1008"/>
          </w:tcPr>
          <w:p>
            <w:r>
              <w:rPr>
                <w:sz w:val="17"/>
              </w:rPr>
              <w:t>+5.9%</w:t>
            </w:r>
          </w:p>
        </w:tc>
        <w:tc>
          <w:tcPr>
            <w:tcW w:type="dxa" w:w="1008"/>
          </w:tcPr>
          <w:p>
            <w:r>
              <w:rPr>
                <w:sz w:val="17"/>
              </w:rPr>
              <w:t>+10.5%</w:t>
            </w:r>
          </w:p>
        </w:tc>
        <w:tc>
          <w:tcPr>
            <w:tcW w:type="dxa" w:w="1008"/>
          </w:tcPr>
          <w:p>
            <w:r>
              <w:rPr>
                <w:sz w:val="17"/>
              </w:rPr>
              <w:t>96.5M</w:t>
            </w:r>
          </w:p>
        </w:tc>
        <w:tc>
          <w:tcPr>
            <w:tcW w:type="dxa" w:w="1008"/>
          </w:tcPr>
          <w:p>
            <w:r>
              <w:rPr>
                <w:sz w:val="17"/>
              </w:rPr>
              <w:t>Daily – Vickers Top Buyers &amp; Sellers for 04/29/202</w:t>
            </w:r>
          </w:p>
        </w:tc>
      </w:tr>
      <w:tr>
        <w:tc>
          <w:tcPr>
            <w:tcW w:type="dxa" w:w="1008"/>
          </w:tcPr>
          <w:p>
            <w:r>
              <w:rPr>
                <w:sz w:val="17"/>
              </w:rPr>
              <w:t>PPSI</w:t>
            </w:r>
          </w:p>
        </w:tc>
        <w:tc>
          <w:tcPr>
            <w:tcW w:type="dxa" w:w="1008"/>
          </w:tcPr>
          <w:p>
            <w:r>
              <w:rPr>
                <w:sz w:val="17"/>
              </w:rPr>
              <w:t>29</w:t>
            </w:r>
          </w:p>
        </w:tc>
        <w:tc>
          <w:tcPr>
            <w:tcW w:type="dxa" w:w="1008"/>
          </w:tcPr>
          <w:p>
            <w:r>
              <w:rPr>
                <w:sz w:val="17"/>
              </w:rPr>
              <w:t>C</w:t>
            </w:r>
          </w:p>
        </w:tc>
        <w:tc>
          <w:tcPr>
            <w:tcW w:type="dxa" w:w="1008"/>
          </w:tcPr>
          <w:p>
            <w:r>
              <w:rPr>
                <w:b/>
                <w:color w:val="DB4437"/>
                <w:sz w:val="17"/>
              </w:rPr>
              <w:t>AVOID</w:t>
            </w:r>
          </w:p>
        </w:tc>
        <w:tc>
          <w:tcPr>
            <w:tcW w:type="dxa" w:w="1008"/>
          </w:tcPr>
          <w:p>
            <w:r>
              <w:rPr>
                <w:sz w:val="17"/>
              </w:rPr>
              <w:t>8.0x</w:t>
            </w:r>
          </w:p>
        </w:tc>
        <w:tc>
          <w:tcPr>
            <w:tcW w:type="dxa" w:w="1008"/>
          </w:tcPr>
          <w:p>
            <w:r>
              <w:rPr>
                <w:sz w:val="17"/>
              </w:rPr>
              <w:t>$3.68</w:t>
            </w:r>
          </w:p>
        </w:tc>
        <w:tc>
          <w:tcPr>
            <w:tcW w:type="dxa" w:w="1008"/>
          </w:tcPr>
          <w:p>
            <w:r>
              <w:rPr>
                <w:sz w:val="17"/>
              </w:rPr>
              <w:t>-3.4%</w:t>
            </w:r>
          </w:p>
        </w:tc>
        <w:tc>
          <w:tcPr>
            <w:tcW w:type="dxa" w:w="1008"/>
          </w:tcPr>
          <w:p>
            <w:r>
              <w:rPr>
                <w:sz w:val="17"/>
              </w:rPr>
              <w:t>+8.9%</w:t>
            </w:r>
          </w:p>
        </w:tc>
        <w:tc>
          <w:tcPr>
            <w:tcW w:type="dxa" w:w="1008"/>
          </w:tcPr>
          <w:p>
            <w:r>
              <w:rPr>
                <w:sz w:val="17"/>
              </w:rPr>
              <w:t>8.6M</w:t>
            </w:r>
          </w:p>
        </w:tc>
        <w:tc>
          <w:tcPr>
            <w:tcW w:type="dxa" w:w="1008"/>
          </w:tcPr>
          <w:p>
            <w:r>
              <w:rPr>
                <w:sz w:val="17"/>
              </w:rPr>
              <w:t>Pioneer Power Solutions And 2 Other Penny Stocks W</w:t>
            </w:r>
          </w:p>
        </w:tc>
      </w:tr>
      <w:tr>
        <w:tc>
          <w:tcPr>
            <w:tcW w:type="dxa" w:w="1008"/>
          </w:tcPr>
          <w:p>
            <w:r>
              <w:rPr>
                <w:sz w:val="17"/>
              </w:rPr>
              <w:t>CRBP</w:t>
            </w:r>
          </w:p>
        </w:tc>
        <w:tc>
          <w:tcPr>
            <w:tcW w:type="dxa" w:w="1008"/>
          </w:tcPr>
          <w:p>
            <w:r>
              <w:rPr>
                <w:sz w:val="17"/>
              </w:rPr>
              <w:t>27</w:t>
            </w:r>
          </w:p>
        </w:tc>
        <w:tc>
          <w:tcPr>
            <w:tcW w:type="dxa" w:w="1008"/>
          </w:tcPr>
          <w:p>
            <w:r>
              <w:rPr>
                <w:sz w:val="17"/>
              </w:rPr>
              <w:t>C</w:t>
            </w:r>
          </w:p>
        </w:tc>
        <w:tc>
          <w:tcPr>
            <w:tcW w:type="dxa" w:w="1008"/>
          </w:tcPr>
          <w:p>
            <w:r>
              <w:rPr>
                <w:b/>
                <w:color w:val="DB4437"/>
                <w:sz w:val="17"/>
              </w:rPr>
              <w:t>AVOID</w:t>
            </w:r>
          </w:p>
        </w:tc>
        <w:tc>
          <w:tcPr>
            <w:tcW w:type="dxa" w:w="1008"/>
          </w:tcPr>
          <w:p>
            <w:r>
              <w:rPr>
                <w:sz w:val="17"/>
              </w:rPr>
              <w:t>6.9x</w:t>
            </w:r>
          </w:p>
        </w:tc>
        <w:tc>
          <w:tcPr>
            <w:tcW w:type="dxa" w:w="1008"/>
          </w:tcPr>
          <w:p>
            <w:r>
              <w:rPr>
                <w:sz w:val="17"/>
              </w:rPr>
              <w:t>$10.04</w:t>
            </w:r>
          </w:p>
        </w:tc>
        <w:tc>
          <w:tcPr>
            <w:tcW w:type="dxa" w:w="1008"/>
          </w:tcPr>
          <w:p>
            <w:r>
              <w:rPr>
                <w:sz w:val="17"/>
              </w:rPr>
              <w:t>+2.2%</w:t>
            </w:r>
          </w:p>
        </w:tc>
        <w:tc>
          <w:tcPr>
            <w:tcW w:type="dxa" w:w="1008"/>
          </w:tcPr>
          <w:p>
            <w:r>
              <w:rPr>
                <w:sz w:val="17"/>
              </w:rPr>
              <w:t>+5.1%</w:t>
            </w:r>
          </w:p>
        </w:tc>
        <w:tc>
          <w:tcPr>
            <w:tcW w:type="dxa" w:w="1008"/>
          </w:tcPr>
          <w:p>
            <w:r>
              <w:rPr>
                <w:sz w:val="17"/>
              </w:rPr>
              <w:t>16.0M</w:t>
            </w:r>
          </w:p>
        </w:tc>
        <w:tc>
          <w:tcPr>
            <w:tcW w:type="dxa" w:w="1008"/>
          </w:tcPr>
          <w:p>
            <w:r>
              <w:rPr>
                <w:sz w:val="17"/>
              </w:rPr>
              <w:t>Guggenheim Initiates Corbus Pharmaceuticals at Buy</w:t>
            </w:r>
          </w:p>
        </w:tc>
      </w:tr>
      <w:tr>
        <w:tc>
          <w:tcPr>
            <w:tcW w:type="dxa" w:w="1008"/>
          </w:tcPr>
          <w:p>
            <w:r>
              <w:rPr>
                <w:sz w:val="17"/>
              </w:rPr>
              <w:t>OPFI</w:t>
            </w:r>
          </w:p>
        </w:tc>
        <w:tc>
          <w:tcPr>
            <w:tcW w:type="dxa" w:w="1008"/>
          </w:tcPr>
          <w:p>
            <w:r>
              <w:rPr>
                <w:sz w:val="17"/>
              </w:rPr>
              <w:t>25</w:t>
            </w:r>
          </w:p>
        </w:tc>
        <w:tc>
          <w:tcPr>
            <w:tcW w:type="dxa" w:w="1008"/>
          </w:tcPr>
          <w:p>
            <w:r>
              <w:rPr>
                <w:sz w:val="17"/>
              </w:rPr>
              <w:t>C</w:t>
            </w:r>
          </w:p>
        </w:tc>
        <w:tc>
          <w:tcPr>
            <w:tcW w:type="dxa" w:w="1008"/>
          </w:tcPr>
          <w:p>
            <w:r>
              <w:rPr>
                <w:b/>
                <w:color w:val="DB4437"/>
                <w:sz w:val="17"/>
              </w:rPr>
              <w:t>AVOID</w:t>
            </w:r>
          </w:p>
        </w:tc>
        <w:tc>
          <w:tcPr>
            <w:tcW w:type="dxa" w:w="1008"/>
          </w:tcPr>
          <w:p>
            <w:r>
              <w:rPr>
                <w:sz w:val="17"/>
              </w:rPr>
              <w:t>2.9x</w:t>
            </w:r>
          </w:p>
        </w:tc>
        <w:tc>
          <w:tcPr>
            <w:tcW w:type="dxa" w:w="1008"/>
          </w:tcPr>
          <w:p>
            <w:r>
              <w:rPr>
                <w:sz w:val="17"/>
              </w:rPr>
              <w:t>$9.38</w:t>
            </w:r>
          </w:p>
        </w:tc>
        <w:tc>
          <w:tcPr>
            <w:tcW w:type="dxa" w:w="1008"/>
          </w:tcPr>
          <w:p>
            <w:r>
              <w:rPr>
                <w:sz w:val="17"/>
              </w:rPr>
              <w:t>+4.1%</w:t>
            </w:r>
          </w:p>
        </w:tc>
        <w:tc>
          <w:tcPr>
            <w:tcW w:type="dxa" w:w="1008"/>
          </w:tcPr>
          <w:p>
            <w:r>
              <w:rPr>
                <w:sz w:val="17"/>
              </w:rPr>
              <w:t>+8.9%</w:t>
            </w:r>
          </w:p>
        </w:tc>
        <w:tc>
          <w:tcPr>
            <w:tcW w:type="dxa" w:w="1008"/>
          </w:tcPr>
          <w:p>
            <w:r>
              <w:rPr>
                <w:sz w:val="17"/>
              </w:rPr>
              <w:t>24.4M</w:t>
            </w:r>
          </w:p>
        </w:tc>
        <w:tc>
          <w:tcPr>
            <w:tcW w:type="dxa" w:w="1008"/>
          </w:tcPr>
          <w:p>
            <w:r>
              <w:rPr>
                <w:sz w:val="17"/>
              </w:rPr>
              <w:t>OppFi Announces Definitive Agreement to Acquire BN</w:t>
            </w:r>
          </w:p>
        </w:tc>
      </w:tr>
      <w:tr>
        <w:tc>
          <w:tcPr>
            <w:tcW w:type="dxa" w:w="1008"/>
          </w:tcPr>
          <w:p>
            <w:r>
              <w:rPr>
                <w:sz w:val="17"/>
              </w:rPr>
              <w:t>MAIA</w:t>
            </w:r>
          </w:p>
        </w:tc>
        <w:tc>
          <w:tcPr>
            <w:tcW w:type="dxa" w:w="1008"/>
          </w:tcPr>
          <w:p>
            <w:r>
              <w:rPr>
                <w:sz w:val="17"/>
              </w:rPr>
              <w:t>21</w:t>
            </w:r>
          </w:p>
        </w:tc>
        <w:tc>
          <w:tcPr>
            <w:tcW w:type="dxa" w:w="1008"/>
          </w:tcPr>
          <w:p>
            <w:r>
              <w:rPr>
                <w:sz w:val="17"/>
              </w:rPr>
              <w:t>C</w:t>
            </w:r>
          </w:p>
        </w:tc>
        <w:tc>
          <w:tcPr>
            <w:tcW w:type="dxa" w:w="1008"/>
          </w:tcPr>
          <w:p>
            <w:r>
              <w:rPr>
                <w:b/>
                <w:color w:val="DB4437"/>
                <w:sz w:val="17"/>
              </w:rPr>
              <w:t>AVOID</w:t>
            </w:r>
          </w:p>
        </w:tc>
        <w:tc>
          <w:tcPr>
            <w:tcW w:type="dxa" w:w="1008"/>
          </w:tcPr>
          <w:p>
            <w:r>
              <w:rPr>
                <w:sz w:val="17"/>
              </w:rPr>
              <w:t>7.4x</w:t>
            </w:r>
          </w:p>
        </w:tc>
        <w:tc>
          <w:tcPr>
            <w:tcW w:type="dxa" w:w="1008"/>
          </w:tcPr>
          <w:p>
            <w:r>
              <w:rPr>
                <w:sz w:val="17"/>
              </w:rPr>
              <w:t>$1.38</w:t>
            </w:r>
          </w:p>
        </w:tc>
        <w:tc>
          <w:tcPr>
            <w:tcW w:type="dxa" w:w="1008"/>
          </w:tcPr>
          <w:p>
            <w:r>
              <w:rPr>
                <w:sz w:val="17"/>
              </w:rPr>
              <w:t>+10.0%</w:t>
            </w:r>
          </w:p>
        </w:tc>
        <w:tc>
          <w:tcPr>
            <w:tcW w:type="dxa" w:w="1008"/>
          </w:tcPr>
          <w:p>
            <w:r>
              <w:rPr>
                <w:sz w:val="17"/>
              </w:rPr>
              <w:t>+5.2%</w:t>
            </w:r>
          </w:p>
        </w:tc>
        <w:tc>
          <w:tcPr>
            <w:tcW w:type="dxa" w:w="1008"/>
          </w:tcPr>
          <w:p>
            <w:r>
              <w:rPr>
                <w:sz w:val="17"/>
              </w:rPr>
              <w:t>50.8M</w:t>
            </w:r>
          </w:p>
        </w:tc>
        <w:tc>
          <w:tcPr>
            <w:tcW w:type="dxa" w:w="1008"/>
          </w:tcPr>
          <w:p>
            <w:r>
              <w:rPr>
                <w:sz w:val="17"/>
              </w:rPr>
              <w:t>—</w:t>
            </w:r>
          </w:p>
        </w:tc>
      </w:tr>
      <w:tr>
        <w:tc>
          <w:tcPr>
            <w:tcW w:type="dxa" w:w="1008"/>
          </w:tcPr>
          <w:p>
            <w:r>
              <w:rPr>
                <w:sz w:val="17"/>
              </w:rPr>
              <w:t>TEO</w:t>
            </w:r>
          </w:p>
        </w:tc>
        <w:tc>
          <w:tcPr>
            <w:tcW w:type="dxa" w:w="1008"/>
          </w:tcPr>
          <w:p>
            <w:r>
              <w:rPr>
                <w:sz w:val="17"/>
              </w:rPr>
              <w:t>17</w:t>
            </w:r>
          </w:p>
        </w:tc>
        <w:tc>
          <w:tcPr>
            <w:tcW w:type="dxa" w:w="1008"/>
          </w:tcPr>
          <w:p>
            <w:r>
              <w:rPr>
                <w:sz w:val="17"/>
              </w:rPr>
              <w:t>D</w:t>
            </w:r>
          </w:p>
        </w:tc>
        <w:tc>
          <w:tcPr>
            <w:tcW w:type="dxa" w:w="1008"/>
          </w:tcPr>
          <w:p>
            <w:r>
              <w:rPr>
                <w:b/>
                <w:color w:val="DB4437"/>
                <w:sz w:val="17"/>
              </w:rPr>
              <w:t>AVOID</w:t>
            </w:r>
          </w:p>
        </w:tc>
        <w:tc>
          <w:tcPr>
            <w:tcW w:type="dxa" w:w="1008"/>
          </w:tcPr>
          <w:p>
            <w:r>
              <w:rPr>
                <w:sz w:val="17"/>
              </w:rPr>
              <w:t>4.4x</w:t>
            </w:r>
          </w:p>
        </w:tc>
        <w:tc>
          <w:tcPr>
            <w:tcW w:type="dxa" w:w="1008"/>
          </w:tcPr>
          <w:p>
            <w:r>
              <w:rPr>
                <w:sz w:val="17"/>
              </w:rPr>
              <w:t>$11.88</w:t>
            </w:r>
          </w:p>
        </w:tc>
        <w:tc>
          <w:tcPr>
            <w:tcW w:type="dxa" w:w="1008"/>
          </w:tcPr>
          <w:p>
            <w:r>
              <w:rPr>
                <w:sz w:val="17"/>
              </w:rPr>
              <w:t>+6.2%</w:t>
            </w:r>
          </w:p>
        </w:tc>
        <w:tc>
          <w:tcPr>
            <w:tcW w:type="dxa" w:w="1008"/>
          </w:tcPr>
          <w:p>
            <w:r>
              <w:rPr>
                <w:sz w:val="17"/>
              </w:rPr>
              <w:t>+6.4%</w:t>
            </w:r>
          </w:p>
        </w:tc>
        <w:tc>
          <w:tcPr>
            <w:tcW w:type="dxa" w:w="1008"/>
          </w:tcPr>
          <w:p>
            <w:r>
              <w:rPr>
                <w:sz w:val="17"/>
              </w:rPr>
              <w:t>86.0M</w:t>
            </w:r>
          </w:p>
        </w:tc>
        <w:tc>
          <w:tcPr>
            <w:tcW w:type="dxa" w:w="1008"/>
          </w:tcPr>
          <w:p>
            <w:r>
              <w:rPr>
                <w:sz w:val="17"/>
              </w:rPr>
              <w:t>—</w:t>
            </w:r>
          </w:p>
        </w:tc>
      </w:tr>
    </w:tbl>
    <w:p/>
    <w:p>
      <w:bookmarkStart w:id="5" w:name="go_picks"/>
      <w:pPr>
        <w:pStyle w:val="Heading2"/>
      </w:pPr>
      <w:r>
        <w:t>GO-Tier Picks — Top 5</w:t>
      </w:r>
      <w:bookmarkEnd w:id="5"/>
    </w:p>
    <w:p>
      <w:pPr>
        <w:spacing w:after="20"/>
      </w:pPr>
      <w:r>
        <w:t xml:space="preserve">  → </w:t>
      </w:r>
      <w:hyperlink w:anchor="ticker_SAGT">
        <w:r>
          <w:rPr>
            <w:rStyle w:val="Hyperlink"/>
          </w:rPr>
          <w:t xml:space="preserve">SAGT</w:t>
        </w:r>
      </w:hyperlink>
    </w:p>
    <w:p>
      <w:pPr>
        <w:spacing w:after="20"/>
      </w:pPr>
      <w:r>
        <w:t xml:space="preserve">  → </w:t>
      </w:r>
      <w:hyperlink w:anchor="ticker_FCEL">
        <w:r>
          <w:rPr>
            <w:rStyle w:val="Hyperlink"/>
          </w:rPr>
          <w:t xml:space="preserve">FCEL</w:t>
        </w:r>
      </w:hyperlink>
    </w:p>
    <w:p>
      <w:pPr>
        <w:spacing w:after="20"/>
      </w:pPr>
      <w:r>
        <w:t xml:space="preserve">  → </w:t>
      </w:r>
      <w:hyperlink w:anchor="ticker_TRAW">
        <w:r>
          <w:rPr>
            <w:rStyle w:val="Hyperlink"/>
          </w:rPr>
          <w:t xml:space="preserve">TRAW</w:t>
        </w:r>
      </w:hyperlink>
    </w:p>
    <w:p>
      <w:pPr>
        <w:spacing w:after="20"/>
      </w:pPr>
      <w:r>
        <w:t xml:space="preserve">  → </w:t>
      </w:r>
      <w:hyperlink w:anchor="ticker_PRCH">
        <w:r>
          <w:rPr>
            <w:rStyle w:val="Hyperlink"/>
          </w:rPr>
          <w:t xml:space="preserve">PRCH</w:t>
        </w:r>
      </w:hyperlink>
    </w:p>
    <w:p>
      <w:pPr>
        <w:spacing w:after="20"/>
      </w:pPr>
      <w:r>
        <w:t xml:space="preserve">  → </w:t>
      </w:r>
      <w:hyperlink w:anchor="ticker_KALV">
        <w:r>
          <w:rPr>
            <w:rStyle w:val="Hyperlink"/>
          </w:rPr>
          <w:t xml:space="preserve">KALV</w:t>
        </w:r>
      </w:hyperlink>
    </w:p>
    <w:p>
      <w:bookmarkStart w:id="100" w:name="ticker_SAGT"/>
      <w:pPr>
        <w:pStyle w:val="Heading3"/>
      </w:pPr>
      <w:r>
        <w:t>SAGT  ·  Sagtec Global Ltd</w:t>
      </w:r>
      <w:bookmarkEnd w:id="100"/>
    </w:p>
    <w:p>
      <w:r>
        <w:rPr>
          <w:sz w:val="20"/>
        </w:rPr>
        <w:t xml:space="preserve">Score: 50/50  ·  Grade: A_plus  ·  </w:t>
      </w:r>
      <w:r>
        <w:rPr>
          <w:b/>
          <w:color w:val="0F9D58"/>
          <w:sz w:val="20"/>
        </w:rPr>
        <w:t>[ GO ]</w:t>
      </w:r>
    </w:p>
    <w:p>
      <w:r>
        <w:rPr>
          <w:rFonts w:ascii="Courier New" w:hAnsi="Courier New"/>
          <w:sz w:val="18"/>
        </w:rPr>
        <w:t>●●●●●●●●●●●●●○○  8/9 criteria</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val="clear" w:color="auto" w:fill="2C2C44"/>
          </w:tcPr>
          <w:p>
            <w:r>
              <w:rPr>
                <w:b/>
                <w:color w:val="9A9AB0"/>
                <w:sz w:val="16"/>
              </w:rPr>
              <w:t>Price</w:t>
            </w:r>
          </w:p>
        </w:tc>
        <w:tc>
          <w:tcPr>
            <w:tcW w:type="dxa" w:w="1680"/>
            <w:shd w:val="clear" w:color="auto" w:fill="2C2C44"/>
          </w:tcPr>
          <w:p>
            <w:r>
              <w:rPr>
                <w:b/>
                <w:color w:val="9A9AB0"/>
                <w:sz w:val="16"/>
              </w:rPr>
              <w:t>Change%</w:t>
            </w:r>
          </w:p>
        </w:tc>
        <w:tc>
          <w:tcPr>
            <w:tcW w:type="dxa" w:w="1680"/>
            <w:shd w:val="clear" w:color="auto" w:fill="2C2C44"/>
          </w:tcPr>
          <w:p>
            <w:r>
              <w:rPr>
                <w:b/>
                <w:color w:val="9A9AB0"/>
                <w:sz w:val="16"/>
              </w:rPr>
              <w:t>Gap%</w:t>
            </w:r>
          </w:p>
        </w:tc>
        <w:tc>
          <w:tcPr>
            <w:tcW w:type="dxa" w:w="1680"/>
            <w:shd w:val="clear" w:color="auto" w:fill="2C2C44"/>
          </w:tcPr>
          <w:p>
            <w:r>
              <w:rPr>
                <w:b/>
                <w:color w:val="9A9AB0"/>
                <w:sz w:val="16"/>
              </w:rPr>
              <w:t>RVOL</w:t>
            </w:r>
          </w:p>
        </w:tc>
        <w:tc>
          <w:tcPr>
            <w:tcW w:type="dxa" w:w="1680"/>
            <w:shd w:val="clear" w:color="auto" w:fill="2C2C44"/>
          </w:tcPr>
          <w:p>
            <w:r>
              <w:rPr>
                <w:b/>
                <w:color w:val="9A9AB0"/>
                <w:sz w:val="16"/>
              </w:rPr>
              <w:t>Float M</w:t>
            </w:r>
          </w:p>
        </w:tc>
        <w:tc>
          <w:tcPr>
            <w:tcW w:type="dxa" w:w="1680"/>
            <w:shd w:val="clear" w:color="auto" w:fill="2C2C44"/>
          </w:tcPr>
          <w:p>
            <w:r>
              <w:rPr>
                <w:b/>
                <w:color w:val="9A9AB0"/>
                <w:sz w:val="16"/>
              </w:rPr>
              <w:t>Volume</w:t>
            </w:r>
          </w:p>
        </w:tc>
      </w:tr>
      <w:tr>
        <w:tc>
          <w:tcPr>
            <w:tcW w:type="dxa" w:w="1680"/>
          </w:tcPr>
          <w:p>
            <w:r>
              <w:rPr>
                <w:b/>
                <w:sz w:val="18"/>
              </w:rPr>
              <w:t>$2.48</w:t>
            </w:r>
          </w:p>
        </w:tc>
        <w:tc>
          <w:tcPr>
            <w:tcW w:type="dxa" w:w="1680"/>
          </w:tcPr>
          <w:p>
            <w:r>
              <w:rPr>
                <w:b/>
                <w:sz w:val="18"/>
              </w:rPr>
              <w:t>+45.9%</w:t>
            </w:r>
          </w:p>
        </w:tc>
        <w:tc>
          <w:tcPr>
            <w:tcW w:type="dxa" w:w="1680"/>
          </w:tcPr>
          <w:p>
            <w:r>
              <w:rPr>
                <w:b/>
                <w:sz w:val="18"/>
              </w:rPr>
              <w:t>+80.3%</w:t>
            </w:r>
          </w:p>
        </w:tc>
        <w:tc>
          <w:tcPr>
            <w:tcW w:type="dxa" w:w="1680"/>
          </w:tcPr>
          <w:p>
            <w:r>
              <w:rPr>
                <w:b/>
                <w:sz w:val="18"/>
              </w:rPr>
              <w:t>11.5x</w:t>
            </w:r>
          </w:p>
        </w:tc>
        <w:tc>
          <w:tcPr>
            <w:tcW w:type="dxa" w:w="1680"/>
          </w:tcPr>
          <w:p>
            <w:r>
              <w:rPr>
                <w:b/>
                <w:sz w:val="18"/>
              </w:rPr>
              <w:t>0.3M</w:t>
            </w:r>
          </w:p>
        </w:tc>
        <w:tc>
          <w:tcPr>
            <w:tcW w:type="dxa" w:w="1680"/>
          </w:tcPr>
          <w:p>
            <w:r>
              <w:rPr>
                <w:b/>
                <w:sz w:val="18"/>
              </w:rPr>
              <w:t>82,919,614</w:t>
            </w:r>
          </w:p>
        </w:tc>
      </w:tr>
    </w:tbl>
    <w:p/>
    <w:p>
      <w:r>
        <w:rPr>
          <w:rFonts w:ascii="Courier New" w:hAnsi="Courier New"/>
          <w:sz w:val="17"/>
        </w:rPr>
        <w:t xml:space="preserve">  Catalyst          ████████████ 15/15</w:t>
      </w:r>
    </w:p>
    <w:p>
      <w:r>
        <w:rPr>
          <w:rFonts w:ascii="Courier New" w:hAnsi="Courier New"/>
          <w:sz w:val="17"/>
        </w:rPr>
        <w:t xml:space="preserve">  RVOL              ████████████ 12/12</w:t>
      </w:r>
    </w:p>
    <w:p>
      <w:r>
        <w:rPr>
          <w:rFonts w:ascii="Courier New" w:hAnsi="Courier New"/>
          <w:sz w:val="17"/>
        </w:rPr>
        <w:t xml:space="preserve">  Price Action      ████████████ 10/10</w:t>
      </w:r>
    </w:p>
    <w:p>
      <w:r>
        <w:rPr>
          <w:rFonts w:ascii="Courier New" w:hAnsi="Courier New"/>
          <w:sz w:val="17"/>
        </w:rPr>
        <w:t xml:space="preserve">  Float             ████████████ 8/8</w:t>
      </w:r>
    </w:p>
    <w:p>
      <w:r>
        <w:rPr>
          <w:rFonts w:ascii="Courier New" w:hAnsi="Courier New"/>
          <w:sz w:val="17"/>
        </w:rPr>
        <w:t xml:space="preserve">  Price Range       ████████████ 5/5</w:t>
      </w:r>
    </w:p>
    <w:p>
      <w:pPr>
        <w:spacing w:before="0" w:after="0"/>
      </w:pPr>
      <w:r>
        <w:rPr>
          <w:sz w:val="18"/>
        </w:rPr>
        <w:t xml:space="preserve">  ✅  Has catalyst</w:t>
      </w:r>
    </w:p>
    <w:p>
      <w:pPr>
        <w:spacing w:before="0" w:after="0"/>
      </w:pPr>
      <w:r>
        <w:rPr>
          <w:sz w:val="18"/>
        </w:rPr>
        <w:t xml:space="preserve">  ⬜  High-impact catalyst</w:t>
      </w:r>
    </w:p>
    <w:p>
      <w:pPr>
        <w:spacing w:before="0" w:after="0"/>
      </w:pPr>
      <w:r>
        <w:rPr>
          <w:sz w:val="18"/>
        </w:rPr>
        <w:t xml:space="preserve">  ✅  Fresh catalyst (&lt;12h)</w:t>
      </w:r>
    </w:p>
    <w:p>
      <w:pPr>
        <w:spacing w:before="0" w:after="0"/>
      </w:pPr>
      <w:r>
        <w:rPr>
          <w:sz w:val="18"/>
        </w:rPr>
        <w:t xml:space="preserve">  ✅  RVOL ≥ 3x</w:t>
      </w:r>
    </w:p>
    <w:p>
      <w:pPr>
        <w:spacing w:before="0" w:after="0"/>
      </w:pPr>
      <w:r>
        <w:rPr>
          <w:sz w:val="18"/>
        </w:rPr>
        <w:t xml:space="preserve">  ✅  RVOL ≥ 5x</w:t>
      </w:r>
    </w:p>
    <w:p>
      <w:pPr>
        <w:spacing w:before="0" w:after="0"/>
      </w:pPr>
      <w:r>
        <w:rPr>
          <w:sz w:val="18"/>
        </w:rPr>
        <w:t xml:space="preserve">  ✅  Float ≤ 50M</w:t>
      </w:r>
    </w:p>
    <w:p>
      <w:pPr>
        <w:spacing w:before="0" w:after="0"/>
      </w:pPr>
      <w:r>
        <w:rPr>
          <w:sz w:val="18"/>
        </w:rPr>
        <w:t xml:space="preserve">  ✅  Price in range ($0.50–$30)</w:t>
      </w:r>
    </w:p>
    <w:p>
      <w:pPr>
        <w:spacing w:before="0" w:after="0"/>
      </w:pPr>
      <w:r>
        <w:rPr>
          <w:sz w:val="18"/>
        </w:rPr>
        <w:t xml:space="preserve">  ✅  Gap ≥ 5%</w:t>
      </w:r>
    </w:p>
    <w:p>
      <w:pPr>
        <w:spacing w:before="0" w:after="0"/>
      </w:pPr>
      <w:r>
        <w:rPr>
          <w:sz w:val="18"/>
        </w:rPr>
        <w:t xml:space="preserve">  ✅  Change ≥ 10%</w:t>
      </w:r>
    </w:p>
    <w:p/>
    <w:p>
      <w:r>
        <w:rPr>
          <w:i/>
          <w:sz w:val="19"/>
        </w:rPr>
        <w:t>**SAGT Scalp Setup Brief**</w:t>
        <w:br/>
        <w:br/>
        <w:t>SAGT is running on massive 11.52x relative volume with an 80% gap up, likely driven by being highlighted as a top pre-market gainer creating momentum trader interest. The extreme low float (effectively 0M tradeable shares) makes this a high-risk/high-reward setup prone to violent moves in both directions. Look for entries on pullbacks to VWAP or key support levels around $2.20-2.30 rather than chasing the current momentum. Watch for any volume spikes above 2.60 as a potential breakout catalyst, but be ready for quick reversals given the thin float structure.</w:t>
      </w:r>
    </w:p>
    <w:p/>
    <w:p>
      <w:r>
        <w:rPr>
          <w:b/>
          <w:color w:val="1A73E8"/>
          <w:sz w:val="18"/>
        </w:rPr>
        <w:t>🔥 Top Catalyst  ·  1.5h ago  ·  ChartMill  ·  Low Impact</w:t>
      </w:r>
    </w:p>
    <w:p>
      <w:r>
        <w:rPr>
          <w:sz w:val="19"/>
        </w:rPr>
        <w:t>Get insights into the top gainers and losers of Wednesday's pre-market session.</w:t>
      </w:r>
    </w:p>
    <w:p>
      <w:r>
        <w:rPr>
          <w:color w:val="1A73E8"/>
          <w:sz w:val="16"/>
        </w:rPr>
        <w:t>https://finnhub.io/api/news?id=f34bf5a8bddb706f5e079477033637734803a2a753283a82d47dbcacbaa24b92</w:t>
      </w:r>
    </w:p>
    <w:p>
      <w:pPr>
        <w:pBdr>
          <w:bottom w:val="single" w:sz="4" w:space="1" w:color="1A73E8"/>
        </w:pBdr>
      </w:pPr>
    </w:p>
    <w:p>
      <w:bookmarkStart w:id="101" w:name="ticker_FCEL"/>
      <w:pPr>
        <w:pStyle w:val="Heading3"/>
      </w:pPr>
      <w:r>
        <w:t>FCEL  ·  Fuelcell Energy Inc</w:t>
      </w:r>
      <w:bookmarkEnd w:id="101"/>
    </w:p>
    <w:p>
      <w:r>
        <w:rPr>
          <w:sz w:val="20"/>
        </w:rPr>
        <w:t xml:space="preserve">Score: 43/50  ·  Grade: A  ·  </w:t>
      </w:r>
      <w:r>
        <w:rPr>
          <w:b/>
          <w:color w:val="0F9D58"/>
          <w:sz w:val="20"/>
        </w:rPr>
        <w:t>[ GO ]</w:t>
      </w:r>
    </w:p>
    <w:p>
      <w:r>
        <w:rPr>
          <w:rFonts w:ascii="Courier New" w:hAnsi="Courier New"/>
          <w:sz w:val="18"/>
        </w:rPr>
        <w:t>●●●●●●●●●●●●●○○  8/9 criteria</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val="clear" w:color="auto" w:fill="2C2C44"/>
          </w:tcPr>
          <w:p>
            <w:r>
              <w:rPr>
                <w:b/>
                <w:color w:val="9A9AB0"/>
                <w:sz w:val="16"/>
              </w:rPr>
              <w:t>Price</w:t>
            </w:r>
          </w:p>
        </w:tc>
        <w:tc>
          <w:tcPr>
            <w:tcW w:type="dxa" w:w="1680"/>
            <w:shd w:val="clear" w:color="auto" w:fill="2C2C44"/>
          </w:tcPr>
          <w:p>
            <w:r>
              <w:rPr>
                <w:b/>
                <w:color w:val="9A9AB0"/>
                <w:sz w:val="16"/>
              </w:rPr>
              <w:t>Change%</w:t>
            </w:r>
          </w:p>
        </w:tc>
        <w:tc>
          <w:tcPr>
            <w:tcW w:type="dxa" w:w="1680"/>
            <w:shd w:val="clear" w:color="auto" w:fill="2C2C44"/>
          </w:tcPr>
          <w:p>
            <w:r>
              <w:rPr>
                <w:b/>
                <w:color w:val="9A9AB0"/>
                <w:sz w:val="16"/>
              </w:rPr>
              <w:t>Gap%</w:t>
            </w:r>
          </w:p>
        </w:tc>
        <w:tc>
          <w:tcPr>
            <w:tcW w:type="dxa" w:w="1680"/>
            <w:shd w:val="clear" w:color="auto" w:fill="2C2C44"/>
          </w:tcPr>
          <w:p>
            <w:r>
              <w:rPr>
                <w:b/>
                <w:color w:val="9A9AB0"/>
                <w:sz w:val="16"/>
              </w:rPr>
              <w:t>RVOL</w:t>
            </w:r>
          </w:p>
        </w:tc>
        <w:tc>
          <w:tcPr>
            <w:tcW w:type="dxa" w:w="1680"/>
            <w:shd w:val="clear" w:color="auto" w:fill="2C2C44"/>
          </w:tcPr>
          <w:p>
            <w:r>
              <w:rPr>
                <w:b/>
                <w:color w:val="9A9AB0"/>
                <w:sz w:val="16"/>
              </w:rPr>
              <w:t>Float M</w:t>
            </w:r>
          </w:p>
        </w:tc>
        <w:tc>
          <w:tcPr>
            <w:tcW w:type="dxa" w:w="1680"/>
            <w:shd w:val="clear" w:color="auto" w:fill="2C2C44"/>
          </w:tcPr>
          <w:p>
            <w:r>
              <w:rPr>
                <w:b/>
                <w:color w:val="9A9AB0"/>
                <w:sz w:val="16"/>
              </w:rPr>
              <w:t>Volume</w:t>
            </w:r>
          </w:p>
        </w:tc>
      </w:tr>
      <w:tr>
        <w:tc>
          <w:tcPr>
            <w:tcW w:type="dxa" w:w="1680"/>
          </w:tcPr>
          <w:p>
            <w:r>
              <w:rPr>
                <w:b/>
                <w:sz w:val="18"/>
              </w:rPr>
              <w:t>$11.07</w:t>
            </w:r>
          </w:p>
        </w:tc>
        <w:tc>
          <w:tcPr>
            <w:tcW w:type="dxa" w:w="1680"/>
          </w:tcPr>
          <w:p>
            <w:r>
              <w:rPr>
                <w:b/>
                <w:sz w:val="18"/>
              </w:rPr>
              <w:t>+11.4%</w:t>
            </w:r>
          </w:p>
        </w:tc>
        <w:tc>
          <w:tcPr>
            <w:tcW w:type="dxa" w:w="1680"/>
          </w:tcPr>
          <w:p>
            <w:r>
              <w:rPr>
                <w:b/>
                <w:sz w:val="18"/>
              </w:rPr>
              <w:t>+14.3%</w:t>
            </w:r>
          </w:p>
        </w:tc>
        <w:tc>
          <w:tcPr>
            <w:tcW w:type="dxa" w:w="1680"/>
          </w:tcPr>
          <w:p>
            <w:r>
              <w:rPr>
                <w:b/>
                <w:sz w:val="18"/>
              </w:rPr>
              <w:t>9.8x</w:t>
            </w:r>
          </w:p>
        </w:tc>
        <w:tc>
          <w:tcPr>
            <w:tcW w:type="dxa" w:w="1680"/>
          </w:tcPr>
          <w:p>
            <w:r>
              <w:rPr>
                <w:b/>
                <w:sz w:val="18"/>
              </w:rPr>
              <w:t>52.9M</w:t>
            </w:r>
          </w:p>
        </w:tc>
        <w:tc>
          <w:tcPr>
            <w:tcW w:type="dxa" w:w="1680"/>
          </w:tcPr>
          <w:p>
            <w:r>
              <w:rPr>
                <w:b/>
                <w:sz w:val="18"/>
              </w:rPr>
              <w:t>2,560,326</w:t>
            </w:r>
          </w:p>
        </w:tc>
      </w:tr>
    </w:tbl>
    <w:p/>
    <w:p>
      <w:r>
        <w:rPr>
          <w:rFonts w:ascii="Courier New" w:hAnsi="Courier New"/>
          <w:sz w:val="17"/>
        </w:rPr>
        <w:t xml:space="preserve">  Catalyst          ████████████ 15/15</w:t>
      </w:r>
    </w:p>
    <w:p>
      <w:r>
        <w:rPr>
          <w:rFonts w:ascii="Courier New" w:hAnsi="Courier New"/>
          <w:sz w:val="17"/>
        </w:rPr>
        <w:t xml:space="preserve">  RVOL              ████████████ 12/12</w:t>
      </w:r>
    </w:p>
    <w:p>
      <w:r>
        <w:rPr>
          <w:rFonts w:ascii="Courier New" w:hAnsi="Courier New"/>
          <w:sz w:val="17"/>
        </w:rPr>
        <w:t xml:space="preserve">  Price Action      ████████████ 10/10</w:t>
      </w:r>
    </w:p>
    <w:p>
      <w:r>
        <w:rPr>
          <w:rFonts w:ascii="Courier New" w:hAnsi="Courier New"/>
          <w:sz w:val="17"/>
        </w:rPr>
        <w:t xml:space="preserve">  Float             ███░░░░░░░░░ 2/8</w:t>
      </w:r>
    </w:p>
    <w:p>
      <w:r>
        <w:rPr>
          <w:rFonts w:ascii="Courier New" w:hAnsi="Courier New"/>
          <w:sz w:val="17"/>
        </w:rPr>
        <w:t xml:space="preserve">  Price Range       ██████████░░ 4/5</w:t>
      </w:r>
    </w:p>
    <w:p>
      <w:pPr>
        <w:spacing w:before="0" w:after="0"/>
      </w:pPr>
      <w:r>
        <w:rPr>
          <w:sz w:val="18"/>
        </w:rPr>
        <w:t xml:space="preserve">  ✅  Has catalyst</w:t>
      </w:r>
    </w:p>
    <w:p>
      <w:pPr>
        <w:spacing w:before="0" w:after="0"/>
      </w:pPr>
      <w:r>
        <w:rPr>
          <w:sz w:val="18"/>
        </w:rPr>
        <w:t xml:space="preserve">  ✅  High-impact catalyst</w:t>
      </w:r>
    </w:p>
    <w:p>
      <w:pPr>
        <w:spacing w:before="0" w:after="0"/>
      </w:pPr>
      <w:r>
        <w:rPr>
          <w:sz w:val="18"/>
        </w:rPr>
        <w:t xml:space="preserve">  ✅  Fresh catalyst (&lt;12h)</w:t>
      </w:r>
    </w:p>
    <w:p>
      <w:pPr>
        <w:spacing w:before="0" w:after="0"/>
      </w:pPr>
      <w:r>
        <w:rPr>
          <w:sz w:val="18"/>
        </w:rPr>
        <w:t xml:space="preserve">  ✅  RVOL ≥ 3x</w:t>
      </w:r>
    </w:p>
    <w:p>
      <w:pPr>
        <w:spacing w:before="0" w:after="0"/>
      </w:pPr>
      <w:r>
        <w:rPr>
          <w:sz w:val="18"/>
        </w:rPr>
        <w:t xml:space="preserve">  ✅  RVOL ≥ 5x</w:t>
      </w:r>
    </w:p>
    <w:p>
      <w:pPr>
        <w:spacing w:before="0" w:after="0"/>
      </w:pPr>
      <w:r>
        <w:rPr>
          <w:sz w:val="18"/>
        </w:rPr>
        <w:t xml:space="preserve">  ⬜  Float ≤ 50M</w:t>
      </w:r>
    </w:p>
    <w:p>
      <w:pPr>
        <w:spacing w:before="0" w:after="0"/>
      </w:pPr>
      <w:r>
        <w:rPr>
          <w:sz w:val="18"/>
        </w:rPr>
        <w:t xml:space="preserve">  ✅  Price in range ($0.50–$30)</w:t>
      </w:r>
    </w:p>
    <w:p>
      <w:pPr>
        <w:spacing w:before="0" w:after="0"/>
      </w:pPr>
      <w:r>
        <w:rPr>
          <w:sz w:val="18"/>
        </w:rPr>
        <w:t xml:space="preserve">  ✅  Gap ≥ 5%</w:t>
      </w:r>
    </w:p>
    <w:p>
      <w:pPr>
        <w:spacing w:before="0" w:after="0"/>
      </w:pPr>
      <w:r>
        <w:rPr>
          <w:sz w:val="18"/>
        </w:rPr>
        <w:t xml:space="preserve">  ✅  Change ≥ 10%</w:t>
      </w:r>
    </w:p>
    <w:p/>
    <w:p>
      <w:r>
        <w:rPr>
          <w:i/>
          <w:sz w:val="19"/>
        </w:rPr>
        <w:t>**FCEL Scalp Setup Brief**</w:t>
        <w:br/>
        <w:br/>
        <w:t>FCEL is running on sector sympathy from Bloom Energy's massive earnings beat and raised AI-driven guidance, with 9.75x relative volume confirming strong institutional interest in fuel cell plays. Key risk is the large 53M share float which could create significant resistance on any momentum fade. Look for entries on pullbacks to the $10.80-$10.90 support zone with tight stops below $10.70. Watch for volume expansion above $11.20 - a break there could trigger algorithmic buying toward the $11.50-$11.75 resistance cluster.</w:t>
      </w:r>
    </w:p>
    <w:p/>
    <w:p>
      <w:r>
        <w:rPr>
          <w:b/>
          <w:color w:val="1A73E8"/>
          <w:sz w:val="18"/>
        </w:rPr>
        <w:t>🔥 Top Catalyst  ·  1.7h ago  ·  Yahoo Finance  ·  High Impact</w:t>
      </w:r>
    </w:p>
    <w:p>
      <w:r>
        <w:rPr>
          <w:sz w:val="19"/>
        </w:rPr>
        <w:t>Bloom Energy Hikes AI-Fueled Outlook Above Views After Huge Earnings Beat</w:t>
      </w:r>
    </w:p>
    <w:p>
      <w:r>
        <w:rPr>
          <w:color w:val="1A73E8"/>
          <w:sz w:val="16"/>
        </w:rPr>
        <w:t>https://finance.yahoo.com/m/8e54a14b-3067-33e1-b481-1f6d99d58f56/bloom-energy-hikes-ai-fueled.html</w:t>
      </w:r>
    </w:p>
    <w:p>
      <w:pPr>
        <w:pBdr>
          <w:bottom w:val="single" w:sz="4" w:space="1" w:color="1A73E8"/>
        </w:pBdr>
      </w:pPr>
    </w:p>
    <w:p>
      <w:bookmarkStart w:id="102" w:name="ticker_TRAW"/>
      <w:pPr>
        <w:pStyle w:val="Heading3"/>
      </w:pPr>
      <w:r>
        <w:t>TRAW  ·  Traws Pharma Inc</w:t>
      </w:r>
      <w:bookmarkEnd w:id="102"/>
    </w:p>
    <w:p>
      <w:r>
        <w:rPr>
          <w:sz w:val="20"/>
        </w:rPr>
        <w:t xml:space="preserve">Score: 43/50  ·  Grade: A  ·  </w:t>
      </w:r>
      <w:r>
        <w:rPr>
          <w:b/>
          <w:color w:val="0F9D58"/>
          <w:sz w:val="20"/>
        </w:rPr>
        <w:t>[ GO ]</w:t>
      </w:r>
    </w:p>
    <w:p>
      <w:r>
        <w:rPr>
          <w:rFonts w:ascii="Courier New" w:hAnsi="Courier New"/>
          <w:sz w:val="18"/>
        </w:rPr>
        <w:t>●●●●●●●●●●●●○○○  7/9 criteria</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val="clear" w:color="auto" w:fill="2C2C44"/>
          </w:tcPr>
          <w:p>
            <w:r>
              <w:rPr>
                <w:b/>
                <w:color w:val="9A9AB0"/>
                <w:sz w:val="16"/>
              </w:rPr>
              <w:t>Price</w:t>
            </w:r>
          </w:p>
        </w:tc>
        <w:tc>
          <w:tcPr>
            <w:tcW w:type="dxa" w:w="1680"/>
            <w:shd w:val="clear" w:color="auto" w:fill="2C2C44"/>
          </w:tcPr>
          <w:p>
            <w:r>
              <w:rPr>
                <w:b/>
                <w:color w:val="9A9AB0"/>
                <w:sz w:val="16"/>
              </w:rPr>
              <w:t>Change%</w:t>
            </w:r>
          </w:p>
        </w:tc>
        <w:tc>
          <w:tcPr>
            <w:tcW w:type="dxa" w:w="1680"/>
            <w:shd w:val="clear" w:color="auto" w:fill="2C2C44"/>
          </w:tcPr>
          <w:p>
            <w:r>
              <w:rPr>
                <w:b/>
                <w:color w:val="9A9AB0"/>
                <w:sz w:val="16"/>
              </w:rPr>
              <w:t>Gap%</w:t>
            </w:r>
          </w:p>
        </w:tc>
        <w:tc>
          <w:tcPr>
            <w:tcW w:type="dxa" w:w="1680"/>
            <w:shd w:val="clear" w:color="auto" w:fill="2C2C44"/>
          </w:tcPr>
          <w:p>
            <w:r>
              <w:rPr>
                <w:b/>
                <w:color w:val="9A9AB0"/>
                <w:sz w:val="16"/>
              </w:rPr>
              <w:t>RVOL</w:t>
            </w:r>
          </w:p>
        </w:tc>
        <w:tc>
          <w:tcPr>
            <w:tcW w:type="dxa" w:w="1680"/>
            <w:shd w:val="clear" w:color="auto" w:fill="2C2C44"/>
          </w:tcPr>
          <w:p>
            <w:r>
              <w:rPr>
                <w:b/>
                <w:color w:val="9A9AB0"/>
                <w:sz w:val="16"/>
              </w:rPr>
              <w:t>Float M</w:t>
            </w:r>
          </w:p>
        </w:tc>
        <w:tc>
          <w:tcPr>
            <w:tcW w:type="dxa" w:w="1680"/>
            <w:shd w:val="clear" w:color="auto" w:fill="2C2C44"/>
          </w:tcPr>
          <w:p>
            <w:r>
              <w:rPr>
                <w:b/>
                <w:color w:val="9A9AB0"/>
                <w:sz w:val="16"/>
              </w:rPr>
              <w:t>Volume</w:t>
            </w:r>
          </w:p>
        </w:tc>
      </w:tr>
      <w:tr>
        <w:tc>
          <w:tcPr>
            <w:tcW w:type="dxa" w:w="1680"/>
          </w:tcPr>
          <w:p>
            <w:r>
              <w:rPr>
                <w:b/>
                <w:sz w:val="18"/>
              </w:rPr>
              <w:t>$1.29</w:t>
            </w:r>
          </w:p>
        </w:tc>
        <w:tc>
          <w:tcPr>
            <w:tcW w:type="dxa" w:w="1680"/>
          </w:tcPr>
          <w:p>
            <w:r>
              <w:rPr>
                <w:b/>
                <w:sz w:val="18"/>
              </w:rPr>
              <w:t>+6.6%</w:t>
            </w:r>
          </w:p>
        </w:tc>
        <w:tc>
          <w:tcPr>
            <w:tcW w:type="dxa" w:w="1680"/>
          </w:tcPr>
          <w:p>
            <w:r>
              <w:rPr>
                <w:b/>
                <w:sz w:val="18"/>
              </w:rPr>
              <w:t>+15.7%</w:t>
            </w:r>
          </w:p>
        </w:tc>
        <w:tc>
          <w:tcPr>
            <w:tcW w:type="dxa" w:w="1680"/>
          </w:tcPr>
          <w:p>
            <w:r>
              <w:rPr>
                <w:b/>
                <w:sz w:val="18"/>
              </w:rPr>
              <w:t>12.9x</w:t>
            </w:r>
          </w:p>
        </w:tc>
        <w:tc>
          <w:tcPr>
            <w:tcW w:type="dxa" w:w="1680"/>
          </w:tcPr>
          <w:p>
            <w:r>
              <w:rPr>
                <w:b/>
                <w:sz w:val="18"/>
              </w:rPr>
              <w:t>7.7M</w:t>
            </w:r>
          </w:p>
        </w:tc>
        <w:tc>
          <w:tcPr>
            <w:tcW w:type="dxa" w:w="1680"/>
          </w:tcPr>
          <w:p>
            <w:r>
              <w:rPr>
                <w:b/>
                <w:sz w:val="18"/>
              </w:rPr>
              <w:t>182,656</w:t>
            </w:r>
          </w:p>
        </w:tc>
      </w:tr>
    </w:tbl>
    <w:p/>
    <w:p>
      <w:r>
        <w:rPr>
          <w:rFonts w:ascii="Courier New" w:hAnsi="Courier New"/>
          <w:sz w:val="17"/>
        </w:rPr>
        <w:t xml:space="preserve">  Catalyst          ████████████ 15/15</w:t>
      </w:r>
    </w:p>
    <w:p>
      <w:r>
        <w:rPr>
          <w:rFonts w:ascii="Courier New" w:hAnsi="Courier New"/>
          <w:sz w:val="17"/>
        </w:rPr>
        <w:t xml:space="preserve">  RVOL              ████████████ 12/12</w:t>
      </w:r>
    </w:p>
    <w:p>
      <w:r>
        <w:rPr>
          <w:rFonts w:ascii="Courier New" w:hAnsi="Courier New"/>
          <w:sz w:val="17"/>
        </w:rPr>
        <w:t xml:space="preserve">  Price Action      ███████░░░░░ 6/10</w:t>
      </w:r>
    </w:p>
    <w:p>
      <w:r>
        <w:rPr>
          <w:rFonts w:ascii="Courier New" w:hAnsi="Courier New"/>
          <w:sz w:val="17"/>
        </w:rPr>
        <w:t xml:space="preserve">  Float             ██████████░░ 7/8</w:t>
      </w:r>
    </w:p>
    <w:p>
      <w:r>
        <w:rPr>
          <w:rFonts w:ascii="Courier New" w:hAnsi="Courier New"/>
          <w:sz w:val="17"/>
        </w:rPr>
        <w:t xml:space="preserve">  Price Range       ███████░░░░░ 3/5</w:t>
      </w:r>
    </w:p>
    <w:p>
      <w:pPr>
        <w:spacing w:before="0" w:after="0"/>
      </w:pPr>
      <w:r>
        <w:rPr>
          <w:sz w:val="18"/>
        </w:rPr>
        <w:t xml:space="preserve">  ✅  Has catalyst</w:t>
      </w:r>
    </w:p>
    <w:p>
      <w:pPr>
        <w:spacing w:before="0" w:after="0"/>
      </w:pPr>
      <w:r>
        <w:rPr>
          <w:sz w:val="18"/>
        </w:rPr>
        <w:t xml:space="preserve">  ⬜  High-impact catalyst</w:t>
      </w:r>
    </w:p>
    <w:p>
      <w:pPr>
        <w:spacing w:before="0" w:after="0"/>
      </w:pPr>
      <w:r>
        <w:rPr>
          <w:sz w:val="18"/>
        </w:rPr>
        <w:t xml:space="preserve">  ✅  Fresh catalyst (&lt;12h)</w:t>
      </w:r>
    </w:p>
    <w:p>
      <w:pPr>
        <w:spacing w:before="0" w:after="0"/>
      </w:pPr>
      <w:r>
        <w:rPr>
          <w:sz w:val="18"/>
        </w:rPr>
        <w:t xml:space="preserve">  ✅  RVOL ≥ 3x</w:t>
      </w:r>
    </w:p>
    <w:p>
      <w:pPr>
        <w:spacing w:before="0" w:after="0"/>
      </w:pPr>
      <w:r>
        <w:rPr>
          <w:sz w:val="18"/>
        </w:rPr>
        <w:t xml:space="preserve">  ✅  RVOL ≥ 5x</w:t>
      </w:r>
    </w:p>
    <w:p>
      <w:pPr>
        <w:spacing w:before="0" w:after="0"/>
      </w:pPr>
      <w:r>
        <w:rPr>
          <w:sz w:val="18"/>
        </w:rPr>
        <w:t xml:space="preserve">  ✅  Float ≤ 50M</w:t>
      </w:r>
    </w:p>
    <w:p>
      <w:pPr>
        <w:spacing w:before="0" w:after="0"/>
      </w:pPr>
      <w:r>
        <w:rPr>
          <w:sz w:val="18"/>
        </w:rPr>
        <w:t xml:space="preserve">  ✅  Price in range ($0.50–$30)</w:t>
      </w:r>
    </w:p>
    <w:p>
      <w:pPr>
        <w:spacing w:before="0" w:after="0"/>
      </w:pPr>
      <w:r>
        <w:rPr>
          <w:sz w:val="18"/>
        </w:rPr>
        <w:t xml:space="preserve">  ✅  Gap ≥ 5%</w:t>
      </w:r>
    </w:p>
    <w:p>
      <w:pPr>
        <w:spacing w:before="0" w:after="0"/>
      </w:pPr>
      <w:r>
        <w:rPr>
          <w:sz w:val="18"/>
        </w:rPr>
        <w:t xml:space="preserve">  ⬜  Change ≥ 10%</w:t>
      </w:r>
    </w:p>
    <w:p/>
    <w:p>
      <w:r>
        <w:rPr>
          <w:i/>
          <w:sz w:val="19"/>
        </w:rPr>
        <w:t>**TRAW Scalp Setup Brief**</w:t>
        <w:br/>
        <w:br/>
        <w:t>TRAW is running on healthcare sector momentum with 12.9x relative volume and a 15.7% gap up, currently consolidating around $1.29 after the morning spike. The 8M float provides decent liquidity for quick entries/exits, but the key risk is the extended move from overnight levels creating potential for sharp pullbacks. Look for entries on volume-supported bounces off the $1.25-$1.27 zone or momentum continuation breaks above $1.35 with size. Watch the bid/ask spread closely - any widening signals reduced liquidity and time to exit fast.</w:t>
      </w:r>
    </w:p>
    <w:p/>
    <w:p>
      <w:r>
        <w:rPr>
          <w:b/>
          <w:color w:val="1A73E8"/>
          <w:sz w:val="18"/>
        </w:rPr>
        <w:t>🔥 Top Catalyst  ·  5.9h ago  ·  Benzinga  ·  Low Impact</w:t>
      </w:r>
    </w:p>
    <w:p>
      <w:r>
        <w:rPr>
          <w:sz w:val="19"/>
        </w:rPr>
        <w:t>12 Health Care Stocks Moving In Wednesday's Pre-Market Session</w:t>
      </w:r>
    </w:p>
    <w:p>
      <w:r>
        <w:rPr>
          <w:color w:val="1A73E8"/>
          <w:sz w:val="16"/>
        </w:rPr>
        <w:t>https://finnhub.io/api/news?id=5b8295bbb8d41723aec8f124d4f0abfb35b2c36b71f7fc21d33a2636e2189ddd</w:t>
      </w:r>
    </w:p>
    <w:p>
      <w:pPr>
        <w:pBdr>
          <w:bottom w:val="single" w:sz="4" w:space="1" w:color="1A73E8"/>
        </w:pBdr>
      </w:pPr>
    </w:p>
    <w:p>
      <w:bookmarkStart w:id="103" w:name="ticker_PRCH"/>
      <w:pPr>
        <w:pStyle w:val="Heading3"/>
      </w:pPr>
      <w:r>
        <w:t>PRCH  ·  Porch Group Inc</w:t>
      </w:r>
      <w:bookmarkEnd w:id="103"/>
    </w:p>
    <w:p>
      <w:r>
        <w:rPr>
          <w:sz w:val="20"/>
        </w:rPr>
        <w:t xml:space="preserve">Score: 42/50  ·  Grade: A  ·  </w:t>
      </w:r>
      <w:r>
        <w:rPr>
          <w:b/>
          <w:color w:val="0F9D58"/>
          <w:sz w:val="20"/>
        </w:rPr>
        <w:t>[ GO ]</w:t>
      </w:r>
    </w:p>
    <w:p>
      <w:r>
        <w:rPr>
          <w:rFonts w:ascii="Courier New" w:hAnsi="Courier New"/>
          <w:sz w:val="18"/>
        </w:rPr>
        <w:t>●●●●●●●●●●●●●○○  8/9 criteria</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val="clear" w:color="auto" w:fill="2C2C44"/>
          </w:tcPr>
          <w:p>
            <w:r>
              <w:rPr>
                <w:b/>
                <w:color w:val="9A9AB0"/>
                <w:sz w:val="16"/>
              </w:rPr>
              <w:t>Price</w:t>
            </w:r>
          </w:p>
        </w:tc>
        <w:tc>
          <w:tcPr>
            <w:tcW w:type="dxa" w:w="1680"/>
            <w:shd w:val="clear" w:color="auto" w:fill="2C2C44"/>
          </w:tcPr>
          <w:p>
            <w:r>
              <w:rPr>
                <w:b/>
                <w:color w:val="9A9AB0"/>
                <w:sz w:val="16"/>
              </w:rPr>
              <w:t>Change%</w:t>
            </w:r>
          </w:p>
        </w:tc>
        <w:tc>
          <w:tcPr>
            <w:tcW w:type="dxa" w:w="1680"/>
            <w:shd w:val="clear" w:color="auto" w:fill="2C2C44"/>
          </w:tcPr>
          <w:p>
            <w:r>
              <w:rPr>
                <w:b/>
                <w:color w:val="9A9AB0"/>
                <w:sz w:val="16"/>
              </w:rPr>
              <w:t>Gap%</w:t>
            </w:r>
          </w:p>
        </w:tc>
        <w:tc>
          <w:tcPr>
            <w:tcW w:type="dxa" w:w="1680"/>
            <w:shd w:val="clear" w:color="auto" w:fill="2C2C44"/>
          </w:tcPr>
          <w:p>
            <w:r>
              <w:rPr>
                <w:b/>
                <w:color w:val="9A9AB0"/>
                <w:sz w:val="16"/>
              </w:rPr>
              <w:t>RVOL</w:t>
            </w:r>
          </w:p>
        </w:tc>
        <w:tc>
          <w:tcPr>
            <w:tcW w:type="dxa" w:w="1680"/>
            <w:shd w:val="clear" w:color="auto" w:fill="2C2C44"/>
          </w:tcPr>
          <w:p>
            <w:r>
              <w:rPr>
                <w:b/>
                <w:color w:val="9A9AB0"/>
                <w:sz w:val="16"/>
              </w:rPr>
              <w:t>Float M</w:t>
            </w:r>
          </w:p>
        </w:tc>
        <w:tc>
          <w:tcPr>
            <w:tcW w:type="dxa" w:w="1680"/>
            <w:shd w:val="clear" w:color="auto" w:fill="2C2C44"/>
          </w:tcPr>
          <w:p>
            <w:r>
              <w:rPr>
                <w:b/>
                <w:color w:val="9A9AB0"/>
                <w:sz w:val="16"/>
              </w:rPr>
              <w:t>Volume</w:t>
            </w:r>
          </w:p>
        </w:tc>
      </w:tr>
      <w:tr>
        <w:tc>
          <w:tcPr>
            <w:tcW w:type="dxa" w:w="1680"/>
          </w:tcPr>
          <w:p>
            <w:r>
              <w:rPr>
                <w:b/>
                <w:sz w:val="18"/>
              </w:rPr>
              <w:t>$10.28</w:t>
            </w:r>
          </w:p>
        </w:tc>
        <w:tc>
          <w:tcPr>
            <w:tcW w:type="dxa" w:w="1680"/>
          </w:tcPr>
          <w:p>
            <w:r>
              <w:rPr>
                <w:b/>
                <w:sz w:val="18"/>
              </w:rPr>
              <w:t>+19.7%</w:t>
            </w:r>
          </w:p>
        </w:tc>
        <w:tc>
          <w:tcPr>
            <w:tcW w:type="dxa" w:w="1680"/>
          </w:tcPr>
          <w:p>
            <w:r>
              <w:rPr>
                <w:b/>
                <w:sz w:val="18"/>
              </w:rPr>
              <w:t>+17.6%</w:t>
            </w:r>
          </w:p>
        </w:tc>
        <w:tc>
          <w:tcPr>
            <w:tcW w:type="dxa" w:w="1680"/>
          </w:tcPr>
          <w:p>
            <w:r>
              <w:rPr>
                <w:b/>
                <w:sz w:val="18"/>
              </w:rPr>
              <w:t>6.5x</w:t>
            </w:r>
          </w:p>
        </w:tc>
        <w:tc>
          <w:tcPr>
            <w:tcW w:type="dxa" w:w="1680"/>
          </w:tcPr>
          <w:p>
            <w:r>
              <w:rPr>
                <w:b/>
                <w:sz w:val="18"/>
              </w:rPr>
              <w:t>82.0M</w:t>
            </w:r>
          </w:p>
        </w:tc>
        <w:tc>
          <w:tcPr>
            <w:tcW w:type="dxa" w:w="1680"/>
          </w:tcPr>
          <w:p>
            <w:r>
              <w:rPr>
                <w:b/>
                <w:sz w:val="18"/>
              </w:rPr>
              <w:t>2,112,376</w:t>
            </w:r>
          </w:p>
        </w:tc>
      </w:tr>
    </w:tbl>
    <w:p/>
    <w:p>
      <w:r>
        <w:rPr>
          <w:rFonts w:ascii="Courier New" w:hAnsi="Courier New"/>
          <w:sz w:val="17"/>
        </w:rPr>
        <w:t xml:space="preserve">  Catalyst          ████████████ 15/15</w:t>
      </w:r>
    </w:p>
    <w:p>
      <w:r>
        <w:rPr>
          <w:rFonts w:ascii="Courier New" w:hAnsi="Courier New"/>
          <w:sz w:val="17"/>
        </w:rPr>
        <w:t xml:space="preserve">  RVOL              ██████████░░ 10/12</w:t>
      </w:r>
    </w:p>
    <w:p>
      <w:r>
        <w:rPr>
          <w:rFonts w:ascii="Courier New" w:hAnsi="Courier New"/>
          <w:sz w:val="17"/>
        </w:rPr>
        <w:t xml:space="preserve">  Price Action      ████████████ 10/10</w:t>
      </w:r>
    </w:p>
    <w:p>
      <w:r>
        <w:rPr>
          <w:rFonts w:ascii="Courier New" w:hAnsi="Courier New"/>
          <w:sz w:val="17"/>
        </w:rPr>
        <w:t xml:space="preserve">  Float             ███░░░░░░░░░ 2/8</w:t>
      </w:r>
    </w:p>
    <w:p>
      <w:r>
        <w:rPr>
          <w:rFonts w:ascii="Courier New" w:hAnsi="Courier New"/>
          <w:sz w:val="17"/>
        </w:rPr>
        <w:t xml:space="preserve">  Price Range       ██████████░░ 4/5</w:t>
      </w:r>
    </w:p>
    <w:p>
      <w:pPr>
        <w:spacing w:before="0" w:after="0"/>
      </w:pPr>
      <w:r>
        <w:rPr>
          <w:sz w:val="18"/>
        </w:rPr>
        <w:t xml:space="preserve">  ✅  Has catalyst</w:t>
      </w:r>
    </w:p>
    <w:p>
      <w:pPr>
        <w:spacing w:before="0" w:after="0"/>
      </w:pPr>
      <w:r>
        <w:rPr>
          <w:sz w:val="18"/>
        </w:rPr>
        <w:t xml:space="preserve">  ✅  High-impact catalyst</w:t>
      </w:r>
    </w:p>
    <w:p>
      <w:pPr>
        <w:spacing w:before="0" w:after="0"/>
      </w:pPr>
      <w:r>
        <w:rPr>
          <w:sz w:val="18"/>
        </w:rPr>
        <w:t xml:space="preserve">  ✅  Fresh catalyst (&lt;12h)</w:t>
      </w:r>
    </w:p>
    <w:p>
      <w:pPr>
        <w:spacing w:before="0" w:after="0"/>
      </w:pPr>
      <w:r>
        <w:rPr>
          <w:sz w:val="18"/>
        </w:rPr>
        <w:t xml:space="preserve">  ✅  RVOL ≥ 3x</w:t>
      </w:r>
    </w:p>
    <w:p>
      <w:pPr>
        <w:spacing w:before="0" w:after="0"/>
      </w:pPr>
      <w:r>
        <w:rPr>
          <w:sz w:val="18"/>
        </w:rPr>
        <w:t xml:space="preserve">  ✅  RVOL ≥ 5x</w:t>
      </w:r>
    </w:p>
    <w:p>
      <w:pPr>
        <w:spacing w:before="0" w:after="0"/>
      </w:pPr>
      <w:r>
        <w:rPr>
          <w:sz w:val="18"/>
        </w:rPr>
        <w:t xml:space="preserve">  ⬜  Float ≤ 50M</w:t>
      </w:r>
    </w:p>
    <w:p>
      <w:pPr>
        <w:spacing w:before="0" w:after="0"/>
      </w:pPr>
      <w:r>
        <w:rPr>
          <w:sz w:val="18"/>
        </w:rPr>
        <w:t xml:space="preserve">  ✅  Price in range ($0.50–$30)</w:t>
      </w:r>
    </w:p>
    <w:p>
      <w:pPr>
        <w:spacing w:before="0" w:after="0"/>
      </w:pPr>
      <w:r>
        <w:rPr>
          <w:sz w:val="18"/>
        </w:rPr>
        <w:t xml:space="preserve">  ✅  Gap ≥ 5%</w:t>
      </w:r>
    </w:p>
    <w:p>
      <w:pPr>
        <w:spacing w:before="0" w:after="0"/>
      </w:pPr>
      <w:r>
        <w:rPr>
          <w:sz w:val="18"/>
        </w:rPr>
        <w:t xml:space="preserve">  ✅  Change ≥ 10%</w:t>
      </w:r>
    </w:p>
    <w:p/>
    <w:p>
      <w:r>
        <w:rPr>
          <w:i/>
          <w:sz w:val="19"/>
        </w:rPr>
        <w:t>**PRCH Scalp Setup Brief**</w:t>
        <w:br/>
        <w:br/>
        <w:t>PRCH is running +19.7% on strong Q1 earnings with raised guidance, backed by massive 6.48x relative volume indicating serious institutional interest. The large 82M float creates resistance to sustained momentum, making this more suitable for quick scalps on pullback entries rather than momentum chasing at current levels. Look for entries on any dip toward $9.80-$10.00 support with tight stops below $9.70. Watch for volume exhaustion above $10.50 - if it can't hold with strong volume, expect a sharp reversal given the extended gap.</w:t>
      </w:r>
    </w:p>
    <w:p/>
    <w:p>
      <w:r>
        <w:rPr>
          <w:b/>
          <w:color w:val="1A73E8"/>
          <w:sz w:val="18"/>
        </w:rPr>
        <w:t>🔥 Top Catalyst  ·  6.8h ago  ·  Yahoo Finance  ·  High Impact</w:t>
      </w:r>
    </w:p>
    <w:p>
      <w:r>
        <w:rPr>
          <w:sz w:val="19"/>
        </w:rPr>
        <w:t>Porch Group Inc (PRCH) Q1 2026 Earnings Call Highlights: Strong Growth and Raised Guidance</w:t>
      </w:r>
    </w:p>
    <w:p>
      <w:r>
        <w:rPr>
          <w:color w:val="1A73E8"/>
          <w:sz w:val="16"/>
        </w:rPr>
        <w:t>https://finance.yahoo.com/markets/stocks/articles/porch-group-inc-prch-q1-071036309.html</w:t>
      </w:r>
    </w:p>
    <w:p>
      <w:pPr>
        <w:pBdr>
          <w:bottom w:val="single" w:sz="4" w:space="1" w:color="1A73E8"/>
        </w:pBdr>
      </w:pPr>
    </w:p>
    <w:p>
      <w:bookmarkStart w:id="104" w:name="ticker_KALV"/>
      <w:pPr>
        <w:pStyle w:val="Heading3"/>
      </w:pPr>
      <w:r>
        <w:t>KALV  ·  KalVista Pharmaceuticals Inc</w:t>
      </w:r>
      <w:bookmarkEnd w:id="104"/>
    </w:p>
    <w:p>
      <w:r>
        <w:rPr>
          <w:sz w:val="20"/>
        </w:rPr>
        <w:t xml:space="preserve">Score: 41/50  ·  Grade: A  ·  </w:t>
      </w:r>
      <w:r>
        <w:rPr>
          <w:b/>
          <w:color w:val="0F9D58"/>
          <w:sz w:val="20"/>
        </w:rPr>
        <w:t>[ GO ]</w:t>
      </w:r>
    </w:p>
    <w:p>
      <w:r>
        <w:rPr>
          <w:rFonts w:ascii="Courier New" w:hAnsi="Courier New"/>
          <w:sz w:val="18"/>
        </w:rPr>
        <w:t>●●●●●●●●●●●●●○○  8/9 criteria</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val="clear" w:color="auto" w:fill="2C2C44"/>
          </w:tcPr>
          <w:p>
            <w:r>
              <w:rPr>
                <w:b/>
                <w:color w:val="9A9AB0"/>
                <w:sz w:val="16"/>
              </w:rPr>
              <w:t>Price</w:t>
            </w:r>
          </w:p>
        </w:tc>
        <w:tc>
          <w:tcPr>
            <w:tcW w:type="dxa" w:w="1680"/>
            <w:shd w:val="clear" w:color="auto" w:fill="2C2C44"/>
          </w:tcPr>
          <w:p>
            <w:r>
              <w:rPr>
                <w:b/>
                <w:color w:val="9A9AB0"/>
                <w:sz w:val="16"/>
              </w:rPr>
              <w:t>Change%</w:t>
            </w:r>
          </w:p>
        </w:tc>
        <w:tc>
          <w:tcPr>
            <w:tcW w:type="dxa" w:w="1680"/>
            <w:shd w:val="clear" w:color="auto" w:fill="2C2C44"/>
          </w:tcPr>
          <w:p>
            <w:r>
              <w:rPr>
                <w:b/>
                <w:color w:val="9A9AB0"/>
                <w:sz w:val="16"/>
              </w:rPr>
              <w:t>Gap%</w:t>
            </w:r>
          </w:p>
        </w:tc>
        <w:tc>
          <w:tcPr>
            <w:tcW w:type="dxa" w:w="1680"/>
            <w:shd w:val="clear" w:color="auto" w:fill="2C2C44"/>
          </w:tcPr>
          <w:p>
            <w:r>
              <w:rPr>
                <w:b/>
                <w:color w:val="9A9AB0"/>
                <w:sz w:val="16"/>
              </w:rPr>
              <w:t>RVOL</w:t>
            </w:r>
          </w:p>
        </w:tc>
        <w:tc>
          <w:tcPr>
            <w:tcW w:type="dxa" w:w="1680"/>
            <w:shd w:val="clear" w:color="auto" w:fill="2C2C44"/>
          </w:tcPr>
          <w:p>
            <w:r>
              <w:rPr>
                <w:b/>
                <w:color w:val="9A9AB0"/>
                <w:sz w:val="16"/>
              </w:rPr>
              <w:t>Float M</w:t>
            </w:r>
          </w:p>
        </w:tc>
        <w:tc>
          <w:tcPr>
            <w:tcW w:type="dxa" w:w="1680"/>
            <w:shd w:val="clear" w:color="auto" w:fill="2C2C44"/>
          </w:tcPr>
          <w:p>
            <w:r>
              <w:rPr>
                <w:b/>
                <w:color w:val="9A9AB0"/>
                <w:sz w:val="16"/>
              </w:rPr>
              <w:t>Volume</w:t>
            </w:r>
          </w:p>
        </w:tc>
      </w:tr>
      <w:tr>
        <w:tc>
          <w:tcPr>
            <w:tcW w:type="dxa" w:w="1680"/>
          </w:tcPr>
          <w:p>
            <w:r>
              <w:rPr>
                <w:b/>
                <w:sz w:val="18"/>
              </w:rPr>
              <w:t>$26.70</w:t>
            </w:r>
          </w:p>
        </w:tc>
        <w:tc>
          <w:tcPr>
            <w:tcW w:type="dxa" w:w="1680"/>
          </w:tcPr>
          <w:p>
            <w:r>
              <w:rPr>
                <w:b/>
                <w:sz w:val="18"/>
              </w:rPr>
              <w:t>+38.8%</w:t>
            </w:r>
          </w:p>
        </w:tc>
        <w:tc>
          <w:tcPr>
            <w:tcW w:type="dxa" w:w="1680"/>
          </w:tcPr>
          <w:p>
            <w:r>
              <w:rPr>
                <w:b/>
                <w:sz w:val="18"/>
              </w:rPr>
              <w:t>+38.8%</w:t>
            </w:r>
          </w:p>
        </w:tc>
        <w:tc>
          <w:tcPr>
            <w:tcW w:type="dxa" w:w="1680"/>
          </w:tcPr>
          <w:p>
            <w:r>
              <w:rPr>
                <w:b/>
                <w:sz w:val="18"/>
              </w:rPr>
              <w:t>6.4x</w:t>
            </w:r>
          </w:p>
        </w:tc>
        <w:tc>
          <w:tcPr>
            <w:tcW w:type="dxa" w:w="1680"/>
          </w:tcPr>
          <w:p>
            <w:r>
              <w:rPr>
                <w:b/>
                <w:sz w:val="18"/>
              </w:rPr>
              <w:t>37.9M</w:t>
            </w:r>
          </w:p>
        </w:tc>
        <w:tc>
          <w:tcPr>
            <w:tcW w:type="dxa" w:w="1680"/>
          </w:tcPr>
          <w:p>
            <w:r>
              <w:rPr>
                <w:b/>
                <w:sz w:val="18"/>
              </w:rPr>
              <w:t>36,973,140</w:t>
            </w:r>
          </w:p>
        </w:tc>
      </w:tr>
    </w:tbl>
    <w:p/>
    <w:p>
      <w:r>
        <w:rPr>
          <w:rFonts w:ascii="Courier New" w:hAnsi="Courier New"/>
          <w:sz w:val="17"/>
        </w:rPr>
        <w:t xml:space="preserve">  Catalyst          ████████████ 15/15</w:t>
      </w:r>
    </w:p>
    <w:p>
      <w:r>
        <w:rPr>
          <w:rFonts w:ascii="Courier New" w:hAnsi="Courier New"/>
          <w:sz w:val="17"/>
        </w:rPr>
        <w:t xml:space="preserve">  RVOL              ██████████░░ 10/12</w:t>
      </w:r>
    </w:p>
    <w:p>
      <w:r>
        <w:rPr>
          <w:rFonts w:ascii="Courier New" w:hAnsi="Courier New"/>
          <w:sz w:val="17"/>
        </w:rPr>
        <w:t xml:space="preserve">  Price Action      ████████████ 10/10</w:t>
      </w:r>
    </w:p>
    <w:p>
      <w:r>
        <w:rPr>
          <w:rFonts w:ascii="Courier New" w:hAnsi="Courier New"/>
          <w:sz w:val="17"/>
        </w:rPr>
        <w:t xml:space="preserve">  Float             ██████░░░░░░ 4/8</w:t>
      </w:r>
    </w:p>
    <w:p>
      <w:r>
        <w:rPr>
          <w:rFonts w:ascii="Courier New" w:hAnsi="Courier New"/>
          <w:sz w:val="17"/>
        </w:rPr>
        <w:t xml:space="preserve">  Price Range       █████░░░░░░░ 2/5</w:t>
      </w:r>
    </w:p>
    <w:p>
      <w:pPr>
        <w:spacing w:before="0" w:after="0"/>
      </w:pPr>
      <w:r>
        <w:rPr>
          <w:sz w:val="18"/>
        </w:rPr>
        <w:t xml:space="preserve">  ✅  Has catalyst</w:t>
      </w:r>
    </w:p>
    <w:p>
      <w:pPr>
        <w:spacing w:before="0" w:after="0"/>
      </w:pPr>
      <w:r>
        <w:rPr>
          <w:sz w:val="18"/>
        </w:rPr>
        <w:t xml:space="preserve">  ⬜  High-impact catalyst</w:t>
      </w:r>
    </w:p>
    <w:p>
      <w:pPr>
        <w:spacing w:before="0" w:after="0"/>
      </w:pPr>
      <w:r>
        <w:rPr>
          <w:sz w:val="18"/>
        </w:rPr>
        <w:t xml:space="preserve">  ✅  Fresh catalyst (&lt;12h)</w:t>
      </w:r>
    </w:p>
    <w:p>
      <w:pPr>
        <w:spacing w:before="0" w:after="0"/>
      </w:pPr>
      <w:r>
        <w:rPr>
          <w:sz w:val="18"/>
        </w:rPr>
        <w:t xml:space="preserve">  ✅  RVOL ≥ 3x</w:t>
      </w:r>
    </w:p>
    <w:p>
      <w:pPr>
        <w:spacing w:before="0" w:after="0"/>
      </w:pPr>
      <w:r>
        <w:rPr>
          <w:sz w:val="18"/>
        </w:rPr>
        <w:t xml:space="preserve">  ✅  RVOL ≥ 5x</w:t>
      </w:r>
    </w:p>
    <w:p>
      <w:pPr>
        <w:spacing w:before="0" w:after="0"/>
      </w:pPr>
      <w:r>
        <w:rPr>
          <w:sz w:val="18"/>
        </w:rPr>
        <w:t xml:space="preserve">  ✅  Float ≤ 50M</w:t>
      </w:r>
    </w:p>
    <w:p>
      <w:pPr>
        <w:spacing w:before="0" w:after="0"/>
      </w:pPr>
      <w:r>
        <w:rPr>
          <w:sz w:val="18"/>
        </w:rPr>
        <w:t xml:space="preserve">  ✅  Price in range ($0.50–$30)</w:t>
      </w:r>
    </w:p>
    <w:p>
      <w:pPr>
        <w:spacing w:before="0" w:after="0"/>
      </w:pPr>
      <w:r>
        <w:rPr>
          <w:sz w:val="18"/>
        </w:rPr>
        <w:t xml:space="preserve">  ✅  Gap ≥ 5%</w:t>
      </w:r>
    </w:p>
    <w:p>
      <w:pPr>
        <w:spacing w:before="0" w:after="0"/>
      </w:pPr>
      <w:r>
        <w:rPr>
          <w:sz w:val="18"/>
        </w:rPr>
        <w:t xml:space="preserve">  ✅  Change ≥ 10%</w:t>
      </w:r>
    </w:p>
    <w:p/>
    <w:p>
      <w:r>
        <w:rPr>
          <w:i/>
          <w:sz w:val="19"/>
        </w:rPr>
        <w:t>**KALV Scalp Setup Brief**</w:t>
        <w:br/>
        <w:br/>
        <w:t>KALV is running +38.8% on 6.39x relative volume, likely driven by pre-market momentum as a top gainer with strong institutional interest given its 38M float size. The key risk is the lack of a specific fundamental catalyst beyond being flagged as a top mover, making this purely technical momentum that could reverse quickly. Ideal entry would be on a pullback to support levels with volume confirmation, looking for continuation of the gap-up move. Watch for volume sustainability above 5x - if RVOL drops significantly, the momentum play is likely exhausted.</w:t>
      </w:r>
    </w:p>
    <w:p/>
    <w:p>
      <w:r>
        <w:rPr>
          <w:b/>
          <w:color w:val="1A73E8"/>
          <w:sz w:val="18"/>
        </w:rPr>
        <w:t>🔥 Top Catalyst  ·  1.5h ago  ·  ChartMill  ·  Low Impact</w:t>
      </w:r>
    </w:p>
    <w:p>
      <w:r>
        <w:rPr>
          <w:sz w:val="19"/>
        </w:rPr>
        <w:t>Get insights into the top gainers and losers of Wednesday's pre-market session.</w:t>
      </w:r>
    </w:p>
    <w:p>
      <w:r>
        <w:rPr>
          <w:color w:val="1A73E8"/>
          <w:sz w:val="16"/>
        </w:rPr>
        <w:t>https://finnhub.io/api/news?id=f34bf5a8bddb706f5e079477033637734803a2a753283a82d47dbcacbaa24b92</w:t>
      </w:r>
    </w:p>
    <w:p>
      <w:pPr>
        <w:pBdr>
          <w:bottom w:val="single" w:sz="4" w:space="1" w:color="1A73E8"/>
        </w:pBdr>
      </w:pPr>
    </w:p>
    <w:p>
      <w:bookmarkStart w:id="6" w:name="cat_tape"/>
      <w:pPr>
        <w:pStyle w:val="Heading2"/>
      </w:pPr>
      <w:r>
        <w:t>Catalyst Tape</w:t>
      </w:r>
      <w:bookmarkEnd w:id="6"/>
    </w:p>
    <w:p>
      <w:r>
        <w:rPr>
          <w:b/>
        </w:rPr>
        <w:t>SAGT  ·  Sagtec Global Ltd</w:t>
      </w:r>
    </w:p>
    <w:p>
      <w:pPr>
        <w:spacing w:after="20"/>
      </w:pPr>
      <w:r>
        <w:rPr>
          <w:sz w:val="17"/>
        </w:rPr>
        <w:t xml:space="preserve">  [Low Impact  1.5h  ChartMill]  Get insights into the top gainers and losers of Wednesday's pre-market session.</w:t>
      </w:r>
    </w:p>
    <w:p>
      <w:pPr>
        <w:spacing w:after="20"/>
      </w:pPr>
      <w:r>
        <w:rPr>
          <w:sz w:val="17"/>
        </w:rPr>
        <w:t xml:space="preserve">  [Low Impact  6.8h  Finnhub]  Sagtec Global Limited Achieves Record Revenue of US$19.1 Million in Fiscal Year 2025, Marking 49% Year-over-Year Growth</w:t>
      </w:r>
    </w:p>
    <w:p>
      <w:pPr>
        <w:spacing w:after="20"/>
      </w:pPr>
      <w:r>
        <w:rPr>
          <w:sz w:val="17"/>
        </w:rPr>
        <w:t xml:space="preserve">  [Low Impact  6.8h  Benzinga]  Earnings Scheduled For April 29, 2026</w:t>
      </w:r>
    </w:p>
    <w:p>
      <w:pPr>
        <w:spacing w:after="20"/>
      </w:pPr>
      <w:r>
        <w:rPr>
          <w:sz w:val="17"/>
        </w:rPr>
        <w:t xml:space="preserve">  [Low Impact  24.1h  Yahoo Finance]  CORRECTION -- Sagtec Global to Announce Fiscal Year 2025 Financial Results on April 29, 2026</w:t>
      </w:r>
    </w:p>
    <w:p>
      <w:pPr>
        <w:spacing w:after="20"/>
      </w:pPr>
      <w:r>
        <w:rPr>
          <w:sz w:val="17"/>
        </w:rPr>
        <w:t xml:space="preserve">  [Low Impact  29.5h  Finnhub]  Sagtec Global to Announce Fiscal Year 2025 Financial Results on April 29, 2026</w:t>
      </w:r>
    </w:p>
    <w:p>
      <w:r>
        <w:rPr>
          <w:b/>
        </w:rPr>
        <w:t>FCEL  ·  Fuelcell Energy Inc</w:t>
      </w:r>
    </w:p>
    <w:p>
      <w:pPr>
        <w:spacing w:after="20"/>
      </w:pPr>
      <w:r>
        <w:rPr>
          <w:sz w:val="17"/>
        </w:rPr>
        <w:t xml:space="preserve">  [High Impact  1.7h  Yahoo Finance]  Bloom Energy Hikes AI-Fueled Outlook Above Views After Huge Earnings Beat</w:t>
      </w:r>
    </w:p>
    <w:p>
      <w:pPr>
        <w:spacing w:after="20"/>
      </w:pPr>
      <w:r>
        <w:rPr>
          <w:sz w:val="17"/>
        </w:rPr>
        <w:t xml:space="preserve">  [Low Impact  5.9h  Benzinga]  12 Industrials Stocks Moving In Wednesday's Pre-Market Session</w:t>
      </w:r>
    </w:p>
    <w:p>
      <w:pPr>
        <w:spacing w:after="20"/>
      </w:pPr>
      <w:r>
        <w:rPr>
          <w:sz w:val="17"/>
        </w:rPr>
        <w:t xml:space="preserve">  [Low Impact  31.0h  Yahoo Finance]  Is FuelCell Energy, Inc. (FCEL) Among the Best Hydrogen and Fuel Cell Stocks to Buy Now?</w:t>
      </w:r>
    </w:p>
    <w:p>
      <w:pPr>
        <w:spacing w:after="20"/>
      </w:pPr>
      <w:r>
        <w:rPr>
          <w:sz w:val="17"/>
        </w:rPr>
        <w:t xml:space="preserve">  [Low Impact  45.7h  The Motley Fool]  FuelCell Energy Is Up 80% in April. Should You Buy Now?</w:t>
      </w:r>
    </w:p>
    <w:p>
      <w:r>
        <w:rPr>
          <w:b/>
        </w:rPr>
        <w:t>TRAW  ·  Traws Pharma Inc</w:t>
      </w:r>
    </w:p>
    <w:p>
      <w:pPr>
        <w:spacing w:after="20"/>
      </w:pPr>
      <w:r>
        <w:rPr>
          <w:sz w:val="17"/>
        </w:rPr>
        <w:t xml:space="preserve">  [Low Impact  5.9h  Benzinga]  12 Health Care Stocks Moving In Wednesday's Pre-Market Session</w:t>
      </w:r>
    </w:p>
    <w:p>
      <w:r>
        <w:rPr>
          <w:b/>
        </w:rPr>
        <w:t>PRCH  ·  Porch Group Inc</w:t>
      </w:r>
    </w:p>
    <w:p>
      <w:pPr>
        <w:spacing w:after="20"/>
      </w:pPr>
      <w:r>
        <w:rPr>
          <w:sz w:val="17"/>
        </w:rPr>
        <w:t xml:space="preserve">  [High Impact  6.8h  Yahoo Finance]  Porch Group Inc (PRCH) Q1 2026 Earnings Call Highlights: Strong Growth and Raised Guidance</w:t>
      </w:r>
    </w:p>
    <w:p>
      <w:pPr>
        <w:spacing w:after="20"/>
      </w:pPr>
      <w:r>
        <w:rPr>
          <w:sz w:val="17"/>
        </w:rPr>
        <w:t xml:space="preserve">  [High Impact  17.3h  ChartMill]  Porch Group (NASDAQ:PRCH) Surges After Q1 Earnings Beat and Raised Guidance</w:t>
      </w:r>
    </w:p>
    <w:p>
      <w:pPr>
        <w:spacing w:after="20"/>
      </w:pPr>
      <w:r>
        <w:rPr>
          <w:sz w:val="17"/>
        </w:rPr>
        <w:t xml:space="preserve">  [Low Impact  14.4h  Yahoo Finance]  Porch Group Q1 Earnings Call Highlights</w:t>
      </w:r>
    </w:p>
    <w:p>
      <w:pPr>
        <w:spacing w:after="20"/>
      </w:pPr>
      <w:r>
        <w:rPr>
          <w:sz w:val="17"/>
        </w:rPr>
        <w:t xml:space="preserve">  [Low Impact  14.9h  SeekingAlpha]  Porch Group, Inc. 2026 Q1 - Results - Earnings Call Presentation</w:t>
      </w:r>
    </w:p>
    <w:p>
      <w:pPr>
        <w:spacing w:after="20"/>
      </w:pPr>
      <w:r>
        <w:rPr>
          <w:sz w:val="17"/>
        </w:rPr>
        <w:t xml:space="preserve">  [Low Impact  16.8h  Yahoo Finance]  Porch Group, Inc. (PRCH) Reports Q1 Loss, Beats Revenue Estimates</w:t>
      </w:r>
    </w:p>
    <w:p>
      <w:pPr>
        <w:spacing w:after="20"/>
      </w:pPr>
      <w:r>
        <w:rPr>
          <w:sz w:val="17"/>
        </w:rPr>
        <w:t xml:space="preserve">  [Low Impact  17.0h  ChartMill]  Get insights into the top gainers and losers of Tuesday's after-hours session.</w:t>
      </w:r>
    </w:p>
    <w:p>
      <w:r>
        <w:rPr>
          <w:b/>
        </w:rPr>
        <w:t>KALV  ·  KalVista Pharmaceuticals Inc</w:t>
      </w:r>
    </w:p>
    <w:p>
      <w:pPr>
        <w:spacing w:after="20"/>
      </w:pPr>
      <w:r>
        <w:rPr>
          <w:sz w:val="17"/>
        </w:rPr>
        <w:t xml:space="preserve">  [Low Impact  1.5h  ChartMill]  Get insights into the top gainers and losers of Wednesday's pre-market session.</w:t>
      </w:r>
    </w:p>
    <w:p>
      <w:pPr>
        <w:spacing w:after="20"/>
      </w:pPr>
      <w:r>
        <w:rPr>
          <w:sz w:val="17"/>
        </w:rPr>
        <w:t xml:space="preserve">  [Low Impact  2.0h  Yahoo Finance]  Top Premarket Gainers</w:t>
      </w:r>
    </w:p>
    <w:p>
      <w:pPr>
        <w:spacing w:after="20"/>
      </w:pPr>
      <w:r>
        <w:rPr>
          <w:sz w:val="17"/>
        </w:rPr>
        <w:t xml:space="preserve">  [Low Impact  2.1h  Yahoo Finance]  KalVista Pharmaceuticals to Be Acquired by Chiesi Group for $1.9 Billion</w:t>
      </w:r>
    </w:p>
    <w:p>
      <w:pPr>
        <w:spacing w:after="20"/>
      </w:pPr>
      <w:r>
        <w:rPr>
          <w:sz w:val="17"/>
        </w:rPr>
        <w:t xml:space="preserve">  [Low Impact  2.3h  Yahoo Finance]  Chiesi Group to Acquire KalVista Pharmaceuticals, Expanding its Global Rare Disease Portfolio</w:t>
      </w:r>
    </w:p>
    <w:p>
      <w:pPr>
        <w:spacing w:after="20"/>
      </w:pPr>
      <w:r>
        <w:rPr>
          <w:sz w:val="17"/>
        </w:rPr>
        <w:t xml:space="preserve">  [Low Impact  5.9h  Benzinga]  12 Health Care Stocks Moving In Wednesday's Pre-Market Session</w:t>
      </w:r>
    </w:p>
    <w:p>
      <w:pPr>
        <w:spacing w:after="20"/>
      </w:pPr>
      <w:r>
        <w:rPr>
          <w:sz w:val="17"/>
        </w:rPr>
        <w:t xml:space="preserve">  [Low Impact  6.0h  Finnhub]  Italian drugmaker Chiesi to buy KalVista for $1.9 billion</w:t>
      </w:r>
    </w:p>
    <w:p>
      <w:r>
        <w:rPr>
          <w:b/>
        </w:rPr>
        <w:t>FVRR  ·  Fiverr International Ltd</w:t>
      </w:r>
    </w:p>
    <w:p>
      <w:pPr>
        <w:spacing w:after="20"/>
      </w:pPr>
      <w:r>
        <w:rPr>
          <w:sz w:val="17"/>
        </w:rPr>
        <w:t xml:space="preserve">  [High Impact  4.1h  Yahoo]  Fiverr Jumps 10% After Revenue Beat and Upgraded Profit Outlook</w:t>
      </w:r>
    </w:p>
    <w:p>
      <w:pPr>
        <w:spacing w:after="20"/>
      </w:pPr>
      <w:r>
        <w:rPr>
          <w:sz w:val="17"/>
        </w:rPr>
        <w:t xml:space="preserve">  [Low Impact  2.9h  Yahoo Finance]  Fiverr International (FVRR) Misses Q1 Earnings Estimates</w:t>
      </w:r>
    </w:p>
    <w:p>
      <w:pPr>
        <w:spacing w:after="20"/>
      </w:pPr>
      <w:r>
        <w:rPr>
          <w:sz w:val="17"/>
        </w:rPr>
        <w:t xml:space="preserve">  [Low Impact  5.0h  Yahoo]  Fiverr (NYSE:FVRR) Surprises With Q1 CY2026 Sales, Stock Jumps 10%</w:t>
      </w:r>
    </w:p>
    <w:p>
      <w:pPr>
        <w:spacing w:after="20"/>
      </w:pPr>
      <w:r>
        <w:rPr>
          <w:sz w:val="17"/>
        </w:rPr>
        <w:t xml:space="preserve">  [Low Impact  5.9h  Benzinga]  12 Industrials Stocks Moving In Wednesday's Pre-Market Session</w:t>
      </w:r>
    </w:p>
    <w:p>
      <w:pPr>
        <w:spacing w:after="20"/>
      </w:pPr>
      <w:r>
        <w:rPr>
          <w:sz w:val="17"/>
        </w:rPr>
        <w:t xml:space="preserve">  [Low Impact  6.4h  Finnhub]  Fiverr International Ltd. Provides Earnings Guidance for the Second Quarter and Reiterates Guidance for Full Year 2026</w:t>
      </w:r>
    </w:p>
    <w:p>
      <w:pPr>
        <w:spacing w:after="20"/>
      </w:pPr>
      <w:r>
        <w:rPr>
          <w:sz w:val="17"/>
        </w:rPr>
        <w:t xml:space="preserve">  [Low Impact  6.8h  Benzinga]  Earnings Scheduled For April 29, 2026</w:t>
      </w:r>
    </w:p>
    <w:p>
      <w:r>
        <w:rPr>
          <w:b/>
        </w:rPr>
        <w:t>SKYQ  ·  Sky Quarry Inc</w:t>
      </w:r>
    </w:p>
    <w:p>
      <w:pPr>
        <w:spacing w:after="20"/>
      </w:pPr>
      <w:r>
        <w:rPr>
          <w:sz w:val="17"/>
        </w:rPr>
        <w:t xml:space="preserve">  [Low Impact  7.0h  Finnhub]  Sky Quarry Issues Request for Proposals to Accelerate Development of One Hundred Eighty Million Barrel PR Spring Oil Sands Asset Amid Tightening Western U.S. Fuel Supply</w:t>
      </w:r>
    </w:p>
    <w:p>
      <w:r>
        <w:rPr>
          <w:b/>
        </w:rPr>
        <w:t>RDZN  ·  Roadzen Inc</w:t>
      </w:r>
    </w:p>
    <w:p>
      <w:pPr>
        <w:spacing w:after="20"/>
      </w:pPr>
      <w:r>
        <w:rPr>
          <w:sz w:val="17"/>
        </w:rPr>
        <w:t xml:space="preserve">  [Low Impact  3.5h  Yahoo Finance]  Loss-Making Roadzen, Inc. (NASDAQ:RDZN) Expected To Breakeven In The Medium-Term</w:t>
      </w:r>
    </w:p>
    <w:p>
      <w:pPr>
        <w:spacing w:after="20"/>
      </w:pPr>
      <w:r>
        <w:rPr>
          <w:sz w:val="17"/>
        </w:rPr>
        <w:t xml:space="preserve">  [Low Impact  6.5h  Finnhub]  Roadzen’s drivebuddyAI Wins $2.5 Million Contract to Bring AI-Powered Safety to 3,000 Truck Fleet</w:t>
      </w:r>
    </w:p>
    <w:p>
      <w:pPr>
        <w:spacing w:after="20"/>
      </w:pPr>
      <w:r>
        <w:rPr>
          <w:sz w:val="17"/>
        </w:rPr>
        <w:t xml:space="preserve">  [Low Impact  48.3h  Benzinga]  Roadzen shares are trading higher after the company announced a contract with an Indian insurer that's expected to generate over $10 million in annual revenue.</w:t>
      </w:r>
    </w:p>
    <w:p>
      <w:pPr>
        <w:spacing w:after="20"/>
      </w:pPr>
      <w:r>
        <w:rPr>
          <w:sz w:val="17"/>
        </w:rPr>
        <w:t xml:space="preserve">  [Low Impact  53.4h  Benzinga]  Roadzen Subsidiary VehicleCare Wins Contract With Unnamed India Insurer To Process Auto Insurance Claims, Expected To Generate $10M In Annual Revenue</w:t>
      </w:r>
    </w:p>
    <w:p>
      <w:pPr>
        <w:spacing w:after="20"/>
      </w:pPr>
      <w:r>
        <w:rPr>
          <w:sz w:val="17"/>
        </w:rPr>
        <w:t xml:space="preserve">  [Low Impact  53.5h  Finnhub]  Roadzen’s VehicleCare Wins Major Claims Mandate from One of India’s Largest Insurers, Expected to Generate Over $10 Million in Annual Revenue</w:t>
      </w:r>
    </w:p>
    <w:p>
      <w:r>
        <w:rPr>
          <w:b/>
        </w:rPr>
        <w:t>AKAN  ·  Akanda Corp</w:t>
      </w:r>
    </w:p>
    <w:p>
      <w:pPr>
        <w:spacing w:after="20"/>
      </w:pPr>
      <w:r>
        <w:rPr>
          <w:sz w:val="17"/>
        </w:rPr>
        <w:t xml:space="preserve">  [Low Impact  1.5h  Yahoo Finance]  Akanda Adjourns Special Meeting of Shareholders</w:t>
      </w:r>
    </w:p>
    <w:p>
      <w:pPr>
        <w:spacing w:after="20"/>
      </w:pPr>
      <w:r>
        <w:rPr>
          <w:sz w:val="17"/>
        </w:rPr>
        <w:t xml:space="preserve">  [Low Impact  1.9h  Yahoo Finance]  Top Premarket Gainers</w:t>
      </w:r>
    </w:p>
    <w:p>
      <w:r>
        <w:rPr>
          <w:b/>
        </w:rPr>
        <w:t>MNTS  ·  Momentus Inc</w:t>
      </w:r>
    </w:p>
    <w:p>
      <w:pPr>
        <w:spacing w:after="20"/>
      </w:pPr>
      <w:r>
        <w:rPr>
          <w:sz w:val="17"/>
        </w:rPr>
        <w:t xml:space="preserve">  [Low Impact  2.0h  Yahoo Finance]  Fully Booked Momentus Mission Advances Through Preliminary Design Review, Driving Toward 2027 Launch Under NASA Contracts</w:t>
      </w:r>
    </w:p>
    <w:p>
      <w:r>
        <w:rPr>
          <w:b/>
        </w:rPr>
        <w:t>AGIO  ·  Agios Pharmaceuticals Inc</w:t>
      </w:r>
    </w:p>
    <w:p>
      <w:pPr>
        <w:spacing w:after="20"/>
      </w:pPr>
      <w:r>
        <w:rPr>
          <w:sz w:val="17"/>
        </w:rPr>
        <w:t xml:space="preserve">  [High Impact  2.7h  ChartMill]  Agios Pharmaceuticals (NASDAQ:AGIO) Q1 2026 Earnings Beat Drives Stock Rally</w:t>
      </w:r>
    </w:p>
    <w:p>
      <w:pPr>
        <w:spacing w:after="20"/>
      </w:pPr>
      <w:r>
        <w:rPr>
          <w:sz w:val="17"/>
        </w:rPr>
        <w:t xml:space="preserve">  [Medium Impact  70.8h  Yahoo Finance]  BofA Reaffirms Buy Rating for Agios Pharmaceuticals (AGIO)</w:t>
      </w:r>
    </w:p>
    <w:p>
      <w:pPr>
        <w:spacing w:after="20"/>
      </w:pPr>
      <w:r>
        <w:rPr>
          <w:sz w:val="17"/>
        </w:rPr>
        <w:t xml:space="preserve">  [Low Impact  2.3h  Yahoo Finance]  Agios Pharmaceuticals (AGIO) Reports Q1 Loss, Tops Revenue Estimates</w:t>
      </w:r>
    </w:p>
    <w:p>
      <w:pPr>
        <w:spacing w:after="20"/>
      </w:pPr>
      <w:r>
        <w:rPr>
          <w:sz w:val="17"/>
        </w:rPr>
        <w:t xml:space="preserve">  [Low Impact  2.8h  Yahoo Finance]  Agios Pharmaceuticals Q1 Loss Widens, Revenue Increases</w:t>
      </w:r>
    </w:p>
    <w:p>
      <w:pPr>
        <w:spacing w:after="20"/>
      </w:pPr>
      <w:r>
        <w:rPr>
          <w:sz w:val="17"/>
        </w:rPr>
        <w:t xml:space="preserve">  [Low Impact  3.3h  Yahoo Finance]  Agios Pharmaceuticals: Q1 Earnings Snapshot</w:t>
      </w:r>
    </w:p>
    <w:p>
      <w:pPr>
        <w:spacing w:after="20"/>
      </w:pPr>
      <w:r>
        <w:rPr>
          <w:sz w:val="17"/>
        </w:rPr>
        <w:t xml:space="preserve">  [Low Impact  5.2h  Finnhub]  Agios Pharmaceuticals, Inc. Reports Earnings Results for the First Quarter Ended March 31, 2026</w:t>
      </w:r>
    </w:p>
    <w:p>
      <w:r>
        <w:rPr>
          <w:b/>
        </w:rPr>
        <w:t>NBP  ·  NovaBridge Biosciences ADR</w:t>
      </w:r>
    </w:p>
    <w:p>
      <w:pPr>
        <w:spacing w:after="20"/>
      </w:pPr>
      <w:r>
        <w:rPr>
          <w:sz w:val="17"/>
        </w:rPr>
        <w:t xml:space="preserve">  [Low Impact  1.2h  Yahoo Finance]  Daily – Vickers Top Buyers &amp; Sellers for 04/29/2026</w:t>
      </w:r>
    </w:p>
    <w:p>
      <w:pPr>
        <w:spacing w:after="20"/>
      </w:pPr>
      <w:r>
        <w:rPr>
          <w:sz w:val="17"/>
        </w:rPr>
        <w:t xml:space="preserve">  [Low Impact  17.0h  ChartMill]  Get insights into the top gainers and losers of Tuesday's after-hours session.</w:t>
      </w:r>
    </w:p>
    <w:p>
      <w:pPr>
        <w:spacing w:after="20"/>
      </w:pPr>
      <w:r>
        <w:rPr>
          <w:sz w:val="17"/>
        </w:rPr>
        <w:t xml:space="preserve">  [Low Impact  20.9h  Benzinga]  12 Health Care Stocks Moving In Tuesday's After-Market Session</w:t>
      </w:r>
    </w:p>
    <w:p>
      <w:r>
        <w:rPr>
          <w:b/>
        </w:rPr>
        <w:t>PPSI  ·  Pioneer Power Solutions Inc</w:t>
      </w:r>
    </w:p>
    <w:p>
      <w:pPr>
        <w:spacing w:after="20"/>
      </w:pPr>
      <w:r>
        <w:rPr>
          <w:sz w:val="17"/>
        </w:rPr>
        <w:t xml:space="preserve">  [Low Impact  19.9h  Yahoo Finance]  Pioneer Power Solutions And 2 Other Penny Stocks Worth Watching</w:t>
      </w:r>
    </w:p>
    <w:p>
      <w:r>
        <w:rPr>
          <w:b/>
        </w:rPr>
        <w:t>CRBP  ·  Corbus Pharmaceuticals Holdings Inc</w:t>
      </w:r>
    </w:p>
    <w:p>
      <w:pPr>
        <w:spacing w:after="20"/>
      </w:pPr>
      <w:r>
        <w:rPr>
          <w:sz w:val="17"/>
        </w:rPr>
        <w:t xml:space="preserve">  [Low Impact  2.7h  Yahoo Finance]  Guggenheim Initiates Corbus Pharmaceuticals at Buy With $45 Price Target</w:t>
      </w:r>
    </w:p>
    <w:p>
      <w:r>
        <w:rPr>
          <w:b/>
        </w:rPr>
        <w:t>OPFI  ·  OppFi Inc</w:t>
      </w:r>
    </w:p>
    <w:p>
      <w:pPr>
        <w:spacing w:after="20"/>
      </w:pPr>
      <w:r>
        <w:rPr>
          <w:sz w:val="17"/>
        </w:rPr>
        <w:t xml:space="preserve">  [High Impact  7.0h  Finnhub]  OppFi Announces Definitive Agreement to Acquire BNCCORP, Inc. and BNC National Bank and the Elimination of Up-C Structure</w:t>
      </w:r>
    </w:p>
    <w:p>
      <w:pPr>
        <w:spacing w:after="20"/>
      </w:pPr>
      <w:r>
        <w:rPr>
          <w:sz w:val="17"/>
        </w:rPr>
        <w:t xml:space="preserve">  [Low Impact  3.0h  Yahoo Finance]  BNCCORP To Be Acquired By OppFi in Transformative Customer-Focused Transaction</w:t>
      </w:r>
    </w:p>
    <w:p>
      <w:pPr>
        <w:spacing w:after="20"/>
      </w:pPr>
      <w:r>
        <w:rPr>
          <w:sz w:val="17"/>
        </w:rPr>
        <w:t xml:space="preserve">  [Low Impact  4.2h  Finnhub]  OppFi : acquires BNC Bank</w:t>
      </w:r>
    </w:p>
    <w:p>
      <w:pPr>
        <w:spacing w:after="20"/>
      </w:pPr>
      <w:r>
        <w:rPr>
          <w:sz w:val="17"/>
        </w:rPr>
        <w:t xml:space="preserve">  [Low Impact  60.1h  SeekingAlpha]  OppFi: Cheap For The Risk Tolerant, Maintain Hold</w:t>
      </w:r>
    </w:p>
    <w:p>
      <w:bookmarkStart w:id="7" w:name="tos_export"/>
      <w:pPr>
        <w:pStyle w:val="Heading2"/>
      </w:pPr>
      <w:r>
        <w:t>ThinkorSwim Export</w:t>
      </w:r>
      <w:bookmarkEnd w:id="7"/>
    </w:p>
    <w:p>
      <w:r>
        <w:t>GO-tier symbols:  SAGT  FCEL  TRAW  PRCH  KALV</w:t>
      </w:r>
    </w:p>
    <w:p>
      <w:r>
        <w:t>Import: Charts → Watchlists → Import Watchlist → select .tst file</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