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 TRADE AI v10</w:t>
      </w:r>
    </w:p>
    <w:p>
      <w:pPr>
        <w:jc w:val="center"/>
      </w:pPr>
      <w:r>
        <w:rPr>
          <w:sz w:val="20"/>
        </w:rPr>
        <w:t>Run Window: 0700  ·  Date: 2026-04-29  ·  Generated: 08:14:50 ET</w:t>
      </w:r>
    </w:p>
    <w:p>
      <w:pPr>
        <w:pBdr>
          <w:bottom w:val="single" w:sz="4" w:space="1" w:color="1A73E8"/>
        </w:pBdr>
      </w:pPr>
    </w:p>
    <w:p>
      <w:bookmarkStart w:id="1" w:name="toc"/>
      <w:pPr>
        <w:pStyle w:val="Heading2"/>
      </w:pPr>
      <w:r>
        <w:t>Table of Contents</w:t>
      </w:r>
      <w:bookmarkEnd w:id="1"/>
    </w:p>
    <w:p>
      <w:pPr>
        <w:spacing w:after="40"/>
      </w:pPr>
      <w:r>
        <w:t xml:space="preserve">  → </w:t>
      </w:r>
      <w:hyperlink w:anchor="exec_summary">
        <w:r>
          <w:rPr>
            <w:rStyle w:val="Hyperlink"/>
          </w:rPr>
          <w:t xml:space="preserve">Executive Summary</w:t>
        </w:r>
      </w:hyperlink>
    </w:p>
    <w:p>
      <w:pPr>
        <w:spacing w:after="40"/>
      </w:pPr>
      <w:r>
        <w:t xml:space="preserve">  → </w:t>
      </w:r>
      <w:hyperlink w:anchor="delta_section">
        <w:r>
          <w:rPr>
            <w:rStyle w:val="Hyperlink"/>
          </w:rPr>
          <w:t xml:space="preserve">What Changed</w:t>
        </w:r>
      </w:hyperlink>
    </w:p>
    <w:p>
      <w:pPr>
        <w:spacing w:after="40"/>
      </w:pPr>
      <w:r>
        <w:t xml:space="preserve">  → </w:t>
      </w:r>
      <w:hyperlink w:anchor="scorecard">
        <w:r>
          <w:rPr>
            <w:rStyle w:val="Hyperlink"/>
          </w:rPr>
          <w:t xml:space="preserve">Full Scorecard</w:t>
        </w:r>
      </w:hyperlink>
    </w:p>
    <w:p>
      <w:pPr>
        <w:spacing w:after="40"/>
      </w:pPr>
      <w:r>
        <w:t xml:space="preserve">  → </w:t>
      </w:r>
      <w:hyperlink w:anchor="go_picks">
        <w:r>
          <w:rPr>
            <w:rStyle w:val="Hyperlink"/>
          </w:rPr>
          <w:t xml:space="preserve">GO-Tier Picks</w:t>
        </w:r>
      </w:hyperlink>
    </w:p>
    <w:p>
      <w:pPr>
        <w:spacing w:after="40"/>
      </w:pPr>
      <w:r>
        <w:t xml:space="preserve">  → </w:t>
      </w:r>
      <w:hyperlink w:anchor="cat_tape">
        <w:r>
          <w:rPr>
            <w:rStyle w:val="Hyperlink"/>
          </w:rPr>
          <w:t xml:space="preserve">Catalyst Tape</w:t>
        </w:r>
      </w:hyperlink>
    </w:p>
    <w:p>
      <w:pPr>
        <w:spacing w:after="40"/>
      </w:pPr>
      <w:r>
        <w:t xml:space="preserve">  → </w:t>
      </w:r>
      <w:hyperlink w:anchor="tos_export">
        <w:r>
          <w:rPr>
            <w:rStyle w:val="Hyperlink"/>
          </w:rPr>
          <w:t xml:space="preserve">ThinkorSwim Export</w:t>
        </w:r>
      </w:hyperlink>
    </w:p>
    <w:p>
      <w:bookmarkStart w:id="2" w:name="exec_summary"/>
      <w:pPr>
        <w:pStyle w:val="Heading2"/>
      </w:pPr>
      <w:r>
        <w:t>Executive Summary</w:t>
      </w:r>
      <w:bookmarkEnd w:id="2"/>
    </w:p>
    <w:tbl>
      <w:tblPr>
        <w:tblStyle w:val="TableGrid"/>
        <w:tblW w:type="auto" w:w="0"/>
        <w:tblLook w:firstColumn="1" w:firstRow="1" w:lastColumn="0" w:lastRow="0" w:noHBand="0" w:noVBand="1" w:val="04A0"/>
      </w:tblPr>
      <w:tblGrid>
        <w:gridCol w:w="5040"/>
        <w:gridCol w:w="5040"/>
      </w:tblGrid>
      <w:tr>
        <w:tc>
          <w:tcPr>
            <w:tcW w:type="dxa" w:w="5040"/>
            <w:shd w:val="clear" w:color="auto" w:fill="2C2C44"/>
          </w:tcPr>
          <w:p>
            <w:r>
              <w:rPr>
                <w:b/>
              </w:rPr>
              <w:t>Metric</w:t>
            </w:r>
          </w:p>
        </w:tc>
        <w:tc>
          <w:tcPr>
            <w:tcW w:type="dxa" w:w="5040"/>
            <w:shd w:val="clear" w:color="auto" w:fill="2C2C44"/>
          </w:tcPr>
          <w:p>
            <w:r>
              <w:rPr>
                <w:b/>
              </w:rPr>
              <w:t>Value</w:t>
            </w:r>
          </w:p>
        </w:tc>
      </w:tr>
      <w:tr>
        <w:tc>
          <w:tcPr>
            <w:tcW w:type="dxa" w:w="5040"/>
          </w:tcPr>
          <w:p>
            <w:r>
              <w:t>Total Tickers Scanned</w:t>
            </w:r>
          </w:p>
        </w:tc>
        <w:tc>
          <w:tcPr>
            <w:tcW w:type="dxa" w:w="5040"/>
          </w:tcPr>
          <w:p>
            <w:r>
              <w:t>6</w:t>
            </w:r>
          </w:p>
        </w:tc>
      </w:tr>
      <w:tr>
        <w:tc>
          <w:tcPr>
            <w:tcW w:type="dxa" w:w="5040"/>
          </w:tcPr>
          <w:p>
            <w:r>
              <w:t>GO-Tier (≥40)</w:t>
            </w:r>
          </w:p>
        </w:tc>
        <w:tc>
          <w:tcPr>
            <w:tcW w:type="dxa" w:w="5040"/>
          </w:tcPr>
          <w:p>
            <w:r>
              <w:t>1</w:t>
            </w:r>
          </w:p>
        </w:tc>
      </w:tr>
      <w:tr>
        <w:tc>
          <w:tcPr>
            <w:tcW w:type="dxa" w:w="5040"/>
          </w:tcPr>
          <w:p>
            <w:r>
              <w:t>WAIT-Tier (30–39)</w:t>
            </w:r>
          </w:p>
        </w:tc>
        <w:tc>
          <w:tcPr>
            <w:tcW w:type="dxa" w:w="5040"/>
          </w:tcPr>
          <w:p>
            <w:r>
              <w:t>4</w:t>
            </w:r>
          </w:p>
        </w:tc>
      </w:tr>
      <w:tr>
        <w:tc>
          <w:tcPr>
            <w:tcW w:type="dxa" w:w="5040"/>
          </w:tcPr>
          <w:p>
            <w:r>
              <w:t>New Tickers This Run</w:t>
            </w:r>
          </w:p>
        </w:tc>
        <w:tc>
          <w:tcPr>
            <w:tcW w:type="dxa" w:w="5040"/>
          </w:tcPr>
          <w:p>
            <w:r>
              <w:t>5</w:t>
            </w:r>
          </w:p>
        </w:tc>
      </w:tr>
      <w:tr>
        <w:tc>
          <w:tcPr>
            <w:tcW w:type="dxa" w:w="5040"/>
          </w:tcPr>
          <w:p>
            <w:r>
              <w:t>Delta Events</w:t>
            </w:r>
          </w:p>
        </w:tc>
        <w:tc>
          <w:tcPr>
            <w:tcW w:type="dxa" w:w="5040"/>
          </w:tcPr>
          <w:p>
            <w:r>
              <w:t>7</w:t>
            </w:r>
          </w:p>
        </w:tc>
      </w:tr>
      <w:tr>
        <w:tc>
          <w:tcPr>
            <w:tcW w:type="dxa" w:w="5040"/>
          </w:tcPr>
          <w:p>
            <w:r>
              <w:t>Top Score</w:t>
            </w:r>
          </w:p>
        </w:tc>
        <w:tc>
          <w:tcPr>
            <w:tcW w:type="dxa" w:w="5040"/>
          </w:tcPr>
          <w:p>
            <w:r>
              <w:t>42 (KALV)</w:t>
            </w:r>
          </w:p>
        </w:tc>
      </w:tr>
    </w:tbl>
    <w:p>
      <w:bookmarkStart w:id="3" w:name="delta_section"/>
      <w:pPr>
        <w:pStyle w:val="Heading2"/>
      </w:pPr>
      <w:r>
        <w:t>What Changed Since Last Run</w:t>
      </w:r>
      <w:bookmarkEnd w:id="3"/>
    </w:p>
    <w:p>
      <w:pPr>
        <w:spacing w:after="20"/>
      </w:pPr>
      <w:r>
        <w:rPr>
          <w:sz w:val="19"/>
        </w:rPr>
        <w:t>🆕 NEW  KALV  —  Score: 42  ·  GO</w:t>
      </w:r>
    </w:p>
    <w:p>
      <w:pPr>
        <w:spacing w:after="20"/>
      </w:pPr>
      <w:r>
        <w:rPr>
          <w:sz w:val="19"/>
        </w:rPr>
        <w:t>🆕 NEW  ATLN  —  Score: 34  ·  WAIT</w:t>
      </w:r>
    </w:p>
    <w:p>
      <w:pPr>
        <w:spacing w:after="20"/>
      </w:pPr>
      <w:r>
        <w:rPr>
          <w:sz w:val="19"/>
        </w:rPr>
        <w:t>🆕 NEW  GCTK  —  Score: 34  ·  WAIT</w:t>
      </w:r>
    </w:p>
    <w:p>
      <w:pPr>
        <w:spacing w:after="20"/>
      </w:pPr>
      <w:r>
        <w:rPr>
          <w:sz w:val="19"/>
        </w:rPr>
        <w:t>🆕 NEW  AKAN  —  Score: 33  ·  WAIT</w:t>
      </w:r>
    </w:p>
    <w:p>
      <w:pPr>
        <w:spacing w:after="20"/>
      </w:pPr>
      <w:r>
        <w:rPr>
          <w:sz w:val="19"/>
        </w:rPr>
        <w:t>🆕 NEW  WALD  —  Score: 33  ·  WAIT</w:t>
      </w:r>
    </w:p>
    <w:p>
      <w:pPr>
        <w:spacing w:after="20"/>
      </w:pPr>
      <w:r>
        <w:rPr>
          <w:sz w:val="19"/>
        </w:rPr>
        <w:t>📈 UP   TRAW  —  20 → 29 (+9)</w:t>
      </w:r>
    </w:p>
    <w:p>
      <w:pPr>
        <w:spacing w:after="20"/>
      </w:pPr>
      <w:r>
        <w:rPr>
          <w:sz w:val="19"/>
        </w:rPr>
        <w:t>✅ CRIT TRAW  —  change_above_10pct</w:t>
      </w:r>
    </w:p>
    <w:p>
      <w:bookmarkStart w:id="4" w:name="scorecard"/>
      <w:pPr>
        <w:pStyle w:val="Heading2"/>
      </w:pPr>
      <w:r>
        <w:t>Full Scorecard</w:t>
      </w:r>
      <w:bookmarkEnd w:id="4"/>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val="clear" w:color="auto" w:fill="2C2C44"/>
          </w:tcPr>
          <w:p>
            <w:r>
              <w:rPr>
                <w:b/>
                <w:color w:val="1A73E8"/>
              </w:rPr>
              <w:t>Symbol</w:t>
            </w:r>
          </w:p>
        </w:tc>
        <w:tc>
          <w:tcPr>
            <w:tcW w:type="dxa" w:w="1008"/>
            <w:shd w:val="clear" w:color="auto" w:fill="2C2C44"/>
          </w:tcPr>
          <w:p>
            <w:r>
              <w:rPr>
                <w:b/>
                <w:color w:val="1A73E8"/>
              </w:rPr>
              <w:t>Score</w:t>
            </w:r>
          </w:p>
        </w:tc>
        <w:tc>
          <w:tcPr>
            <w:tcW w:type="dxa" w:w="1008"/>
            <w:shd w:val="clear" w:color="auto" w:fill="2C2C44"/>
          </w:tcPr>
          <w:p>
            <w:r>
              <w:rPr>
                <w:b/>
                <w:color w:val="1A73E8"/>
              </w:rPr>
              <w:t>Grade</w:t>
            </w:r>
          </w:p>
        </w:tc>
        <w:tc>
          <w:tcPr>
            <w:tcW w:type="dxa" w:w="1008"/>
            <w:shd w:val="clear" w:color="auto" w:fill="2C2C44"/>
          </w:tcPr>
          <w:p>
            <w:r>
              <w:rPr>
                <w:b/>
                <w:color w:val="1A73E8"/>
              </w:rPr>
              <w:t>Decision</w:t>
            </w:r>
          </w:p>
        </w:tc>
        <w:tc>
          <w:tcPr>
            <w:tcW w:type="dxa" w:w="1008"/>
            <w:shd w:val="clear" w:color="auto" w:fill="2C2C44"/>
          </w:tcPr>
          <w:p>
            <w:r>
              <w:rPr>
                <w:b/>
                <w:color w:val="1A73E8"/>
              </w:rPr>
              <w:t>RVOL</w:t>
            </w:r>
          </w:p>
        </w:tc>
        <w:tc>
          <w:tcPr>
            <w:tcW w:type="dxa" w:w="1008"/>
            <w:shd w:val="clear" w:color="auto" w:fill="2C2C44"/>
          </w:tcPr>
          <w:p>
            <w:r>
              <w:rPr>
                <w:b/>
                <w:color w:val="1A73E8"/>
              </w:rPr>
              <w:t>Price</w:t>
            </w:r>
          </w:p>
        </w:tc>
        <w:tc>
          <w:tcPr>
            <w:tcW w:type="dxa" w:w="1008"/>
            <w:shd w:val="clear" w:color="auto" w:fill="2C2C44"/>
          </w:tcPr>
          <w:p>
            <w:r>
              <w:rPr>
                <w:b/>
                <w:color w:val="1A73E8"/>
              </w:rPr>
              <w:t>Chg%</w:t>
            </w:r>
          </w:p>
        </w:tc>
        <w:tc>
          <w:tcPr>
            <w:tcW w:type="dxa" w:w="1008"/>
            <w:shd w:val="clear" w:color="auto" w:fill="2C2C44"/>
          </w:tcPr>
          <w:p>
            <w:r>
              <w:rPr>
                <w:b/>
                <w:color w:val="1A73E8"/>
              </w:rPr>
              <w:t>Gap%</w:t>
            </w:r>
          </w:p>
        </w:tc>
        <w:tc>
          <w:tcPr>
            <w:tcW w:type="dxa" w:w="1008"/>
            <w:shd w:val="clear" w:color="auto" w:fill="2C2C44"/>
          </w:tcPr>
          <w:p>
            <w:r>
              <w:rPr>
                <w:b/>
                <w:color w:val="1A73E8"/>
              </w:rPr>
              <w:t>Float M</w:t>
            </w:r>
          </w:p>
        </w:tc>
        <w:tc>
          <w:tcPr>
            <w:tcW w:type="dxa" w:w="1008"/>
            <w:shd w:val="clear" w:color="auto" w:fill="2C2C44"/>
          </w:tcPr>
          <w:p>
            <w:r>
              <w:rPr>
                <w:b/>
                <w:color w:val="1A73E8"/>
              </w:rPr>
              <w:t>Catalyst</w:t>
            </w:r>
          </w:p>
        </w:tc>
      </w:tr>
      <w:tr>
        <w:tc>
          <w:tcPr>
            <w:tcW w:type="dxa" w:w="1008"/>
          </w:tcPr>
          <w:p>
            <w:r>
              <w:rPr>
                <w:sz w:val="17"/>
              </w:rPr>
              <w:t>KALV</w:t>
            </w:r>
          </w:p>
        </w:tc>
        <w:tc>
          <w:tcPr>
            <w:tcW w:type="dxa" w:w="1008"/>
          </w:tcPr>
          <w:p>
            <w:r>
              <w:rPr>
                <w:sz w:val="17"/>
              </w:rPr>
              <w:t>42</w:t>
            </w:r>
          </w:p>
        </w:tc>
        <w:tc>
          <w:tcPr>
            <w:tcW w:type="dxa" w:w="1008"/>
          </w:tcPr>
          <w:p>
            <w:r>
              <w:rPr>
                <w:sz w:val="17"/>
              </w:rPr>
              <w:t>A</w:t>
            </w:r>
          </w:p>
        </w:tc>
        <w:tc>
          <w:tcPr>
            <w:tcW w:type="dxa" w:w="1008"/>
          </w:tcPr>
          <w:p>
            <w:r>
              <w:rPr>
                <w:b/>
                <w:color w:val="0F9D58"/>
                <w:sz w:val="17"/>
              </w:rPr>
              <w:t>GO</w:t>
            </w:r>
          </w:p>
        </w:tc>
        <w:tc>
          <w:tcPr>
            <w:tcW w:type="dxa" w:w="1008"/>
          </w:tcPr>
          <w:p>
            <w:r>
              <w:rPr>
                <w:sz w:val="17"/>
              </w:rPr>
              <w:t>6.4x</w:t>
            </w:r>
          </w:p>
        </w:tc>
        <w:tc>
          <w:tcPr>
            <w:tcW w:type="dxa" w:w="1008"/>
          </w:tcPr>
          <w:p>
            <w:r>
              <w:rPr>
                <w:sz w:val="17"/>
              </w:rPr>
              <w:t>$26.71</w:t>
            </w:r>
          </w:p>
        </w:tc>
        <w:tc>
          <w:tcPr>
            <w:tcW w:type="dxa" w:w="1008"/>
          </w:tcPr>
          <w:p>
            <w:r>
              <w:rPr>
                <w:sz w:val="17"/>
              </w:rPr>
              <w:t>+38.8%</w:t>
            </w:r>
          </w:p>
        </w:tc>
        <w:tc>
          <w:tcPr>
            <w:tcW w:type="dxa" w:w="1008"/>
          </w:tcPr>
          <w:p>
            <w:r>
              <w:rPr>
                <w:sz w:val="17"/>
              </w:rPr>
              <w:t>+38.1%</w:t>
            </w:r>
          </w:p>
        </w:tc>
        <w:tc>
          <w:tcPr>
            <w:tcW w:type="dxa" w:w="1008"/>
          </w:tcPr>
          <w:p>
            <w:r>
              <w:rPr>
                <w:sz w:val="17"/>
              </w:rPr>
              <w:t>37.9M</w:t>
            </w:r>
          </w:p>
        </w:tc>
        <w:tc>
          <w:tcPr>
            <w:tcW w:type="dxa" w:w="1008"/>
          </w:tcPr>
          <w:p>
            <w:r>
              <w:rPr>
                <w:sz w:val="17"/>
              </w:rPr>
              <w:t>Top Premarket Gainers</w:t>
            </w:r>
          </w:p>
        </w:tc>
      </w:tr>
      <w:tr>
        <w:tc>
          <w:tcPr>
            <w:tcW w:type="dxa" w:w="1008"/>
          </w:tcPr>
          <w:p>
            <w:r>
              <w:rPr>
                <w:sz w:val="17"/>
              </w:rPr>
              <w:t>ATLN</w:t>
            </w:r>
          </w:p>
        </w:tc>
        <w:tc>
          <w:tcPr>
            <w:tcW w:type="dxa" w:w="1008"/>
          </w:tcPr>
          <w:p>
            <w:r>
              <w:rPr>
                <w:sz w:val="17"/>
              </w:rPr>
              <w:t>34</w:t>
            </w:r>
          </w:p>
        </w:tc>
        <w:tc>
          <w:tcPr>
            <w:tcW w:type="dxa" w:w="1008"/>
          </w:tcPr>
          <w:p>
            <w:r>
              <w:rPr>
                <w:sz w:val="17"/>
              </w:rPr>
              <w:t>B</w:t>
            </w:r>
          </w:p>
        </w:tc>
        <w:tc>
          <w:tcPr>
            <w:tcW w:type="dxa" w:w="1008"/>
          </w:tcPr>
          <w:p>
            <w:r>
              <w:rPr>
                <w:b/>
                <w:color w:val="F4B400"/>
                <w:sz w:val="17"/>
              </w:rPr>
              <w:t>WAIT</w:t>
            </w:r>
          </w:p>
        </w:tc>
        <w:tc>
          <w:tcPr>
            <w:tcW w:type="dxa" w:w="1008"/>
          </w:tcPr>
          <w:p>
            <w:r>
              <w:rPr>
                <w:sz w:val="17"/>
              </w:rPr>
              <w:t>14.8x</w:t>
            </w:r>
          </w:p>
        </w:tc>
        <w:tc>
          <w:tcPr>
            <w:tcW w:type="dxa" w:w="1008"/>
          </w:tcPr>
          <w:p>
            <w:r>
              <w:rPr>
                <w:sz w:val="17"/>
              </w:rPr>
              <w:t>$2.25</w:t>
            </w:r>
          </w:p>
        </w:tc>
        <w:tc>
          <w:tcPr>
            <w:tcW w:type="dxa" w:w="1008"/>
          </w:tcPr>
          <w:p>
            <w:r>
              <w:rPr>
                <w:sz w:val="17"/>
              </w:rPr>
              <w:t>+8.2%</w:t>
            </w:r>
          </w:p>
        </w:tc>
        <w:tc>
          <w:tcPr>
            <w:tcW w:type="dxa" w:w="1008"/>
          </w:tcPr>
          <w:p>
            <w:r>
              <w:rPr>
                <w:sz w:val="17"/>
              </w:rPr>
              <w:t>+7.5%</w:t>
            </w:r>
          </w:p>
        </w:tc>
        <w:tc>
          <w:tcPr>
            <w:tcW w:type="dxa" w:w="1008"/>
          </w:tcPr>
          <w:p>
            <w:r>
              <w:rPr>
                <w:sz w:val="17"/>
              </w:rPr>
              <w:t>11.0M</w:t>
            </w:r>
          </w:p>
        </w:tc>
        <w:tc>
          <w:tcPr>
            <w:tcW w:type="dxa" w:w="1008"/>
          </w:tcPr>
          <w:p>
            <w:r>
              <w:rPr>
                <w:sz w:val="17"/>
              </w:rPr>
              <w:t>Get insights into the top gainers and losers of Tu</w:t>
            </w:r>
          </w:p>
        </w:tc>
      </w:tr>
      <w:tr>
        <w:tc>
          <w:tcPr>
            <w:tcW w:type="dxa" w:w="1008"/>
          </w:tcPr>
          <w:p>
            <w:r>
              <w:rPr>
                <w:sz w:val="17"/>
              </w:rPr>
              <w:t>GCTK</w:t>
            </w:r>
          </w:p>
        </w:tc>
        <w:tc>
          <w:tcPr>
            <w:tcW w:type="dxa" w:w="1008"/>
          </w:tcPr>
          <w:p>
            <w:r>
              <w:rPr>
                <w:sz w:val="17"/>
              </w:rPr>
              <w:t>34</w:t>
            </w:r>
          </w:p>
        </w:tc>
        <w:tc>
          <w:tcPr>
            <w:tcW w:type="dxa" w:w="1008"/>
          </w:tcPr>
          <w:p>
            <w:r>
              <w:rPr>
                <w:sz w:val="17"/>
              </w:rPr>
              <w:t>B</w:t>
            </w:r>
          </w:p>
        </w:tc>
        <w:tc>
          <w:tcPr>
            <w:tcW w:type="dxa" w:w="1008"/>
          </w:tcPr>
          <w:p>
            <w:r>
              <w:rPr>
                <w:b/>
                <w:color w:val="F4B400"/>
                <w:sz w:val="17"/>
              </w:rPr>
              <w:t>WAIT</w:t>
            </w:r>
          </w:p>
        </w:tc>
        <w:tc>
          <w:tcPr>
            <w:tcW w:type="dxa" w:w="1008"/>
          </w:tcPr>
          <w:p>
            <w:r>
              <w:rPr>
                <w:sz w:val="17"/>
              </w:rPr>
              <w:t>18.1x</w:t>
            </w:r>
          </w:p>
        </w:tc>
        <w:tc>
          <w:tcPr>
            <w:tcW w:type="dxa" w:w="1008"/>
          </w:tcPr>
          <w:p>
            <w:r>
              <w:rPr>
                <w:sz w:val="17"/>
              </w:rPr>
              <w:t>$1.08</w:t>
            </w:r>
          </w:p>
        </w:tc>
        <w:tc>
          <w:tcPr>
            <w:tcW w:type="dxa" w:w="1008"/>
          </w:tcPr>
          <w:p>
            <w:r>
              <w:rPr>
                <w:sz w:val="17"/>
              </w:rPr>
              <w:t>+29.0%</w:t>
            </w:r>
          </w:p>
        </w:tc>
        <w:tc>
          <w:tcPr>
            <w:tcW w:type="dxa" w:w="1008"/>
          </w:tcPr>
          <w:p>
            <w:r>
              <w:rPr>
                <w:sz w:val="17"/>
              </w:rPr>
              <w:t>+15.8%</w:t>
            </w:r>
          </w:p>
        </w:tc>
        <w:tc>
          <w:tcPr>
            <w:tcW w:type="dxa" w:w="1008"/>
          </w:tcPr>
          <w:p>
            <w:r>
              <w:rPr>
                <w:sz w:val="17"/>
              </w:rPr>
              <w:t>1.8M</w:t>
            </w:r>
          </w:p>
        </w:tc>
        <w:tc>
          <w:tcPr>
            <w:tcW w:type="dxa" w:w="1008"/>
          </w:tcPr>
          <w:p>
            <w:r>
              <w:rPr>
                <w:sz w:val="17"/>
              </w:rPr>
              <w:t>—</w:t>
            </w:r>
          </w:p>
        </w:tc>
      </w:tr>
      <w:tr>
        <w:tc>
          <w:tcPr>
            <w:tcW w:type="dxa" w:w="1008"/>
          </w:tcPr>
          <w:p>
            <w:r>
              <w:rPr>
                <w:sz w:val="17"/>
              </w:rPr>
              <w:t>AKAN</w:t>
            </w:r>
          </w:p>
        </w:tc>
        <w:tc>
          <w:tcPr>
            <w:tcW w:type="dxa" w:w="1008"/>
          </w:tcPr>
          <w:p>
            <w:r>
              <w:rPr>
                <w:sz w:val="17"/>
              </w:rPr>
              <w:t>33</w:t>
            </w:r>
          </w:p>
        </w:tc>
        <w:tc>
          <w:tcPr>
            <w:tcW w:type="dxa" w:w="1008"/>
          </w:tcPr>
          <w:p>
            <w:r>
              <w:rPr>
                <w:sz w:val="17"/>
              </w:rPr>
              <w:t>B</w:t>
            </w:r>
          </w:p>
        </w:tc>
        <w:tc>
          <w:tcPr>
            <w:tcW w:type="dxa" w:w="1008"/>
          </w:tcPr>
          <w:p>
            <w:r>
              <w:rPr>
                <w:b/>
                <w:color w:val="F4B400"/>
                <w:sz w:val="17"/>
              </w:rPr>
              <w:t>WAIT</w:t>
            </w:r>
          </w:p>
        </w:tc>
        <w:tc>
          <w:tcPr>
            <w:tcW w:type="dxa" w:w="1008"/>
          </w:tcPr>
          <w:p>
            <w:r>
              <w:rPr>
                <w:sz w:val="17"/>
              </w:rPr>
              <w:t>37.2x</w:t>
            </w:r>
          </w:p>
        </w:tc>
        <w:tc>
          <w:tcPr>
            <w:tcW w:type="dxa" w:w="1008"/>
          </w:tcPr>
          <w:p>
            <w:r>
              <w:rPr>
                <w:sz w:val="17"/>
              </w:rPr>
              <w:t>$20.45</w:t>
            </w:r>
          </w:p>
        </w:tc>
        <w:tc>
          <w:tcPr>
            <w:tcW w:type="dxa" w:w="1008"/>
          </w:tcPr>
          <w:p>
            <w:r>
              <w:rPr>
                <w:sz w:val="17"/>
              </w:rPr>
              <w:t>+16.9%</w:t>
            </w:r>
          </w:p>
        </w:tc>
        <w:tc>
          <w:tcPr>
            <w:tcW w:type="dxa" w:w="1008"/>
          </w:tcPr>
          <w:p>
            <w:r>
              <w:rPr>
                <w:sz w:val="17"/>
              </w:rPr>
              <w:t>+8.3%</w:t>
            </w:r>
          </w:p>
        </w:tc>
        <w:tc>
          <w:tcPr>
            <w:tcW w:type="dxa" w:w="1008"/>
          </w:tcPr>
          <w:p>
            <w:r>
              <w:rPr>
                <w:sz w:val="17"/>
              </w:rPr>
              <w:t>0.5M</w:t>
            </w:r>
          </w:p>
        </w:tc>
        <w:tc>
          <w:tcPr>
            <w:tcW w:type="dxa" w:w="1008"/>
          </w:tcPr>
          <w:p>
            <w:r>
              <w:rPr>
                <w:sz w:val="17"/>
              </w:rPr>
              <w:t>Here are the top movers in Tuesday's session.</w:t>
            </w:r>
          </w:p>
        </w:tc>
      </w:tr>
      <w:tr>
        <w:tc>
          <w:tcPr>
            <w:tcW w:type="dxa" w:w="1008"/>
          </w:tcPr>
          <w:p>
            <w:r>
              <w:rPr>
                <w:sz w:val="17"/>
              </w:rPr>
              <w:t>WALD</w:t>
            </w:r>
          </w:p>
        </w:tc>
        <w:tc>
          <w:tcPr>
            <w:tcW w:type="dxa" w:w="1008"/>
          </w:tcPr>
          <w:p>
            <w:r>
              <w:rPr>
                <w:sz w:val="17"/>
              </w:rPr>
              <w:t>33</w:t>
            </w:r>
          </w:p>
        </w:tc>
        <w:tc>
          <w:tcPr>
            <w:tcW w:type="dxa" w:w="1008"/>
          </w:tcPr>
          <w:p>
            <w:r>
              <w:rPr>
                <w:sz w:val="17"/>
              </w:rPr>
              <w:t>B</w:t>
            </w:r>
          </w:p>
        </w:tc>
        <w:tc>
          <w:tcPr>
            <w:tcW w:type="dxa" w:w="1008"/>
          </w:tcPr>
          <w:p>
            <w:r>
              <w:rPr>
                <w:b/>
                <w:color w:val="F4B400"/>
                <w:sz w:val="17"/>
              </w:rPr>
              <w:t>WAIT</w:t>
            </w:r>
          </w:p>
        </w:tc>
        <w:tc>
          <w:tcPr>
            <w:tcW w:type="dxa" w:w="1008"/>
          </w:tcPr>
          <w:p>
            <w:r>
              <w:rPr>
                <w:sz w:val="17"/>
              </w:rPr>
              <w:t>10.1x</w:t>
            </w:r>
          </w:p>
        </w:tc>
        <w:tc>
          <w:tcPr>
            <w:tcW w:type="dxa" w:w="1008"/>
          </w:tcPr>
          <w:p>
            <w:r>
              <w:rPr>
                <w:sz w:val="17"/>
              </w:rPr>
              <w:t>$1.04</w:t>
            </w:r>
          </w:p>
        </w:tc>
        <w:tc>
          <w:tcPr>
            <w:tcW w:type="dxa" w:w="1008"/>
          </w:tcPr>
          <w:p>
            <w:r>
              <w:rPr>
                <w:sz w:val="17"/>
              </w:rPr>
              <w:t>+33.4%</w:t>
            </w:r>
          </w:p>
        </w:tc>
        <w:tc>
          <w:tcPr>
            <w:tcW w:type="dxa" w:w="1008"/>
          </w:tcPr>
          <w:p>
            <w:r>
              <w:rPr>
                <w:sz w:val="17"/>
              </w:rPr>
              <w:t>+64.2%</w:t>
            </w:r>
          </w:p>
        </w:tc>
        <w:tc>
          <w:tcPr>
            <w:tcW w:type="dxa" w:w="1008"/>
          </w:tcPr>
          <w:p>
            <w:r>
              <w:rPr>
                <w:sz w:val="17"/>
              </w:rPr>
              <w:t>47.1M</w:t>
            </w:r>
          </w:p>
        </w:tc>
        <w:tc>
          <w:tcPr>
            <w:tcW w:type="dxa" w:w="1008"/>
          </w:tcPr>
          <w:p>
            <w:r>
              <w:rPr>
                <w:sz w:val="17"/>
              </w:rPr>
              <w:t>Waldencast announces conclusion of SEC investigati</w:t>
            </w:r>
          </w:p>
        </w:tc>
      </w:tr>
      <w:tr>
        <w:tc>
          <w:tcPr>
            <w:tcW w:type="dxa" w:w="1008"/>
          </w:tcPr>
          <w:p>
            <w:r>
              <w:rPr>
                <w:sz w:val="17"/>
              </w:rPr>
              <w:t>TRAW</w:t>
            </w:r>
          </w:p>
        </w:tc>
        <w:tc>
          <w:tcPr>
            <w:tcW w:type="dxa" w:w="1008"/>
          </w:tcPr>
          <w:p>
            <w:r>
              <w:rPr>
                <w:sz w:val="17"/>
              </w:rPr>
              <w:t>29</w:t>
            </w:r>
          </w:p>
        </w:tc>
        <w:tc>
          <w:tcPr>
            <w:tcW w:type="dxa" w:w="1008"/>
          </w:tcPr>
          <w:p>
            <w:r>
              <w:rPr>
                <w:sz w:val="17"/>
              </w:rPr>
              <w:t>C</w:t>
            </w:r>
          </w:p>
        </w:tc>
        <w:tc>
          <w:tcPr>
            <w:tcW w:type="dxa" w:w="1008"/>
          </w:tcPr>
          <w:p>
            <w:r>
              <w:rPr>
                <w:b/>
                <w:color w:val="DB4437"/>
                <w:sz w:val="17"/>
              </w:rPr>
              <w:t>AVOID</w:t>
            </w:r>
          </w:p>
        </w:tc>
        <w:tc>
          <w:tcPr>
            <w:tcW w:type="dxa" w:w="1008"/>
          </w:tcPr>
          <w:p>
            <w:r>
              <w:rPr>
                <w:sz w:val="17"/>
              </w:rPr>
              <w:t>12.9x</w:t>
            </w:r>
          </w:p>
        </w:tc>
        <w:tc>
          <w:tcPr>
            <w:tcW w:type="dxa" w:w="1008"/>
          </w:tcPr>
          <w:p>
            <w:r>
              <w:rPr>
                <w:sz w:val="17"/>
              </w:rPr>
              <w:t>$1.38</w:t>
            </w:r>
          </w:p>
        </w:tc>
        <w:tc>
          <w:tcPr>
            <w:tcW w:type="dxa" w:w="1008"/>
          </w:tcPr>
          <w:p>
            <w:r>
              <w:rPr>
                <w:sz w:val="17"/>
              </w:rPr>
              <w:t>+14.1%</w:t>
            </w:r>
          </w:p>
        </w:tc>
        <w:tc>
          <w:tcPr>
            <w:tcW w:type="dxa" w:w="1008"/>
          </w:tcPr>
          <w:p>
            <w:r>
              <w:rPr>
                <w:sz w:val="17"/>
              </w:rPr>
              <w:t>+5.8%</w:t>
            </w:r>
          </w:p>
        </w:tc>
        <w:tc>
          <w:tcPr>
            <w:tcW w:type="dxa" w:w="1008"/>
          </w:tcPr>
          <w:p>
            <w:r>
              <w:rPr>
                <w:sz w:val="17"/>
              </w:rPr>
              <w:t>7.7M</w:t>
            </w:r>
          </w:p>
        </w:tc>
        <w:tc>
          <w:tcPr>
            <w:tcW w:type="dxa" w:w="1008"/>
          </w:tcPr>
          <w:p>
            <w:r>
              <w:rPr>
                <w:sz w:val="17"/>
              </w:rPr>
              <w:t>—</w:t>
            </w:r>
          </w:p>
        </w:tc>
      </w:tr>
    </w:tbl>
    <w:p/>
    <w:p>
      <w:bookmarkStart w:id="5" w:name="go_picks"/>
      <w:pPr>
        <w:pStyle w:val="Heading2"/>
      </w:pPr>
      <w:r>
        <w:t>GO-Tier Picks — Top 1</w:t>
      </w:r>
      <w:bookmarkEnd w:id="5"/>
    </w:p>
    <w:p>
      <w:pPr>
        <w:spacing w:after="20"/>
      </w:pPr>
      <w:r>
        <w:t xml:space="preserve">  → </w:t>
      </w:r>
      <w:hyperlink w:anchor="ticker_KALV">
        <w:r>
          <w:rPr>
            <w:rStyle w:val="Hyperlink"/>
          </w:rPr>
          <w:t xml:space="preserve">KALV</w:t>
        </w:r>
      </w:hyperlink>
    </w:p>
    <w:p>
      <w:bookmarkStart w:id="100" w:name="ticker_KALV"/>
      <w:pPr>
        <w:pStyle w:val="Heading3"/>
      </w:pPr>
      <w:r>
        <w:t>KALV  ·  KalVista Pharmaceuticals Inc</w:t>
      </w:r>
      <w:bookmarkEnd w:id="100"/>
    </w:p>
    <w:p>
      <w:r>
        <w:rPr>
          <w:sz w:val="20"/>
        </w:rPr>
        <w:t xml:space="preserve">Score: 42/50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$26.71</w:t>
            </w:r>
          </w:p>
        </w:tc>
        <w:tc>
          <w:tcPr>
            <w:tcW w:type="dxa" w:w="1680"/>
          </w:tcPr>
          <w:p>
            <w:r>
              <w:rPr>
                <w:b/>
                <w:sz w:val="18"/>
              </w:rPr>
              <w:t>+38.8%</w:t>
            </w:r>
          </w:p>
        </w:tc>
        <w:tc>
          <w:tcPr>
            <w:tcW w:type="dxa" w:w="1680"/>
          </w:tcPr>
          <w:p>
            <w:r>
              <w:rPr>
                <w:b/>
                <w:sz w:val="18"/>
              </w:rPr>
              <w:t>+38.1%</w:t>
            </w:r>
          </w:p>
        </w:tc>
        <w:tc>
          <w:tcPr>
            <w:tcW w:type="dxa" w:w="1680"/>
          </w:tcPr>
          <w:p>
            <w:r>
              <w:rPr>
                <w:b/>
                <w:sz w:val="18"/>
              </w:rPr>
              <w:t>6.4x</w:t>
            </w:r>
          </w:p>
        </w:tc>
        <w:tc>
          <w:tcPr>
            <w:tcW w:type="dxa" w:w="1680"/>
          </w:tcPr>
          <w:p>
            <w:r>
              <w:rPr>
                <w:b/>
                <w:sz w:val="18"/>
              </w:rPr>
              <w:t>37.9M</w:t>
            </w:r>
          </w:p>
        </w:tc>
        <w:tc>
          <w:tcPr>
            <w:tcW w:type="dxa" w:w="1680"/>
          </w:tcPr>
          <w:p>
            <w:r>
              <w:rPr>
                <w:b/>
                <w:sz w:val="18"/>
              </w:rPr>
              <w:t>22,629,327</w:t>
            </w:r>
          </w:p>
        </w:tc>
      </w:tr>
    </w:tbl>
    <w:p/>
    <w:p>
      <w:r>
        <w:rPr>
          <w:rFonts w:ascii="Courier New" w:hAnsi="Courier New"/>
          <w:sz w:val="17"/>
        </w:rPr>
        <w:t xml:space="preserve">  Catalyst          ████████████ 15/15</w:t>
      </w:r>
    </w:p>
    <w:p>
      <w:r>
        <w:rPr>
          <w:rFonts w:ascii="Courier New" w:hAnsi="Courier New"/>
          <w:sz w:val="17"/>
        </w:rPr>
        <w:t xml:space="preserve">  RVOL              ██████████░░ 10/12</w:t>
      </w:r>
    </w:p>
    <w:p>
      <w:r>
        <w:rPr>
          <w:rFonts w:ascii="Courier New" w:hAnsi="Courier New"/>
          <w:sz w:val="17"/>
        </w:rPr>
        <w:t xml:space="preserve">  Price Action      ████████████ 10/10</w:t>
      </w:r>
    </w:p>
    <w:p>
      <w:r>
        <w:rPr>
          <w:rFonts w:ascii="Courier New" w:hAnsi="Courier New"/>
          <w:sz w:val="17"/>
        </w:rPr>
        <w:t xml:space="preserve">  Float             ██████░░░░░░ 4/8</w:t>
      </w:r>
    </w:p>
    <w:p>
      <w:r>
        <w:rPr>
          <w:rFonts w:ascii="Courier New" w:hAnsi="Courier New"/>
          <w:sz w:val="17"/>
        </w:rPr>
        <w:t xml:space="preserve">  Price Range       █████░░░░░░░ 2/5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**KALV Scalp Setup Brief**</w:t>
        <w:br/>
        <w:br/>
        <w:t>KALV is gapping up 38% on momentum as a top premarket gainer with strong 6.39x relative volume, indicating institutional interest in this biotech name. Key risk is the large float at 38M shares which could create resistance on any profit-taking, making this more suitable for quick scalps than extended holds. Look for entries on pullbacks to VWAP or the gap fill around $19.25 for long setups, or wait for a clear break above $27 with volume confirmation. Watch the 9:45-10:00 AM window closely - if volume starts to dry up without follow-through buying, be ready to exit quickly as biotech momentum can reverse fast.</w:t>
      </w:r>
    </w:p>
    <w:p/>
    <w:p>
      <w:r>
        <w:rPr>
          <w:b/>
          <w:color w:val="1A73E8"/>
          <w:sz w:val="18"/>
        </w:rPr>
        <w:t>🔥 Top Catalyst  ·  0.2h ago  ·  Yahoo Finance  ·  Low Impact</w:t>
      </w:r>
    </w:p>
    <w:p>
      <w:r>
        <w:rPr>
          <w:sz w:val="19"/>
        </w:rPr>
        <w:t>Top Premarket Gainers</w:t>
      </w:r>
    </w:p>
    <w:p>
      <w:r>
        <w:rPr>
          <w:color w:val="1A73E8"/>
          <w:sz w:val="16"/>
        </w:rPr>
        <w:t>https://finance.yahoo.com/markets/stocks/articles/top-premarket-gainers-120330914.html</w:t>
      </w:r>
    </w:p>
    <w:p>
      <w:pPr>
        <w:pBdr>
          <w:bottom w:val="single" w:sz="4" w:space="1" w:color="1A73E8"/>
        </w:pBdr>
      </w:pPr>
    </w:p>
    <w:p>
      <w:bookmarkStart w:id="6" w:name="cat_tape"/>
      <w:pPr>
        <w:pStyle w:val="Heading2"/>
      </w:pPr>
      <w:r>
        <w:t>Catalyst Tape</w:t>
      </w:r>
      <w:bookmarkEnd w:id="6"/>
    </w:p>
    <w:p>
      <w:r>
        <w:rPr>
          <w:b/>
        </w:rPr>
        <w:t>KALV  ·  KalVista Pharmaceuticals Inc</w:t>
      </w:r>
    </w:p>
    <w:p>
      <w:pPr>
        <w:spacing w:after="20"/>
      </w:pPr>
      <w:r>
        <w:rPr>
          <w:sz w:val="17"/>
        </w:rPr>
        <w:t xml:space="preserve">  [Low Impact  0.2h  Yahoo Finance]  Top Premarket Gainers</w:t>
      </w:r>
    </w:p>
    <w:p>
      <w:pPr>
        <w:spacing w:after="20"/>
      </w:pPr>
      <w:r>
        <w:rPr>
          <w:sz w:val="17"/>
        </w:rPr>
        <w:t xml:space="preserve">  [Low Impact  0.3h  Yahoo Finance]  KalVista Pharmaceuticals to Be Acquired by Chiesi Group for $1.9 Billion</w:t>
      </w:r>
    </w:p>
    <w:p>
      <w:pPr>
        <w:spacing w:after="20"/>
      </w:pPr>
      <w:r>
        <w:rPr>
          <w:sz w:val="17"/>
        </w:rPr>
        <w:t xml:space="preserve">  [Low Impact  0.5h  Yahoo Finance]  Chiesi Group to Acquire KalVista Pharmaceuticals, Expanding its Global Rare Disease Portfolio</w:t>
      </w:r>
    </w:p>
    <w:p>
      <w:pPr>
        <w:spacing w:after="20"/>
      </w:pPr>
      <w:r>
        <w:rPr>
          <w:sz w:val="17"/>
        </w:rPr>
        <w:t xml:space="preserve">  [Low Impact  4.2h  Finnhub]  Italian drugmaker Chiesi to buy KalVista for $1.9 billion</w:t>
      </w:r>
    </w:p>
    <w:p>
      <w:pPr>
        <w:spacing w:after="20"/>
      </w:pPr>
      <w:r>
        <w:rPr>
          <w:sz w:val="17"/>
        </w:rPr>
        <w:t xml:space="preserve">  [Low Impact  4.6h  Finnhub]  KalVista Pharmaceuticals : Chiesi Group to Acquire KalVista Pharmaceuticals, Expanding its Global Rare Disease Portfolio</w:t>
      </w:r>
    </w:p>
    <w:p>
      <w:r>
        <w:rPr>
          <w:b/>
        </w:rPr>
        <w:t>ATLN  ·  Atlantic International Corp</w:t>
      </w:r>
    </w:p>
    <w:p>
      <w:pPr>
        <w:spacing w:after="20"/>
      </w:pPr>
      <w:r>
        <w:rPr>
          <w:sz w:val="17"/>
        </w:rPr>
        <w:t xml:space="preserve">  [Low Impact  15.2h  ChartMill]  Get insights into the top gainers and losers of Tuesday's after-hours session.</w:t>
      </w:r>
    </w:p>
    <w:p>
      <w:pPr>
        <w:spacing w:after="20"/>
      </w:pPr>
      <w:r>
        <w:rPr>
          <w:sz w:val="17"/>
        </w:rPr>
        <w:t xml:space="preserve">  [Low Impact  17.2h  ChartMill]  Here are the top movers in Tuesday's session.</w:t>
      </w:r>
    </w:p>
    <w:p>
      <w:pPr>
        <w:spacing w:after="20"/>
      </w:pPr>
      <w:r>
        <w:rPr>
          <w:sz w:val="17"/>
        </w:rPr>
        <w:t xml:space="preserve">  [Low Impact  19.1h  Benzinga]  12 Health Care Stocks Moving In Tuesday's After-Market Session</w:t>
      </w:r>
    </w:p>
    <w:p>
      <w:pPr>
        <w:spacing w:after="20"/>
      </w:pPr>
      <w:r>
        <w:rPr>
          <w:sz w:val="17"/>
        </w:rPr>
        <w:t xml:space="preserve">  [Low Impact  23.1h  Benzinga]  12 Health Care Stocks Moving In Tuesday's Intraday Session</w:t>
      </w:r>
    </w:p>
    <w:p>
      <w:pPr>
        <w:spacing w:after="20"/>
      </w:pPr>
      <w:r>
        <w:rPr>
          <w:sz w:val="17"/>
        </w:rPr>
        <w:t xml:space="preserve">  [Low Impact  28.1h  Benzinga]  Atlantic International Expands Its Global Technology And Workforce Revenue Platform Through Circle8 Group</w:t>
      </w:r>
    </w:p>
    <w:p>
      <w:pPr>
        <w:spacing w:after="20"/>
      </w:pPr>
      <w:r>
        <w:rPr>
          <w:sz w:val="17"/>
        </w:rPr>
        <w:t xml:space="preserve">  [Low Impact  28.2h  Finnhub]  Atlantic International Expands its $1.2 Billion Revenue (Unaudited) Platform into AI, Cybersecurity, and Data Infrastructure Through Circle8</w:t>
      </w:r>
    </w:p>
    <w:p>
      <w:r>
        <w:rPr>
          <w:b/>
        </w:rPr>
        <w:t>AKAN  ·  Akanda Corp</w:t>
      </w:r>
    </w:p>
    <w:p>
      <w:pPr>
        <w:spacing w:after="20"/>
      </w:pPr>
      <w:r>
        <w:rPr>
          <w:sz w:val="17"/>
        </w:rPr>
        <w:t xml:space="preserve">  [Low Impact  17.2h  ChartMill]  Here are the top movers in Tuesday's session.</w:t>
      </w:r>
    </w:p>
    <w:p>
      <w:pPr>
        <w:spacing w:after="20"/>
      </w:pPr>
      <w:r>
        <w:rPr>
          <w:sz w:val="17"/>
        </w:rPr>
        <w:t xml:space="preserve">  [Low Impact  19.1h  Benzinga]  12 Health Care Stocks Moving In Tuesday's After-Market Session</w:t>
      </w:r>
    </w:p>
    <w:p>
      <w:pPr>
        <w:spacing w:after="20"/>
      </w:pPr>
      <w:r>
        <w:rPr>
          <w:sz w:val="17"/>
        </w:rPr>
        <w:t xml:space="preserve">  [Low Impact  23.1h  Benzinga]  12 Health Care Stocks Moving In Tuesday's Intraday Session</w:t>
      </w:r>
    </w:p>
    <w:p>
      <w:pPr>
        <w:spacing w:after="20"/>
      </w:pPr>
      <w:r>
        <w:rPr>
          <w:sz w:val="17"/>
        </w:rPr>
        <w:t xml:space="preserve">  [Low Impact  24.2h  Fontspace.com]  Melto Gofer by Cikareotype Studio</w:t>
      </w:r>
    </w:p>
    <w:p>
      <w:pPr>
        <w:spacing w:after="20"/>
      </w:pPr>
      <w:r>
        <w:rPr>
          <w:sz w:val="17"/>
        </w:rPr>
        <w:t xml:space="preserve">  [Low Impact  27.2h  Fontspace.com]  Luroha by Gracetype Studio</w:t>
      </w:r>
    </w:p>
    <w:p>
      <w:pPr>
        <w:spacing w:after="20"/>
      </w:pPr>
      <w:r>
        <w:rPr>
          <w:sz w:val="17"/>
        </w:rPr>
        <w:t xml:space="preserve">  [Low Impact  27.3h  Fontspace.com]  MONTRAVA by NTC Graphic</w:t>
      </w:r>
    </w:p>
    <w:p>
      <w:r>
        <w:rPr>
          <w:b/>
        </w:rPr>
        <w:t>WALD  ·  Waldencast plc</w:t>
      </w:r>
    </w:p>
    <w:p>
      <w:pPr>
        <w:spacing w:after="20"/>
      </w:pPr>
      <w:r>
        <w:rPr>
          <w:sz w:val="17"/>
        </w:rPr>
        <w:t xml:space="preserve">  [High Impact  17.7h  Finnhub]  Waldencast announces conclusion of SEC investigation</w:t>
      </w:r>
    </w:p>
    <w:p>
      <w:pPr>
        <w:spacing w:after="20"/>
      </w:pPr>
      <w:r>
        <w:rPr>
          <w:sz w:val="17"/>
        </w:rPr>
        <w:t xml:space="preserve">  [Low Impact  0.2h  Yahoo Finance]  Top Premarket Gainers</w:t>
      </w:r>
    </w:p>
    <w:p>
      <w:pPr>
        <w:spacing w:after="20"/>
      </w:pPr>
      <w:r>
        <w:rPr>
          <w:sz w:val="17"/>
        </w:rPr>
        <w:t xml:space="preserve">  [Low Impact  70.3h  Pypi.org]  prism-de added to PyPI</w:t>
      </w:r>
    </w:p>
    <w:p>
      <w:bookmarkStart w:id="7" w:name="tos_export"/>
      <w:pPr>
        <w:pStyle w:val="Heading2"/>
      </w:pPr>
      <w:r>
        <w:t>ThinkorSwim Export</w:t>
      </w:r>
      <w:bookmarkEnd w:id="7"/>
    </w:p>
    <w:p>
      <w:r>
        <w:t>GO-tier symbols:  KALV</w:t>
      </w:r>
    </w:p>
    <w:p>
      <w:r>
        <w:t>Import: Charts → Watchlists → Import Watchlist → select .tst file</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