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 TRADE AI v10</w:t>
      </w:r>
    </w:p>
    <w:p>
      <w:pPr>
        <w:jc w:val="center"/>
      </w:pPr>
      <w:r>
        <w:rPr>
          <w:sz w:val="20"/>
        </w:rPr>
        <w:t>Run Window: 1000  ·  Date: 2026-04-16  ·  Generated: 10:02:08 ET</w:t>
      </w:r>
    </w:p>
    <w:p>
      <w:pPr>
        <w:pBdr>
          <w:bottom w:val="single" w:sz="4" w:space="1" w:color="1A73E8"/>
        </w:pBdr>
      </w:pPr>
    </w:p>
    <w:p>
      <w:bookmarkStart w:id="1" w:name="toc"/>
      <w:pPr>
        <w:pStyle w:val="Heading2"/>
      </w:pPr>
      <w:r>
        <w:t>Table of Contents</w:t>
      </w:r>
      <w:bookmarkEnd w:id="1"/>
    </w:p>
    <w:p>
      <w:pPr>
        <w:spacing w:after="40"/>
      </w:pPr>
      <w:r>
        <w:t xml:space="preserve">  → </w:t>
      </w:r>
      <w:hyperlink w:anchor="exec_summary">
        <w:r>
          <w:rPr>
            <w:rStyle w:val="Hyperlink"/>
          </w:rPr>
          <w:t xml:space="preserve">Executive Summary</w:t>
        </w:r>
      </w:hyperlink>
    </w:p>
    <w:p>
      <w:pPr>
        <w:spacing w:after="40"/>
      </w:pPr>
      <w:r>
        <w:t xml:space="preserve">  → </w:t>
      </w:r>
      <w:hyperlink w:anchor="delta_section">
        <w:r>
          <w:rPr>
            <w:rStyle w:val="Hyperlink"/>
          </w:rPr>
          <w:t xml:space="preserve">What Changed</w:t>
        </w:r>
      </w:hyperlink>
    </w:p>
    <w:p>
      <w:pPr>
        <w:spacing w:after="40"/>
      </w:pPr>
      <w:r>
        <w:t xml:space="preserve">  → </w:t>
      </w:r>
      <w:hyperlink w:anchor="scorecard">
        <w:r>
          <w:rPr>
            <w:rStyle w:val="Hyperlink"/>
          </w:rPr>
          <w:t xml:space="preserve">Full Scorecard</w:t>
        </w:r>
      </w:hyperlink>
    </w:p>
    <w:p>
      <w:pPr>
        <w:spacing w:after="40"/>
      </w:pPr>
      <w:r>
        <w:t xml:space="preserve">  → </w:t>
      </w:r>
      <w:hyperlink w:anchor="go_picks">
        <w:r>
          <w:rPr>
            <w:rStyle w:val="Hyperlink"/>
          </w:rPr>
          <w:t xml:space="preserve">GO-Tier Picks</w:t>
        </w:r>
      </w:hyperlink>
    </w:p>
    <w:p>
      <w:pPr>
        <w:spacing w:after="40"/>
      </w:pPr>
      <w:r>
        <w:t xml:space="preserve">  → </w:t>
      </w:r>
      <w:hyperlink w:anchor="cat_tape">
        <w:r>
          <w:rPr>
            <w:rStyle w:val="Hyperlink"/>
          </w:rPr>
          <w:t xml:space="preserve">Catalyst Tape</w:t>
        </w:r>
      </w:hyperlink>
    </w:p>
    <w:p>
      <w:pPr>
        <w:spacing w:after="40"/>
      </w:pPr>
      <w:r>
        <w:t xml:space="preserve">  → </w:t>
      </w:r>
      <w:hyperlink w:anchor="tos_export">
        <w:r>
          <w:rPr>
            <w:rStyle w:val="Hyperlink"/>
          </w:rPr>
          <w:t xml:space="preserve">ThinkorSwim Export</w:t>
        </w:r>
      </w:hyperlink>
    </w:p>
    <w:p>
      <w:bookmarkStart w:id="2" w:name="exec_summary"/>
      <w:pPr>
        <w:pStyle w:val="Heading2"/>
      </w:pPr>
      <w:r>
        <w:t>Executive Summary</w:t>
      </w:r>
      <w:bookmarkEnd w:id="2"/>
    </w:p>
    <w:tbl>
      <w:tblPr>
        <w:tblStyle w:val="TableGrid"/>
        <w:tblW w:type="auto" w:w="0"/>
        <w:tblLook w:firstColumn="1" w:firstRow="1" w:lastColumn="0" w:lastRow="0" w:noHBand="0" w:noVBand="1" w:val="04A0"/>
      </w:tblPr>
      <w:tblGrid>
        <w:gridCol w:w="5040"/>
        <w:gridCol w:w="5040"/>
      </w:tblGrid>
      <w:tr>
        <w:tc>
          <w:tcPr>
            <w:tcW w:type="dxa" w:w="5040"/>
            <w:shd w:val="clear" w:color="auto" w:fill="2C2C44"/>
          </w:tcPr>
          <w:p>
            <w:r>
              <w:rPr>
                <w:b/>
              </w:rPr>
              <w:t>Metric</w:t>
            </w:r>
          </w:p>
        </w:tc>
        <w:tc>
          <w:tcPr>
            <w:tcW w:type="dxa" w:w="5040"/>
            <w:shd w:val="clear" w:color="auto" w:fill="2C2C44"/>
          </w:tcPr>
          <w:p>
            <w:r>
              <w:rPr>
                <w:b/>
              </w:rPr>
              <w:t>Value</w:t>
            </w:r>
          </w:p>
        </w:tc>
      </w:tr>
      <w:tr>
        <w:tc>
          <w:tcPr>
            <w:tcW w:type="dxa" w:w="5040"/>
          </w:tcPr>
          <w:p>
            <w:r>
              <w:t>Total Tickers Scanned</w:t>
            </w:r>
          </w:p>
        </w:tc>
        <w:tc>
          <w:tcPr>
            <w:tcW w:type="dxa" w:w="5040"/>
          </w:tcPr>
          <w:p>
            <w:r>
              <w:t>21</w:t>
            </w:r>
          </w:p>
        </w:tc>
      </w:tr>
      <w:tr>
        <w:tc>
          <w:tcPr>
            <w:tcW w:type="dxa" w:w="5040"/>
          </w:tcPr>
          <w:p>
            <w:r>
              <w:t>GO-Tier (≥40)</w:t>
            </w:r>
          </w:p>
        </w:tc>
        <w:tc>
          <w:tcPr>
            <w:tcW w:type="dxa" w:w="5040"/>
          </w:tcPr>
          <w:p>
            <w:r>
              <w:t>0</w:t>
            </w:r>
          </w:p>
        </w:tc>
      </w:tr>
      <w:tr>
        <w:tc>
          <w:tcPr>
            <w:tcW w:type="dxa" w:w="5040"/>
          </w:tcPr>
          <w:p>
            <w:r>
              <w:t>WAIT-Tier (30–39)</w:t>
            </w:r>
          </w:p>
        </w:tc>
        <w:tc>
          <w:tcPr>
            <w:tcW w:type="dxa" w:w="5040"/>
          </w:tcPr>
          <w:p>
            <w:r>
              <w:t>0</w:t>
            </w:r>
          </w:p>
        </w:tc>
      </w:tr>
      <w:tr>
        <w:tc>
          <w:tcPr>
            <w:tcW w:type="dxa" w:w="5040"/>
          </w:tcPr>
          <w:p>
            <w:r>
              <w:t>New Tickers This Run</w:t>
            </w:r>
          </w:p>
        </w:tc>
        <w:tc>
          <w:tcPr>
            <w:tcW w:type="dxa" w:w="5040"/>
          </w:tcPr>
          <w:p>
            <w:r>
              <w:t>0</w:t>
            </w:r>
          </w:p>
        </w:tc>
      </w:tr>
      <w:tr>
        <w:tc>
          <w:tcPr>
            <w:tcW w:type="dxa" w:w="5040"/>
          </w:tcPr>
          <w:p>
            <w:r>
              <w:t>Delta Events</w:t>
            </w:r>
          </w:p>
        </w:tc>
        <w:tc>
          <w:tcPr>
            <w:tcW w:type="dxa" w:w="5040"/>
          </w:tcPr>
          <w:p>
            <w:r>
              <w:t>1</w:t>
            </w:r>
          </w:p>
        </w:tc>
      </w:tr>
      <w:tr>
        <w:tc>
          <w:tcPr>
            <w:tcW w:type="dxa" w:w="5040"/>
          </w:tcPr>
          <w:p>
            <w:r>
              <w:t>Top Score</w:t>
            </w:r>
          </w:p>
        </w:tc>
        <w:tc>
          <w:tcPr>
            <w:tcW w:type="dxa" w:w="5040"/>
          </w:tcPr>
          <w:p>
            <w:r>
              <w:t>27 (ACHV)</w:t>
            </w:r>
          </w:p>
        </w:tc>
      </w:tr>
    </w:tbl>
    <w:p>
      <w:bookmarkStart w:id="3" w:name="delta_section"/>
      <w:pPr>
        <w:pStyle w:val="Heading2"/>
      </w:pPr>
      <w:r>
        <w:t>What Changed Since Last Run</w:t>
      </w:r>
      <w:bookmarkEnd w:id="3"/>
    </w:p>
    <w:p>
      <w:pPr>
        <w:spacing w:after="20"/>
      </w:pPr>
      <w:r>
        <w:rPr>
          <w:sz w:val="19"/>
        </w:rPr>
        <w:t>📈 UP   XNDU  —  11 → 18 (+7)</w:t>
      </w:r>
    </w:p>
    <w:p>
      <w:bookmarkStart w:id="4" w:name="scorecard"/>
      <w:pPr>
        <w:pStyle w:val="Heading2"/>
      </w:pPr>
      <w:r>
        <w:t>Full Scorecard</w:t>
      </w:r>
      <w:bookmarkEnd w:id="4"/>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val="clear" w:color="auto" w:fill="2C2C44"/>
          </w:tcPr>
          <w:p>
            <w:r>
              <w:rPr>
                <w:b/>
                <w:color w:val="1A73E8"/>
              </w:rPr>
              <w:t>Symbol</w:t>
            </w:r>
          </w:p>
        </w:tc>
        <w:tc>
          <w:tcPr>
            <w:tcW w:type="dxa" w:w="1008"/>
            <w:shd w:val="clear" w:color="auto" w:fill="2C2C44"/>
          </w:tcPr>
          <w:p>
            <w:r>
              <w:rPr>
                <w:b/>
                <w:color w:val="1A73E8"/>
              </w:rPr>
              <w:t>Score</w:t>
            </w:r>
          </w:p>
        </w:tc>
        <w:tc>
          <w:tcPr>
            <w:tcW w:type="dxa" w:w="1008"/>
            <w:shd w:val="clear" w:color="auto" w:fill="2C2C44"/>
          </w:tcPr>
          <w:p>
            <w:r>
              <w:rPr>
                <w:b/>
                <w:color w:val="1A73E8"/>
              </w:rPr>
              <w:t>Grade</w:t>
            </w:r>
          </w:p>
        </w:tc>
        <w:tc>
          <w:tcPr>
            <w:tcW w:type="dxa" w:w="1008"/>
            <w:shd w:val="clear" w:color="auto" w:fill="2C2C44"/>
          </w:tcPr>
          <w:p>
            <w:r>
              <w:rPr>
                <w:b/>
                <w:color w:val="1A73E8"/>
              </w:rPr>
              <w:t>Decision</w:t>
            </w:r>
          </w:p>
        </w:tc>
        <w:tc>
          <w:tcPr>
            <w:tcW w:type="dxa" w:w="1008"/>
            <w:shd w:val="clear" w:color="auto" w:fill="2C2C44"/>
          </w:tcPr>
          <w:p>
            <w:r>
              <w:rPr>
                <w:b/>
                <w:color w:val="1A73E8"/>
              </w:rPr>
              <w:t>RVOL</w:t>
            </w:r>
          </w:p>
        </w:tc>
        <w:tc>
          <w:tcPr>
            <w:tcW w:type="dxa" w:w="1008"/>
            <w:shd w:val="clear" w:color="auto" w:fill="2C2C44"/>
          </w:tcPr>
          <w:p>
            <w:r>
              <w:rPr>
                <w:b/>
                <w:color w:val="1A73E8"/>
              </w:rPr>
              <w:t>Price</w:t>
            </w:r>
          </w:p>
        </w:tc>
        <w:tc>
          <w:tcPr>
            <w:tcW w:type="dxa" w:w="1008"/>
            <w:shd w:val="clear" w:color="auto" w:fill="2C2C44"/>
          </w:tcPr>
          <w:p>
            <w:r>
              <w:rPr>
                <w:b/>
                <w:color w:val="1A73E8"/>
              </w:rPr>
              <w:t>Chg%</w:t>
            </w:r>
          </w:p>
        </w:tc>
        <w:tc>
          <w:tcPr>
            <w:tcW w:type="dxa" w:w="1008"/>
            <w:shd w:val="clear" w:color="auto" w:fill="2C2C44"/>
          </w:tcPr>
          <w:p>
            <w:r>
              <w:rPr>
                <w:b/>
                <w:color w:val="1A73E8"/>
              </w:rPr>
              <w:t>Gap%</w:t>
            </w:r>
          </w:p>
        </w:tc>
        <w:tc>
          <w:tcPr>
            <w:tcW w:type="dxa" w:w="1008"/>
            <w:shd w:val="clear" w:color="auto" w:fill="2C2C44"/>
          </w:tcPr>
          <w:p>
            <w:r>
              <w:rPr>
                <w:b/>
                <w:color w:val="1A73E8"/>
              </w:rPr>
              <w:t>Float M</w:t>
            </w:r>
          </w:p>
        </w:tc>
        <w:tc>
          <w:tcPr>
            <w:tcW w:type="dxa" w:w="1008"/>
            <w:shd w:val="clear" w:color="auto" w:fill="2C2C44"/>
          </w:tcPr>
          <w:p>
            <w:r>
              <w:rPr>
                <w:b/>
                <w:color w:val="1A73E8"/>
              </w:rPr>
              <w:t>Catalyst</w:t>
            </w:r>
          </w:p>
        </w:tc>
      </w:tr>
      <w:tr>
        <w:tc>
          <w:tcPr>
            <w:tcW w:type="dxa" w:w="1008"/>
          </w:tcPr>
          <w:p>
            <w:r>
              <w:rPr>
                <w:sz w:val="17"/>
              </w:rPr>
              <w:t>ACHV</w:t>
            </w:r>
          </w:p>
        </w:tc>
        <w:tc>
          <w:tcPr>
            <w:tcW w:type="dxa" w:w="1008"/>
          </w:tcPr>
          <w:p>
            <w:r>
              <w:rPr>
                <w:sz w:val="17"/>
              </w:rPr>
              <w:t>27</w:t>
            </w:r>
          </w:p>
        </w:tc>
        <w:tc>
          <w:tcPr>
            <w:tcW w:type="dxa" w:w="1008"/>
          </w:tcPr>
          <w:p>
            <w:r>
              <w:rPr>
                <w:sz w:val="17"/>
              </w:rPr>
              <w:t>C</w:t>
            </w:r>
          </w:p>
        </w:tc>
        <w:tc>
          <w:tcPr>
            <w:tcW w:type="dxa" w:w="1008"/>
          </w:tcPr>
          <w:p>
            <w:r>
              <w:rPr>
                <w:b/>
                <w:color w:val="DB4437"/>
                <w:sz w:val="17"/>
              </w:rPr>
              <w:t>AVOID</w:t>
            </w:r>
          </w:p>
        </w:tc>
        <w:tc>
          <w:tcPr>
            <w:tcW w:type="dxa" w:w="1008"/>
          </w:tcPr>
          <w:p>
            <w:r>
              <w:rPr>
                <w:sz w:val="17"/>
              </w:rPr>
              <w:t>0.0x</w:t>
            </w:r>
          </w:p>
        </w:tc>
        <w:tc>
          <w:tcPr>
            <w:tcW w:type="dxa" w:w="1008"/>
          </w:tcPr>
          <w:p>
            <w:r>
              <w:rPr>
                <w:sz w:val="17"/>
              </w:rPr>
              <w:t>$4.10</w:t>
            </w:r>
          </w:p>
        </w:tc>
        <w:tc>
          <w:tcPr>
            <w:tcW w:type="dxa" w:w="1008"/>
          </w:tcPr>
          <w:p>
            <w:r>
              <w:rPr>
                <w:sz w:val="17"/>
              </w:rPr>
              <w:t>+15.5%</w:t>
            </w:r>
          </w:p>
        </w:tc>
        <w:tc>
          <w:tcPr>
            <w:tcW w:type="dxa" w:w="1008"/>
          </w:tcPr>
          <w:p>
            <w:r>
              <w:rPr>
                <w:sz w:val="17"/>
              </w:rPr>
              <w:t>+0.0%</w:t>
            </w:r>
          </w:p>
        </w:tc>
        <w:tc>
          <w:tcPr>
            <w:tcW w:type="dxa" w:w="1008"/>
          </w:tcPr>
          <w:p>
            <w:r>
              <w:rPr>
                <w:sz w:val="17"/>
              </w:rPr>
              <w:t>0.0M</w:t>
            </w:r>
          </w:p>
        </w:tc>
        <w:tc>
          <w:tcPr>
            <w:tcW w:type="dxa" w:w="1008"/>
          </w:tcPr>
          <w:p>
            <w:r>
              <w:rPr>
                <w:sz w:val="17"/>
              </w:rPr>
              <w:t>Achieve Life Sciences Announces Up to $354 Million</w:t>
            </w:r>
          </w:p>
        </w:tc>
      </w:tr>
      <w:tr>
        <w:tc>
          <w:tcPr>
            <w:tcW w:type="dxa" w:w="1008"/>
          </w:tcPr>
          <w:p>
            <w:r>
              <w:rPr>
                <w:sz w:val="17"/>
              </w:rPr>
              <w:t>ONFO</w:t>
            </w:r>
          </w:p>
        </w:tc>
        <w:tc>
          <w:tcPr>
            <w:tcW w:type="dxa" w:w="1008"/>
          </w:tcPr>
          <w:p>
            <w:r>
              <w:rPr>
                <w:sz w:val="17"/>
              </w:rPr>
              <w:t>26</w:t>
            </w:r>
          </w:p>
        </w:tc>
        <w:tc>
          <w:tcPr>
            <w:tcW w:type="dxa" w:w="1008"/>
          </w:tcPr>
          <w:p>
            <w:r>
              <w:rPr>
                <w:sz w:val="17"/>
              </w:rPr>
              <w:t>C</w:t>
            </w:r>
          </w:p>
        </w:tc>
        <w:tc>
          <w:tcPr>
            <w:tcW w:type="dxa" w:w="1008"/>
          </w:tcPr>
          <w:p>
            <w:r>
              <w:rPr>
                <w:b/>
                <w:color w:val="DB4437"/>
                <w:sz w:val="17"/>
              </w:rPr>
              <w:t>AVOID</w:t>
            </w:r>
          </w:p>
        </w:tc>
        <w:tc>
          <w:tcPr>
            <w:tcW w:type="dxa" w:w="1008"/>
          </w:tcPr>
          <w:p>
            <w:r>
              <w:rPr>
                <w:sz w:val="17"/>
              </w:rPr>
              <w:t>0.0x</w:t>
            </w:r>
          </w:p>
        </w:tc>
        <w:tc>
          <w:tcPr>
            <w:tcW w:type="dxa" w:w="1008"/>
          </w:tcPr>
          <w:p>
            <w:r>
              <w:rPr>
                <w:sz w:val="17"/>
              </w:rPr>
              <w:t>$1.38</w:t>
            </w:r>
          </w:p>
        </w:tc>
        <w:tc>
          <w:tcPr>
            <w:tcW w:type="dxa" w:w="1008"/>
          </w:tcPr>
          <w:p>
            <w:r>
              <w:rPr>
                <w:sz w:val="17"/>
              </w:rPr>
              <w:t>+106.9%</w:t>
            </w:r>
          </w:p>
        </w:tc>
        <w:tc>
          <w:tcPr>
            <w:tcW w:type="dxa" w:w="1008"/>
          </w:tcPr>
          <w:p>
            <w:r>
              <w:rPr>
                <w:sz w:val="17"/>
              </w:rPr>
              <w:t>+0.0%</w:t>
            </w:r>
          </w:p>
        </w:tc>
        <w:tc>
          <w:tcPr>
            <w:tcW w:type="dxa" w:w="1008"/>
          </w:tcPr>
          <w:p>
            <w:r>
              <w:rPr>
                <w:sz w:val="17"/>
              </w:rPr>
              <w:t>0.0M</w:t>
            </w:r>
          </w:p>
        </w:tc>
        <w:tc>
          <w:tcPr>
            <w:tcW w:type="dxa" w:w="1008"/>
          </w:tcPr>
          <w:p>
            <w:r>
              <w:rPr>
                <w:sz w:val="17"/>
              </w:rPr>
              <w:t xml:space="preserve">Onfolio Holdings Inc. Secures $100 Million Equity </w:t>
            </w:r>
          </w:p>
        </w:tc>
      </w:tr>
      <w:tr>
        <w:tc>
          <w:tcPr>
            <w:tcW w:type="dxa" w:w="1008"/>
          </w:tcPr>
          <w:p>
            <w:r>
              <w:rPr>
                <w:sz w:val="17"/>
              </w:rPr>
              <w:t>ARQQ</w:t>
            </w:r>
          </w:p>
        </w:tc>
        <w:tc>
          <w:tcPr>
            <w:tcW w:type="dxa" w:w="1008"/>
          </w:tcPr>
          <w:p>
            <w:r>
              <w:rPr>
                <w:sz w:val="17"/>
              </w:rPr>
              <w:t>22</w:t>
            </w:r>
          </w:p>
        </w:tc>
        <w:tc>
          <w:tcPr>
            <w:tcW w:type="dxa" w:w="1008"/>
          </w:tcPr>
          <w:p>
            <w:r>
              <w:rPr>
                <w:sz w:val="17"/>
              </w:rPr>
              <w:t>C</w:t>
            </w:r>
          </w:p>
        </w:tc>
        <w:tc>
          <w:tcPr>
            <w:tcW w:type="dxa" w:w="1008"/>
          </w:tcPr>
          <w:p>
            <w:r>
              <w:rPr>
                <w:b/>
                <w:color w:val="DB4437"/>
                <w:sz w:val="17"/>
              </w:rPr>
              <w:t>AVOID</w:t>
            </w:r>
          </w:p>
        </w:tc>
        <w:tc>
          <w:tcPr>
            <w:tcW w:type="dxa" w:w="1008"/>
          </w:tcPr>
          <w:p>
            <w:r>
              <w:rPr>
                <w:sz w:val="17"/>
              </w:rPr>
              <w:t>0.0x</w:t>
            </w:r>
          </w:p>
        </w:tc>
        <w:tc>
          <w:tcPr>
            <w:tcW w:type="dxa" w:w="1008"/>
          </w:tcPr>
          <w:p>
            <w:r>
              <w:rPr>
                <w:sz w:val="17"/>
              </w:rPr>
              <w:t>$16.23</w:t>
            </w:r>
          </w:p>
        </w:tc>
        <w:tc>
          <w:tcPr>
            <w:tcW w:type="dxa" w:w="1008"/>
          </w:tcPr>
          <w:p>
            <w:r>
              <w:rPr>
                <w:sz w:val="17"/>
              </w:rPr>
              <w:t>+0.0%</w:t>
            </w:r>
          </w:p>
        </w:tc>
        <w:tc>
          <w:tcPr>
            <w:tcW w:type="dxa" w:w="1008"/>
          </w:tcPr>
          <w:p>
            <w:r>
              <w:rPr>
                <w:sz w:val="17"/>
              </w:rPr>
              <w:t>+0.0%</w:t>
            </w:r>
          </w:p>
        </w:tc>
        <w:tc>
          <w:tcPr>
            <w:tcW w:type="dxa" w:w="1008"/>
          </w:tcPr>
          <w:p>
            <w:r>
              <w:rPr>
                <w:sz w:val="17"/>
              </w:rPr>
              <w:t>0.0M</w:t>
            </w:r>
          </w:p>
        </w:tc>
        <w:tc>
          <w:tcPr>
            <w:tcW w:type="dxa" w:w="1008"/>
          </w:tcPr>
          <w:p>
            <w:r>
              <w:rPr>
                <w:sz w:val="17"/>
              </w:rPr>
              <w:t xml:space="preserve">Tomorrow Street, a joint venture between Vodafone </w:t>
            </w:r>
          </w:p>
        </w:tc>
      </w:tr>
      <w:tr>
        <w:tc>
          <w:tcPr>
            <w:tcW w:type="dxa" w:w="1008"/>
          </w:tcPr>
          <w:p>
            <w:r>
              <w:rPr>
                <w:sz w:val="17"/>
              </w:rPr>
              <w:t>MYSE</w:t>
            </w:r>
          </w:p>
        </w:tc>
        <w:tc>
          <w:tcPr>
            <w:tcW w:type="dxa" w:w="1008"/>
          </w:tcPr>
          <w:p>
            <w:r>
              <w:rPr>
                <w:sz w:val="17"/>
              </w:rPr>
              <w:t>21</w:t>
            </w:r>
          </w:p>
        </w:tc>
        <w:tc>
          <w:tcPr>
            <w:tcW w:type="dxa" w:w="1008"/>
          </w:tcPr>
          <w:p>
            <w:r>
              <w:rPr>
                <w:sz w:val="17"/>
              </w:rPr>
              <w:t>C</w:t>
            </w:r>
          </w:p>
        </w:tc>
        <w:tc>
          <w:tcPr>
            <w:tcW w:type="dxa" w:w="1008"/>
          </w:tcPr>
          <w:p>
            <w:r>
              <w:rPr>
                <w:b/>
                <w:color w:val="DB4437"/>
                <w:sz w:val="17"/>
              </w:rPr>
              <w:t>AVOID</w:t>
            </w:r>
          </w:p>
        </w:tc>
        <w:tc>
          <w:tcPr>
            <w:tcW w:type="dxa" w:w="1008"/>
          </w:tcPr>
          <w:p>
            <w:r>
              <w:rPr>
                <w:sz w:val="17"/>
              </w:rPr>
              <w:t>0.0x</w:t>
            </w:r>
          </w:p>
        </w:tc>
        <w:tc>
          <w:tcPr>
            <w:tcW w:type="dxa" w:w="1008"/>
          </w:tcPr>
          <w:p>
            <w:r>
              <w:rPr>
                <w:sz w:val="17"/>
              </w:rPr>
              <w:t>$4.25</w:t>
            </w:r>
          </w:p>
        </w:tc>
        <w:tc>
          <w:tcPr>
            <w:tcW w:type="dxa" w:w="1008"/>
          </w:tcPr>
          <w:p>
            <w:r>
              <w:rPr>
                <w:sz w:val="17"/>
              </w:rPr>
              <w:t>+195.1%</w:t>
            </w:r>
          </w:p>
        </w:tc>
        <w:tc>
          <w:tcPr>
            <w:tcW w:type="dxa" w:w="1008"/>
          </w:tcPr>
          <w:p>
            <w:r>
              <w:rPr>
                <w:sz w:val="17"/>
              </w:rPr>
              <w:t>+0.0%</w:t>
            </w:r>
          </w:p>
        </w:tc>
        <w:tc>
          <w:tcPr>
            <w:tcW w:type="dxa" w:w="1008"/>
          </w:tcPr>
          <w:p>
            <w:r>
              <w:rPr>
                <w:sz w:val="17"/>
              </w:rPr>
              <w:t>0.0M</w:t>
            </w:r>
          </w:p>
        </w:tc>
        <w:tc>
          <w:tcPr>
            <w:tcW w:type="dxa" w:w="1008"/>
          </w:tcPr>
          <w:p>
            <w:r>
              <w:rPr>
                <w:sz w:val="17"/>
              </w:rPr>
              <w:t>Top Premarket Gainers</w:t>
            </w:r>
          </w:p>
        </w:tc>
      </w:tr>
      <w:tr>
        <w:tc>
          <w:tcPr>
            <w:tcW w:type="dxa" w:w="1008"/>
          </w:tcPr>
          <w:p>
            <w:r>
              <w:rPr>
                <w:sz w:val="17"/>
              </w:rPr>
              <w:t>NUCL</w:t>
            </w:r>
          </w:p>
        </w:tc>
        <w:tc>
          <w:tcPr>
            <w:tcW w:type="dxa" w:w="1008"/>
          </w:tcPr>
          <w:p>
            <w:r>
              <w:rPr>
                <w:sz w:val="17"/>
              </w:rPr>
              <w:t>20</w:t>
            </w:r>
          </w:p>
        </w:tc>
        <w:tc>
          <w:tcPr>
            <w:tcW w:type="dxa" w:w="1008"/>
          </w:tcPr>
          <w:p>
            <w:r>
              <w:rPr>
                <w:sz w:val="17"/>
              </w:rPr>
              <w:t>C</w:t>
            </w:r>
          </w:p>
        </w:tc>
        <w:tc>
          <w:tcPr>
            <w:tcW w:type="dxa" w:w="1008"/>
          </w:tcPr>
          <w:p>
            <w:r>
              <w:rPr>
                <w:b/>
                <w:color w:val="DB4437"/>
                <w:sz w:val="17"/>
              </w:rPr>
              <w:t>AVOID</w:t>
            </w:r>
          </w:p>
        </w:tc>
        <w:tc>
          <w:tcPr>
            <w:tcW w:type="dxa" w:w="1008"/>
          </w:tcPr>
          <w:p>
            <w:r>
              <w:rPr>
                <w:sz w:val="17"/>
              </w:rPr>
              <w:t>0.0x</w:t>
            </w:r>
          </w:p>
        </w:tc>
        <w:tc>
          <w:tcPr>
            <w:tcW w:type="dxa" w:w="1008"/>
          </w:tcPr>
          <w:p>
            <w:r>
              <w:rPr>
                <w:sz w:val="17"/>
              </w:rPr>
              <w:t>$10.92</w:t>
            </w:r>
          </w:p>
        </w:tc>
        <w:tc>
          <w:tcPr>
            <w:tcW w:type="dxa" w:w="1008"/>
          </w:tcPr>
          <w:p>
            <w:r>
              <w:rPr>
                <w:sz w:val="17"/>
              </w:rPr>
              <w:t>+14.7%</w:t>
            </w:r>
          </w:p>
        </w:tc>
        <w:tc>
          <w:tcPr>
            <w:tcW w:type="dxa" w:w="1008"/>
          </w:tcPr>
          <w:p>
            <w:r>
              <w:rPr>
                <w:sz w:val="17"/>
              </w:rPr>
              <w:t>+0.0%</w:t>
            </w:r>
          </w:p>
        </w:tc>
        <w:tc>
          <w:tcPr>
            <w:tcW w:type="dxa" w:w="1008"/>
          </w:tcPr>
          <w:p>
            <w:r>
              <w:rPr>
                <w:sz w:val="17"/>
              </w:rPr>
              <w:t>0.0M</w:t>
            </w:r>
          </w:p>
        </w:tc>
        <w:tc>
          <w:tcPr>
            <w:tcW w:type="dxa" w:w="1008"/>
          </w:tcPr>
          <w:p>
            <w:r>
              <w:rPr>
                <w:sz w:val="17"/>
              </w:rPr>
              <w:t>Eagle Nuclear Energy Provides First Quarter 2026 C</w:t>
            </w:r>
          </w:p>
        </w:tc>
      </w:tr>
      <w:tr>
        <w:tc>
          <w:tcPr>
            <w:tcW w:type="dxa" w:w="1008"/>
          </w:tcPr>
          <w:p>
            <w:r>
              <w:rPr>
                <w:sz w:val="17"/>
              </w:rPr>
              <w:t>MAMO</w:t>
            </w:r>
          </w:p>
        </w:tc>
        <w:tc>
          <w:tcPr>
            <w:tcW w:type="dxa" w:w="1008"/>
          </w:tcPr>
          <w:p>
            <w:r>
              <w:rPr>
                <w:sz w:val="17"/>
              </w:rPr>
              <w:t>19</w:t>
            </w:r>
          </w:p>
        </w:tc>
        <w:tc>
          <w:tcPr>
            <w:tcW w:type="dxa" w:w="1008"/>
          </w:tcPr>
          <w:p>
            <w:r>
              <w:rPr>
                <w:sz w:val="17"/>
              </w:rPr>
              <w:t>D</w:t>
            </w:r>
          </w:p>
        </w:tc>
        <w:tc>
          <w:tcPr>
            <w:tcW w:type="dxa" w:w="1008"/>
          </w:tcPr>
          <w:p>
            <w:r>
              <w:rPr>
                <w:b/>
                <w:color w:val="DB4437"/>
                <w:sz w:val="17"/>
              </w:rPr>
              <w:t>AVOID</w:t>
            </w:r>
          </w:p>
        </w:tc>
        <w:tc>
          <w:tcPr>
            <w:tcW w:type="dxa" w:w="1008"/>
          </w:tcPr>
          <w:p>
            <w:r>
              <w:rPr>
                <w:sz w:val="17"/>
              </w:rPr>
              <w:t>0.0x</w:t>
            </w:r>
          </w:p>
        </w:tc>
        <w:tc>
          <w:tcPr>
            <w:tcW w:type="dxa" w:w="1008"/>
          </w:tcPr>
          <w:p>
            <w:r>
              <w:rPr>
                <w:sz w:val="17"/>
              </w:rPr>
              <w:t>$1.26</w:t>
            </w:r>
          </w:p>
        </w:tc>
        <w:tc>
          <w:tcPr>
            <w:tcW w:type="dxa" w:w="1008"/>
          </w:tcPr>
          <w:p>
            <w:r>
              <w:rPr>
                <w:sz w:val="17"/>
              </w:rPr>
              <w:t>+27.2%</w:t>
            </w:r>
          </w:p>
        </w:tc>
        <w:tc>
          <w:tcPr>
            <w:tcW w:type="dxa" w:w="1008"/>
          </w:tcPr>
          <w:p>
            <w:r>
              <w:rPr>
                <w:sz w:val="17"/>
              </w:rPr>
              <w:t>+0.0%</w:t>
            </w:r>
          </w:p>
        </w:tc>
        <w:tc>
          <w:tcPr>
            <w:tcW w:type="dxa" w:w="1008"/>
          </w:tcPr>
          <w:p>
            <w:r>
              <w:rPr>
                <w:sz w:val="17"/>
              </w:rPr>
              <w:t>0.0M</w:t>
            </w:r>
          </w:p>
        </w:tc>
        <w:tc>
          <w:tcPr>
            <w:tcW w:type="dxa" w:w="1008"/>
          </w:tcPr>
          <w:p>
            <w:r>
              <w:rPr>
                <w:sz w:val="17"/>
              </w:rPr>
              <w:t>MAMO Announces Strategic Partnership to Advance In</w:t>
            </w:r>
          </w:p>
        </w:tc>
      </w:tr>
      <w:tr>
        <w:tc>
          <w:tcPr>
            <w:tcW w:type="dxa" w:w="1008"/>
          </w:tcPr>
          <w:p>
            <w:r>
              <w:rPr>
                <w:sz w:val="17"/>
              </w:rPr>
              <w:t>BTQ</w:t>
            </w:r>
          </w:p>
        </w:tc>
        <w:tc>
          <w:tcPr>
            <w:tcW w:type="dxa" w:w="1008"/>
          </w:tcPr>
          <w:p>
            <w:r>
              <w:rPr>
                <w:sz w:val="17"/>
              </w:rPr>
              <w:t>18</w:t>
            </w:r>
          </w:p>
        </w:tc>
        <w:tc>
          <w:tcPr>
            <w:tcW w:type="dxa" w:w="1008"/>
          </w:tcPr>
          <w:p>
            <w:r>
              <w:rPr>
                <w:sz w:val="17"/>
              </w:rPr>
              <w:t>D</w:t>
            </w:r>
          </w:p>
        </w:tc>
        <w:tc>
          <w:tcPr>
            <w:tcW w:type="dxa" w:w="1008"/>
          </w:tcPr>
          <w:p>
            <w:r>
              <w:rPr>
                <w:b/>
                <w:color w:val="DB4437"/>
                <w:sz w:val="17"/>
              </w:rPr>
              <w:t>AVOID</w:t>
            </w:r>
          </w:p>
        </w:tc>
        <w:tc>
          <w:tcPr>
            <w:tcW w:type="dxa" w:w="1008"/>
          </w:tcPr>
          <w:p>
            <w:r>
              <w:rPr>
                <w:sz w:val="17"/>
              </w:rPr>
              <w:t>0.0x</w:t>
            </w:r>
          </w:p>
        </w:tc>
        <w:tc>
          <w:tcPr>
            <w:tcW w:type="dxa" w:w="1008"/>
          </w:tcPr>
          <w:p>
            <w:r>
              <w:rPr>
                <w:sz w:val="17"/>
              </w:rPr>
              <w:t>$3.32</w:t>
            </w:r>
          </w:p>
        </w:tc>
        <w:tc>
          <w:tcPr>
            <w:tcW w:type="dxa" w:w="1008"/>
          </w:tcPr>
          <w:p>
            <w:r>
              <w:rPr>
                <w:sz w:val="17"/>
              </w:rPr>
              <w:t>-5.6%</w:t>
            </w:r>
          </w:p>
        </w:tc>
        <w:tc>
          <w:tcPr>
            <w:tcW w:type="dxa" w:w="1008"/>
          </w:tcPr>
          <w:p>
            <w:r>
              <w:rPr>
                <w:sz w:val="17"/>
              </w:rPr>
              <w:t>+0.0%</w:t>
            </w:r>
          </w:p>
        </w:tc>
        <w:tc>
          <w:tcPr>
            <w:tcW w:type="dxa" w:w="1008"/>
          </w:tcPr>
          <w:p>
            <w:r>
              <w:rPr>
                <w:sz w:val="17"/>
              </w:rPr>
              <w:t>0.0M</w:t>
            </w:r>
          </w:p>
        </w:tc>
        <w:tc>
          <w:tcPr>
            <w:tcW w:type="dxa" w:w="1008"/>
          </w:tcPr>
          <w:p>
            <w:r>
              <w:rPr>
                <w:sz w:val="17"/>
              </w:rPr>
              <w:t>BTQ Technologies Advances Quantum Reliability at S</w:t>
            </w:r>
          </w:p>
        </w:tc>
      </w:tr>
      <w:tr>
        <w:tc>
          <w:tcPr>
            <w:tcW w:type="dxa" w:w="1008"/>
          </w:tcPr>
          <w:p>
            <w:r>
              <w:rPr>
                <w:sz w:val="17"/>
              </w:rPr>
              <w:t>XNDU</w:t>
            </w:r>
          </w:p>
        </w:tc>
        <w:tc>
          <w:tcPr>
            <w:tcW w:type="dxa" w:w="1008"/>
          </w:tcPr>
          <w:p>
            <w:r>
              <w:rPr>
                <w:sz w:val="17"/>
              </w:rPr>
              <w:t>18</w:t>
            </w:r>
          </w:p>
        </w:tc>
        <w:tc>
          <w:tcPr>
            <w:tcW w:type="dxa" w:w="1008"/>
          </w:tcPr>
          <w:p>
            <w:r>
              <w:rPr>
                <w:sz w:val="17"/>
              </w:rPr>
              <w:t>D</w:t>
            </w:r>
          </w:p>
        </w:tc>
        <w:tc>
          <w:tcPr>
            <w:tcW w:type="dxa" w:w="1008"/>
          </w:tcPr>
          <w:p>
            <w:r>
              <w:rPr>
                <w:b/>
                <w:color w:val="DB4437"/>
                <w:sz w:val="17"/>
              </w:rPr>
              <w:t>AVOID</w:t>
            </w:r>
          </w:p>
        </w:tc>
        <w:tc>
          <w:tcPr>
            <w:tcW w:type="dxa" w:w="1008"/>
          </w:tcPr>
          <w:p>
            <w:r>
              <w:rPr>
                <w:sz w:val="17"/>
              </w:rPr>
              <w:t>0.0x</w:t>
            </w:r>
          </w:p>
        </w:tc>
        <w:tc>
          <w:tcPr>
            <w:tcW w:type="dxa" w:w="1008"/>
          </w:tcPr>
          <w:p>
            <w:r>
              <w:rPr>
                <w:sz w:val="17"/>
              </w:rPr>
              <w:t>$26.80</w:t>
            </w:r>
          </w:p>
        </w:tc>
        <w:tc>
          <w:tcPr>
            <w:tcW w:type="dxa" w:w="1008"/>
          </w:tcPr>
          <w:p>
            <w:r>
              <w:rPr>
                <w:sz w:val="17"/>
              </w:rPr>
              <w:t>+6.4%</w:t>
            </w:r>
          </w:p>
        </w:tc>
        <w:tc>
          <w:tcPr>
            <w:tcW w:type="dxa" w:w="1008"/>
          </w:tcPr>
          <w:p>
            <w:r>
              <w:rPr>
                <w:sz w:val="17"/>
              </w:rPr>
              <w:t>+0.0%</w:t>
            </w:r>
          </w:p>
        </w:tc>
        <w:tc>
          <w:tcPr>
            <w:tcW w:type="dxa" w:w="1008"/>
          </w:tcPr>
          <w:p>
            <w:r>
              <w:rPr>
                <w:sz w:val="17"/>
              </w:rPr>
              <w:t>0.0M</w:t>
            </w:r>
          </w:p>
        </w:tc>
        <w:tc>
          <w:tcPr>
            <w:tcW w:type="dxa" w:w="1008"/>
          </w:tcPr>
          <w:p>
            <w:r>
              <w:rPr>
                <w:sz w:val="17"/>
              </w:rPr>
              <w:t>Top Midday Gainers</w:t>
            </w:r>
          </w:p>
        </w:tc>
      </w:tr>
      <w:tr>
        <w:tc>
          <w:tcPr>
            <w:tcW w:type="dxa" w:w="1008"/>
          </w:tcPr>
          <w:p>
            <w:r>
              <w:rPr>
                <w:sz w:val="17"/>
              </w:rPr>
              <w:t>EVTL</w:t>
            </w:r>
          </w:p>
        </w:tc>
        <w:tc>
          <w:tcPr>
            <w:tcW w:type="dxa" w:w="1008"/>
          </w:tcPr>
          <w:p>
            <w:r>
              <w:rPr>
                <w:sz w:val="17"/>
              </w:rPr>
              <w:t>16</w:t>
            </w:r>
          </w:p>
        </w:tc>
        <w:tc>
          <w:tcPr>
            <w:tcW w:type="dxa" w:w="1008"/>
          </w:tcPr>
          <w:p>
            <w:r>
              <w:rPr>
                <w:sz w:val="17"/>
              </w:rPr>
              <w:t>D</w:t>
            </w:r>
          </w:p>
        </w:tc>
        <w:tc>
          <w:tcPr>
            <w:tcW w:type="dxa" w:w="1008"/>
          </w:tcPr>
          <w:p>
            <w:r>
              <w:rPr>
                <w:b/>
                <w:color w:val="DB4437"/>
                <w:sz w:val="17"/>
              </w:rPr>
              <w:t>AVOID</w:t>
            </w:r>
          </w:p>
        </w:tc>
        <w:tc>
          <w:tcPr>
            <w:tcW w:type="dxa" w:w="1008"/>
          </w:tcPr>
          <w:p>
            <w:r>
              <w:rPr>
                <w:sz w:val="17"/>
              </w:rPr>
              <w:t>0.0x</w:t>
            </w:r>
          </w:p>
        </w:tc>
        <w:tc>
          <w:tcPr>
            <w:tcW w:type="dxa" w:w="1008"/>
          </w:tcPr>
          <w:p>
            <w:r>
              <w:rPr>
                <w:sz w:val="17"/>
              </w:rPr>
              <w:t>$3.09</w:t>
            </w:r>
          </w:p>
        </w:tc>
        <w:tc>
          <w:tcPr>
            <w:tcW w:type="dxa" w:w="1008"/>
          </w:tcPr>
          <w:p>
            <w:r>
              <w:rPr>
                <w:sz w:val="17"/>
              </w:rPr>
              <w:t>+16.2%</w:t>
            </w:r>
          </w:p>
        </w:tc>
        <w:tc>
          <w:tcPr>
            <w:tcW w:type="dxa" w:w="1008"/>
          </w:tcPr>
          <w:p>
            <w:r>
              <w:rPr>
                <w:sz w:val="17"/>
              </w:rPr>
              <w:t>+0.0%</w:t>
            </w:r>
          </w:p>
        </w:tc>
        <w:tc>
          <w:tcPr>
            <w:tcW w:type="dxa" w:w="1008"/>
          </w:tcPr>
          <w:p>
            <w:r>
              <w:rPr>
                <w:sz w:val="17"/>
              </w:rPr>
              <w:t>0.0M</w:t>
            </w:r>
          </w:p>
        </w:tc>
        <w:tc>
          <w:tcPr>
            <w:tcW w:type="dxa" w:w="1008"/>
          </w:tcPr>
          <w:p>
            <w:r>
              <w:rPr>
                <w:sz w:val="17"/>
              </w:rPr>
              <w:t>Vertical Aerospace Completes Two-Way Piloted Trans</w:t>
            </w:r>
          </w:p>
        </w:tc>
      </w:tr>
      <w:tr>
        <w:tc>
          <w:tcPr>
            <w:tcW w:type="dxa" w:w="1008"/>
          </w:tcPr>
          <w:p>
            <w:r>
              <w:rPr>
                <w:sz w:val="17"/>
              </w:rPr>
              <w:t>CDNA</w:t>
            </w:r>
          </w:p>
        </w:tc>
        <w:tc>
          <w:tcPr>
            <w:tcW w:type="dxa" w:w="1008"/>
          </w:tcPr>
          <w:p>
            <w:r>
              <w:rPr>
                <w:sz w:val="17"/>
              </w:rPr>
              <w:t>15</w:t>
            </w:r>
          </w:p>
        </w:tc>
        <w:tc>
          <w:tcPr>
            <w:tcW w:type="dxa" w:w="1008"/>
          </w:tcPr>
          <w:p>
            <w:r>
              <w:rPr>
                <w:sz w:val="17"/>
              </w:rPr>
              <w:t>D</w:t>
            </w:r>
          </w:p>
        </w:tc>
        <w:tc>
          <w:tcPr>
            <w:tcW w:type="dxa" w:w="1008"/>
          </w:tcPr>
          <w:p>
            <w:r>
              <w:rPr>
                <w:b/>
                <w:color w:val="DB4437"/>
                <w:sz w:val="17"/>
              </w:rPr>
              <w:t>AVOID</w:t>
            </w:r>
          </w:p>
        </w:tc>
        <w:tc>
          <w:tcPr>
            <w:tcW w:type="dxa" w:w="1008"/>
          </w:tcPr>
          <w:p>
            <w:r>
              <w:rPr>
                <w:sz w:val="17"/>
              </w:rPr>
              <w:t>0.0x</w:t>
            </w:r>
          </w:p>
        </w:tc>
        <w:tc>
          <w:tcPr>
            <w:tcW w:type="dxa" w:w="1008"/>
          </w:tcPr>
          <w:p>
            <w:r>
              <w:rPr>
                <w:sz w:val="17"/>
              </w:rPr>
              <w:t>$20.36</w:t>
            </w:r>
          </w:p>
        </w:tc>
        <w:tc>
          <w:tcPr>
            <w:tcW w:type="dxa" w:w="1008"/>
          </w:tcPr>
          <w:p>
            <w:r>
              <w:rPr>
                <w:sz w:val="17"/>
              </w:rPr>
              <w:t>+15.9%</w:t>
            </w:r>
          </w:p>
        </w:tc>
        <w:tc>
          <w:tcPr>
            <w:tcW w:type="dxa" w:w="1008"/>
          </w:tcPr>
          <w:p>
            <w:r>
              <w:rPr>
                <w:sz w:val="17"/>
              </w:rPr>
              <w:t>+0.0%</w:t>
            </w:r>
          </w:p>
        </w:tc>
        <w:tc>
          <w:tcPr>
            <w:tcW w:type="dxa" w:w="1008"/>
          </w:tcPr>
          <w:p>
            <w:r>
              <w:rPr>
                <w:sz w:val="17"/>
              </w:rPr>
              <w:t>0.0M</w:t>
            </w:r>
          </w:p>
        </w:tc>
        <w:tc>
          <w:tcPr>
            <w:tcW w:type="dxa" w:w="1008"/>
          </w:tcPr>
          <w:p>
            <w:r>
              <w:rPr>
                <w:sz w:val="17"/>
              </w:rPr>
              <w:t xml:space="preserve">Why Diagnostics Names CareDx And QuidelOrtho Just </w:t>
            </w:r>
          </w:p>
        </w:tc>
      </w:tr>
      <w:tr>
        <w:tc>
          <w:tcPr>
            <w:tcW w:type="dxa" w:w="1008"/>
          </w:tcPr>
          <w:p>
            <w:r>
              <w:rPr>
                <w:sz w:val="17"/>
              </w:rPr>
              <w:t>MRLN</w:t>
            </w:r>
          </w:p>
        </w:tc>
        <w:tc>
          <w:tcPr>
            <w:tcW w:type="dxa" w:w="1008"/>
          </w:tcPr>
          <w:p>
            <w:r>
              <w:rPr>
                <w:sz w:val="17"/>
              </w:rPr>
              <w:t>15</w:t>
            </w:r>
          </w:p>
        </w:tc>
        <w:tc>
          <w:tcPr>
            <w:tcW w:type="dxa" w:w="1008"/>
          </w:tcPr>
          <w:p>
            <w:r>
              <w:rPr>
                <w:sz w:val="17"/>
              </w:rPr>
              <w:t>D</w:t>
            </w:r>
          </w:p>
        </w:tc>
        <w:tc>
          <w:tcPr>
            <w:tcW w:type="dxa" w:w="1008"/>
          </w:tcPr>
          <w:p>
            <w:r>
              <w:rPr>
                <w:b/>
                <w:color w:val="DB4437"/>
                <w:sz w:val="17"/>
              </w:rPr>
              <w:t>AVOID</w:t>
            </w:r>
          </w:p>
        </w:tc>
        <w:tc>
          <w:tcPr>
            <w:tcW w:type="dxa" w:w="1008"/>
          </w:tcPr>
          <w:p>
            <w:r>
              <w:rPr>
                <w:sz w:val="17"/>
              </w:rPr>
              <w:t>0.0x</w:t>
            </w:r>
          </w:p>
        </w:tc>
        <w:tc>
          <w:tcPr>
            <w:tcW w:type="dxa" w:w="1008"/>
          </w:tcPr>
          <w:p>
            <w:r>
              <w:rPr>
                <w:sz w:val="17"/>
              </w:rPr>
              <w:t>$15.29</w:t>
            </w:r>
          </w:p>
        </w:tc>
        <w:tc>
          <w:tcPr>
            <w:tcW w:type="dxa" w:w="1008"/>
          </w:tcPr>
          <w:p>
            <w:r>
              <w:rPr>
                <w:sz w:val="17"/>
              </w:rPr>
              <w:t>+7.0%</w:t>
            </w:r>
          </w:p>
        </w:tc>
        <w:tc>
          <w:tcPr>
            <w:tcW w:type="dxa" w:w="1008"/>
          </w:tcPr>
          <w:p>
            <w:r>
              <w:rPr>
                <w:sz w:val="17"/>
              </w:rPr>
              <w:t>+0.0%</w:t>
            </w:r>
          </w:p>
        </w:tc>
        <w:tc>
          <w:tcPr>
            <w:tcW w:type="dxa" w:w="1008"/>
          </w:tcPr>
          <w:p>
            <w:r>
              <w:rPr>
                <w:sz w:val="17"/>
              </w:rPr>
              <w:t>0.0M</w:t>
            </w:r>
          </w:p>
        </w:tc>
        <w:tc>
          <w:tcPr>
            <w:tcW w:type="dxa" w:w="1008"/>
          </w:tcPr>
          <w:p>
            <w:r>
              <w:rPr>
                <w:sz w:val="17"/>
              </w:rPr>
              <w:t>12 Industrials Stocks Moving In Wednesday's Intrad</w:t>
            </w:r>
          </w:p>
        </w:tc>
      </w:tr>
      <w:tr>
        <w:tc>
          <w:tcPr>
            <w:tcW w:type="dxa" w:w="1008"/>
          </w:tcPr>
          <w:p>
            <w:r>
              <w:rPr>
                <w:sz w:val="17"/>
              </w:rPr>
              <w:t>RECT</w:t>
            </w:r>
          </w:p>
        </w:tc>
        <w:tc>
          <w:tcPr>
            <w:tcW w:type="dxa" w:w="1008"/>
          </w:tcPr>
          <w:p>
            <w:r>
              <w:rPr>
                <w:sz w:val="17"/>
              </w:rPr>
              <w:t>15</w:t>
            </w:r>
          </w:p>
        </w:tc>
        <w:tc>
          <w:tcPr>
            <w:tcW w:type="dxa" w:w="1008"/>
          </w:tcPr>
          <w:p>
            <w:r>
              <w:rPr>
                <w:sz w:val="17"/>
              </w:rPr>
              <w:t>D</w:t>
            </w:r>
          </w:p>
        </w:tc>
        <w:tc>
          <w:tcPr>
            <w:tcW w:type="dxa" w:w="1008"/>
          </w:tcPr>
          <w:p>
            <w:r>
              <w:rPr>
                <w:b/>
                <w:color w:val="DB4437"/>
                <w:sz w:val="17"/>
              </w:rPr>
              <w:t>AVOID</w:t>
            </w:r>
          </w:p>
        </w:tc>
        <w:tc>
          <w:tcPr>
            <w:tcW w:type="dxa" w:w="1008"/>
          </w:tcPr>
          <w:p>
            <w:r>
              <w:rPr>
                <w:sz w:val="17"/>
              </w:rPr>
              <w:t>0.0x</w:t>
            </w:r>
          </w:p>
        </w:tc>
        <w:tc>
          <w:tcPr>
            <w:tcW w:type="dxa" w:w="1008"/>
          </w:tcPr>
          <w:p>
            <w:r>
              <w:rPr>
                <w:sz w:val="17"/>
              </w:rPr>
              <w:t>$1.78</w:t>
            </w:r>
          </w:p>
        </w:tc>
        <w:tc>
          <w:tcPr>
            <w:tcW w:type="dxa" w:w="1008"/>
          </w:tcPr>
          <w:p>
            <w:r>
              <w:rPr>
                <w:sz w:val="17"/>
              </w:rPr>
              <w:t>+28.1%</w:t>
            </w:r>
          </w:p>
        </w:tc>
        <w:tc>
          <w:tcPr>
            <w:tcW w:type="dxa" w:w="1008"/>
          </w:tcPr>
          <w:p>
            <w:r>
              <w:rPr>
                <w:sz w:val="17"/>
              </w:rPr>
              <w:t>+0.0%</w:t>
            </w:r>
          </w:p>
        </w:tc>
        <w:tc>
          <w:tcPr>
            <w:tcW w:type="dxa" w:w="1008"/>
          </w:tcPr>
          <w:p>
            <w:r>
              <w:rPr>
                <w:sz w:val="17"/>
              </w:rPr>
              <w:t>0.0M</w:t>
            </w:r>
          </w:p>
        </w:tc>
        <w:tc>
          <w:tcPr>
            <w:tcW w:type="dxa" w:w="1008"/>
          </w:tcPr>
          <w:p>
            <w:r>
              <w:rPr>
                <w:sz w:val="17"/>
              </w:rPr>
              <w:t>12 Industrials Stocks Moving In Wednesday's After-</w:t>
            </w:r>
          </w:p>
        </w:tc>
      </w:tr>
      <w:tr>
        <w:tc>
          <w:tcPr>
            <w:tcW w:type="dxa" w:w="1008"/>
          </w:tcPr>
          <w:p>
            <w:r>
              <w:rPr>
                <w:sz w:val="17"/>
              </w:rPr>
              <w:t>ACCL</w:t>
            </w:r>
          </w:p>
        </w:tc>
        <w:tc>
          <w:tcPr>
            <w:tcW w:type="dxa" w:w="1008"/>
          </w:tcPr>
          <w:p>
            <w:r>
              <w:rPr>
                <w:sz w:val="17"/>
              </w:rPr>
              <w:t>14</w:t>
            </w:r>
          </w:p>
        </w:tc>
        <w:tc>
          <w:tcPr>
            <w:tcW w:type="dxa" w:w="1008"/>
          </w:tcPr>
          <w:p>
            <w:r>
              <w:rPr>
                <w:sz w:val="17"/>
              </w:rPr>
              <w:t>D</w:t>
            </w:r>
          </w:p>
        </w:tc>
        <w:tc>
          <w:tcPr>
            <w:tcW w:type="dxa" w:w="1008"/>
          </w:tcPr>
          <w:p>
            <w:r>
              <w:rPr>
                <w:b/>
                <w:color w:val="DB4437"/>
                <w:sz w:val="17"/>
              </w:rPr>
              <w:t>AVOID</w:t>
            </w:r>
          </w:p>
        </w:tc>
        <w:tc>
          <w:tcPr>
            <w:tcW w:type="dxa" w:w="1008"/>
          </w:tcPr>
          <w:p>
            <w:r>
              <w:rPr>
                <w:sz w:val="17"/>
              </w:rPr>
              <w:t>0.0x</w:t>
            </w:r>
          </w:p>
        </w:tc>
        <w:tc>
          <w:tcPr>
            <w:tcW w:type="dxa" w:w="1008"/>
          </w:tcPr>
          <w:p>
            <w:r>
              <w:rPr>
                <w:sz w:val="17"/>
              </w:rPr>
              <w:t>$1.60</w:t>
            </w:r>
          </w:p>
        </w:tc>
        <w:tc>
          <w:tcPr>
            <w:tcW w:type="dxa" w:w="1008"/>
          </w:tcPr>
          <w:p>
            <w:r>
              <w:rPr>
                <w:sz w:val="17"/>
              </w:rPr>
              <w:t>+10.3%</w:t>
            </w:r>
          </w:p>
        </w:tc>
        <w:tc>
          <w:tcPr>
            <w:tcW w:type="dxa" w:w="1008"/>
          </w:tcPr>
          <w:p>
            <w:r>
              <w:rPr>
                <w:sz w:val="17"/>
              </w:rPr>
              <w:t>+0.0%</w:t>
            </w:r>
          </w:p>
        </w:tc>
        <w:tc>
          <w:tcPr>
            <w:tcW w:type="dxa" w:w="1008"/>
          </w:tcPr>
          <w:p>
            <w:r>
              <w:rPr>
                <w:sz w:val="17"/>
              </w:rPr>
              <w:t>0.0M</w:t>
            </w:r>
          </w:p>
        </w:tc>
        <w:tc>
          <w:tcPr>
            <w:tcW w:type="dxa" w:w="1008"/>
          </w:tcPr>
          <w:p>
            <w:r>
              <w:rPr>
                <w:sz w:val="17"/>
              </w:rPr>
              <w:t xml:space="preserve">11,012,500 Ordinary Shares of Acco Group Holdings </w:t>
            </w:r>
          </w:p>
        </w:tc>
      </w:tr>
      <w:tr>
        <w:tc>
          <w:tcPr>
            <w:tcW w:type="dxa" w:w="1008"/>
          </w:tcPr>
          <w:p>
            <w:r>
              <w:rPr>
                <w:sz w:val="17"/>
              </w:rPr>
              <w:t>ANL</w:t>
            </w:r>
          </w:p>
        </w:tc>
        <w:tc>
          <w:tcPr>
            <w:tcW w:type="dxa" w:w="1008"/>
          </w:tcPr>
          <w:p>
            <w:r>
              <w:rPr>
                <w:sz w:val="17"/>
              </w:rPr>
              <w:t>14</w:t>
            </w:r>
          </w:p>
        </w:tc>
        <w:tc>
          <w:tcPr>
            <w:tcW w:type="dxa" w:w="1008"/>
          </w:tcPr>
          <w:p>
            <w:r>
              <w:rPr>
                <w:sz w:val="17"/>
              </w:rPr>
              <w:t>D</w:t>
            </w:r>
          </w:p>
        </w:tc>
        <w:tc>
          <w:tcPr>
            <w:tcW w:type="dxa" w:w="1008"/>
          </w:tcPr>
          <w:p>
            <w:r>
              <w:rPr>
                <w:b/>
                <w:color w:val="DB4437"/>
                <w:sz w:val="17"/>
              </w:rPr>
              <w:t>AVOID</w:t>
            </w:r>
          </w:p>
        </w:tc>
        <w:tc>
          <w:tcPr>
            <w:tcW w:type="dxa" w:w="1008"/>
          </w:tcPr>
          <w:p>
            <w:r>
              <w:rPr>
                <w:sz w:val="17"/>
              </w:rPr>
              <w:t>0.0x</w:t>
            </w:r>
          </w:p>
        </w:tc>
        <w:tc>
          <w:tcPr>
            <w:tcW w:type="dxa" w:w="1008"/>
          </w:tcPr>
          <w:p>
            <w:r>
              <w:rPr>
                <w:sz w:val="17"/>
              </w:rPr>
              <w:t>$13.51</w:t>
            </w:r>
          </w:p>
        </w:tc>
        <w:tc>
          <w:tcPr>
            <w:tcW w:type="dxa" w:w="1008"/>
          </w:tcPr>
          <w:p>
            <w:r>
              <w:rPr>
                <w:sz w:val="17"/>
              </w:rPr>
              <w:t>+1.9%</w:t>
            </w:r>
          </w:p>
        </w:tc>
        <w:tc>
          <w:tcPr>
            <w:tcW w:type="dxa" w:w="1008"/>
          </w:tcPr>
          <w:p>
            <w:r>
              <w:rPr>
                <w:sz w:val="17"/>
              </w:rPr>
              <w:t>+0.0%</w:t>
            </w:r>
          </w:p>
        </w:tc>
        <w:tc>
          <w:tcPr>
            <w:tcW w:type="dxa" w:w="1008"/>
          </w:tcPr>
          <w:p>
            <w:r>
              <w:rPr>
                <w:sz w:val="17"/>
              </w:rPr>
              <w:t>0.0M</w:t>
            </w:r>
          </w:p>
        </w:tc>
        <w:tc>
          <w:tcPr>
            <w:tcW w:type="dxa" w:w="1008"/>
          </w:tcPr>
          <w:p>
            <w:r>
              <w:rPr>
                <w:sz w:val="17"/>
              </w:rPr>
              <w:t>What's going on in today's pre-market session</w:t>
            </w:r>
          </w:p>
        </w:tc>
      </w:tr>
      <w:tr>
        <w:tc>
          <w:tcPr>
            <w:tcW w:type="dxa" w:w="1008"/>
          </w:tcPr>
          <w:p>
            <w:r>
              <w:rPr>
                <w:sz w:val="17"/>
              </w:rPr>
              <w:t>VANI</w:t>
            </w:r>
          </w:p>
        </w:tc>
        <w:tc>
          <w:tcPr>
            <w:tcW w:type="dxa" w:w="1008"/>
          </w:tcPr>
          <w:p>
            <w:r>
              <w:rPr>
                <w:sz w:val="17"/>
              </w:rPr>
              <w:t>14</w:t>
            </w:r>
          </w:p>
        </w:tc>
        <w:tc>
          <w:tcPr>
            <w:tcW w:type="dxa" w:w="1008"/>
          </w:tcPr>
          <w:p>
            <w:r>
              <w:rPr>
                <w:sz w:val="17"/>
              </w:rPr>
              <w:t>D</w:t>
            </w:r>
          </w:p>
        </w:tc>
        <w:tc>
          <w:tcPr>
            <w:tcW w:type="dxa" w:w="1008"/>
          </w:tcPr>
          <w:p>
            <w:r>
              <w:rPr>
                <w:b/>
                <w:color w:val="DB4437"/>
                <w:sz w:val="17"/>
              </w:rPr>
              <w:t>AVOID</w:t>
            </w:r>
          </w:p>
        </w:tc>
        <w:tc>
          <w:tcPr>
            <w:tcW w:type="dxa" w:w="1008"/>
          </w:tcPr>
          <w:p>
            <w:r>
              <w:rPr>
                <w:sz w:val="17"/>
              </w:rPr>
              <w:t>0.0x</w:t>
            </w:r>
          </w:p>
        </w:tc>
        <w:tc>
          <w:tcPr>
            <w:tcW w:type="dxa" w:w="1008"/>
          </w:tcPr>
          <w:p>
            <w:r>
              <w:rPr>
                <w:sz w:val="17"/>
              </w:rPr>
              <w:t>$1.20</w:t>
            </w:r>
          </w:p>
        </w:tc>
        <w:tc>
          <w:tcPr>
            <w:tcW w:type="dxa" w:w="1008"/>
          </w:tcPr>
          <w:p>
            <w:r>
              <w:rPr>
                <w:sz w:val="17"/>
              </w:rPr>
              <w:t>+5.3%</w:t>
            </w:r>
          </w:p>
        </w:tc>
        <w:tc>
          <w:tcPr>
            <w:tcW w:type="dxa" w:w="1008"/>
          </w:tcPr>
          <w:p>
            <w:r>
              <w:rPr>
                <w:sz w:val="17"/>
              </w:rPr>
              <w:t>+0.0%</w:t>
            </w:r>
          </w:p>
        </w:tc>
        <w:tc>
          <w:tcPr>
            <w:tcW w:type="dxa" w:w="1008"/>
          </w:tcPr>
          <w:p>
            <w:r>
              <w:rPr>
                <w:sz w:val="17"/>
              </w:rPr>
              <w:t>0.0M</w:t>
            </w:r>
          </w:p>
        </w:tc>
        <w:tc>
          <w:tcPr>
            <w:tcW w:type="dxa" w:w="1008"/>
          </w:tcPr>
          <w:p>
            <w:r>
              <w:rPr>
                <w:sz w:val="17"/>
              </w:rPr>
              <w:t>Vivani Medical Insider Bought Shares Worth $1,999,</w:t>
            </w:r>
          </w:p>
        </w:tc>
      </w:tr>
      <w:tr>
        <w:tc>
          <w:tcPr>
            <w:tcW w:type="dxa" w:w="1008"/>
          </w:tcPr>
          <w:p>
            <w:r>
              <w:rPr>
                <w:sz w:val="17"/>
              </w:rPr>
              <w:t>WSHP</w:t>
            </w:r>
          </w:p>
        </w:tc>
        <w:tc>
          <w:tcPr>
            <w:tcW w:type="dxa" w:w="1008"/>
          </w:tcPr>
          <w:p>
            <w:r>
              <w:rPr>
                <w:sz w:val="17"/>
              </w:rPr>
              <w:t>14</w:t>
            </w:r>
          </w:p>
        </w:tc>
        <w:tc>
          <w:tcPr>
            <w:tcW w:type="dxa" w:w="1008"/>
          </w:tcPr>
          <w:p>
            <w:r>
              <w:rPr>
                <w:sz w:val="17"/>
              </w:rPr>
              <w:t>D</w:t>
            </w:r>
          </w:p>
        </w:tc>
        <w:tc>
          <w:tcPr>
            <w:tcW w:type="dxa" w:w="1008"/>
          </w:tcPr>
          <w:p>
            <w:r>
              <w:rPr>
                <w:b/>
                <w:color w:val="DB4437"/>
                <w:sz w:val="17"/>
              </w:rPr>
              <w:t>AVOID</w:t>
            </w:r>
          </w:p>
        </w:tc>
        <w:tc>
          <w:tcPr>
            <w:tcW w:type="dxa" w:w="1008"/>
          </w:tcPr>
          <w:p>
            <w:r>
              <w:rPr>
                <w:sz w:val="17"/>
              </w:rPr>
              <w:t>0.0x</w:t>
            </w:r>
          </w:p>
        </w:tc>
        <w:tc>
          <w:tcPr>
            <w:tcW w:type="dxa" w:w="1008"/>
          </w:tcPr>
          <w:p>
            <w:r>
              <w:rPr>
                <w:sz w:val="17"/>
              </w:rPr>
              <w:t>$28.89</w:t>
            </w:r>
          </w:p>
        </w:tc>
        <w:tc>
          <w:tcPr>
            <w:tcW w:type="dxa" w:w="1008"/>
          </w:tcPr>
          <w:p>
            <w:r>
              <w:rPr>
                <w:sz w:val="17"/>
              </w:rPr>
              <w:t>+251.5%</w:t>
            </w:r>
          </w:p>
        </w:tc>
        <w:tc>
          <w:tcPr>
            <w:tcW w:type="dxa" w:w="1008"/>
          </w:tcPr>
          <w:p>
            <w:r>
              <w:rPr>
                <w:sz w:val="17"/>
              </w:rPr>
              <w:t>+0.0%</w:t>
            </w:r>
          </w:p>
        </w:tc>
        <w:tc>
          <w:tcPr>
            <w:tcW w:type="dxa" w:w="1008"/>
          </w:tcPr>
          <w:p>
            <w:r>
              <w:rPr>
                <w:sz w:val="17"/>
              </w:rPr>
              <w:t>0.0M</w:t>
            </w:r>
          </w:p>
        </w:tc>
        <w:tc>
          <w:tcPr>
            <w:tcW w:type="dxa" w:w="1008"/>
          </w:tcPr>
          <w:p>
            <w:r>
              <w:rPr>
                <w:sz w:val="17"/>
              </w:rPr>
              <w:t>WeShop: Will Need Capital Market Support While Wea</w:t>
            </w:r>
          </w:p>
        </w:tc>
      </w:tr>
      <w:tr>
        <w:tc>
          <w:tcPr>
            <w:tcW w:type="dxa" w:w="1008"/>
          </w:tcPr>
          <w:p>
            <w:r>
              <w:rPr>
                <w:sz w:val="17"/>
              </w:rPr>
              <w:t>FNGR</w:t>
            </w:r>
          </w:p>
        </w:tc>
        <w:tc>
          <w:tcPr>
            <w:tcW w:type="dxa" w:w="1008"/>
          </w:tcPr>
          <w:p>
            <w:r>
              <w:rPr>
                <w:sz w:val="17"/>
              </w:rPr>
              <w:t>8</w:t>
            </w:r>
          </w:p>
        </w:tc>
        <w:tc>
          <w:tcPr>
            <w:tcW w:type="dxa" w:w="1008"/>
          </w:tcPr>
          <w:p>
            <w:r>
              <w:rPr>
                <w:sz w:val="17"/>
              </w:rPr>
              <w:t>D</w:t>
            </w:r>
          </w:p>
        </w:tc>
        <w:tc>
          <w:tcPr>
            <w:tcW w:type="dxa" w:w="1008"/>
          </w:tcPr>
          <w:p>
            <w:r>
              <w:rPr>
                <w:b/>
                <w:color w:val="DB4437"/>
                <w:sz w:val="17"/>
              </w:rPr>
              <w:t>AVOID</w:t>
            </w:r>
          </w:p>
        </w:tc>
        <w:tc>
          <w:tcPr>
            <w:tcW w:type="dxa" w:w="1008"/>
          </w:tcPr>
          <w:p>
            <w:r>
              <w:rPr>
                <w:sz w:val="17"/>
              </w:rPr>
              <w:t>0.0x</w:t>
            </w:r>
          </w:p>
        </w:tc>
        <w:tc>
          <w:tcPr>
            <w:tcW w:type="dxa" w:w="1008"/>
          </w:tcPr>
          <w:p>
            <w:r>
              <w:rPr>
                <w:sz w:val="17"/>
              </w:rPr>
              <w:t>$1.01</w:t>
            </w:r>
          </w:p>
        </w:tc>
        <w:tc>
          <w:tcPr>
            <w:tcW w:type="dxa" w:w="1008"/>
          </w:tcPr>
          <w:p>
            <w:r>
              <w:rPr>
                <w:sz w:val="17"/>
              </w:rPr>
              <w:t>+1.0%</w:t>
            </w:r>
          </w:p>
        </w:tc>
        <w:tc>
          <w:tcPr>
            <w:tcW w:type="dxa" w:w="1008"/>
          </w:tcPr>
          <w:p>
            <w:r>
              <w:rPr>
                <w:sz w:val="17"/>
              </w:rPr>
              <w:t>+0.0%</w:t>
            </w:r>
          </w:p>
        </w:tc>
        <w:tc>
          <w:tcPr>
            <w:tcW w:type="dxa" w:w="1008"/>
          </w:tcPr>
          <w:p>
            <w:r>
              <w:rPr>
                <w:sz w:val="17"/>
              </w:rPr>
              <w:t>0.0M</w:t>
            </w:r>
          </w:p>
        </w:tc>
        <w:tc>
          <w:tcPr>
            <w:tcW w:type="dxa" w:w="1008"/>
          </w:tcPr>
          <w:p>
            <w:r>
              <w:rPr>
                <w:sz w:val="17"/>
              </w:rPr>
              <w:t>—</w:t>
            </w:r>
          </w:p>
        </w:tc>
      </w:tr>
      <w:tr>
        <w:tc>
          <w:tcPr>
            <w:tcW w:type="dxa" w:w="1008"/>
          </w:tcPr>
          <w:p>
            <w:r>
              <w:rPr>
                <w:sz w:val="17"/>
              </w:rPr>
              <w:t>SLNH</w:t>
            </w:r>
          </w:p>
        </w:tc>
        <w:tc>
          <w:tcPr>
            <w:tcW w:type="dxa" w:w="1008"/>
          </w:tcPr>
          <w:p>
            <w:r>
              <w:rPr>
                <w:sz w:val="17"/>
              </w:rPr>
              <w:t>8</w:t>
            </w:r>
          </w:p>
        </w:tc>
        <w:tc>
          <w:tcPr>
            <w:tcW w:type="dxa" w:w="1008"/>
          </w:tcPr>
          <w:p>
            <w:r>
              <w:rPr>
                <w:sz w:val="17"/>
              </w:rPr>
              <w:t>D</w:t>
            </w:r>
          </w:p>
        </w:tc>
        <w:tc>
          <w:tcPr>
            <w:tcW w:type="dxa" w:w="1008"/>
          </w:tcPr>
          <w:p>
            <w:r>
              <w:rPr>
                <w:b/>
                <w:color w:val="DB4437"/>
                <w:sz w:val="17"/>
              </w:rPr>
              <w:t>AVOID</w:t>
            </w:r>
          </w:p>
        </w:tc>
        <w:tc>
          <w:tcPr>
            <w:tcW w:type="dxa" w:w="1008"/>
          </w:tcPr>
          <w:p>
            <w:r>
              <w:rPr>
                <w:sz w:val="17"/>
              </w:rPr>
              <w:t>0.0x</w:t>
            </w:r>
          </w:p>
        </w:tc>
        <w:tc>
          <w:tcPr>
            <w:tcW w:type="dxa" w:w="1008"/>
          </w:tcPr>
          <w:p>
            <w:r>
              <w:rPr>
                <w:sz w:val="17"/>
              </w:rPr>
              <w:t>$1.02</w:t>
            </w:r>
          </w:p>
        </w:tc>
        <w:tc>
          <w:tcPr>
            <w:tcW w:type="dxa" w:w="1008"/>
          </w:tcPr>
          <w:p>
            <w:r>
              <w:rPr>
                <w:sz w:val="17"/>
              </w:rPr>
              <w:t>-2.9%</w:t>
            </w:r>
          </w:p>
        </w:tc>
        <w:tc>
          <w:tcPr>
            <w:tcW w:type="dxa" w:w="1008"/>
          </w:tcPr>
          <w:p>
            <w:r>
              <w:rPr>
                <w:sz w:val="17"/>
              </w:rPr>
              <w:t>+0.0%</w:t>
            </w:r>
          </w:p>
        </w:tc>
        <w:tc>
          <w:tcPr>
            <w:tcW w:type="dxa" w:w="1008"/>
          </w:tcPr>
          <w:p>
            <w:r>
              <w:rPr>
                <w:sz w:val="17"/>
              </w:rPr>
              <w:t>0.0M</w:t>
            </w:r>
          </w:p>
        </w:tc>
        <w:tc>
          <w:tcPr>
            <w:tcW w:type="dxa" w:w="1008"/>
          </w:tcPr>
          <w:p>
            <w:r>
              <w:rPr>
                <w:sz w:val="17"/>
              </w:rPr>
              <w:t>—</w:t>
            </w:r>
          </w:p>
        </w:tc>
      </w:tr>
      <w:tr>
        <w:tc>
          <w:tcPr>
            <w:tcW w:type="dxa" w:w="1008"/>
          </w:tcPr>
          <w:p>
            <w:r>
              <w:rPr>
                <w:sz w:val="17"/>
              </w:rPr>
              <w:t>JSPR</w:t>
            </w:r>
          </w:p>
        </w:tc>
        <w:tc>
          <w:tcPr>
            <w:tcW w:type="dxa" w:w="1008"/>
          </w:tcPr>
          <w:p>
            <w:r>
              <w:rPr>
                <w:sz w:val="17"/>
              </w:rPr>
              <w:t>7</w:t>
            </w:r>
          </w:p>
        </w:tc>
        <w:tc>
          <w:tcPr>
            <w:tcW w:type="dxa" w:w="1008"/>
          </w:tcPr>
          <w:p>
            <w:r>
              <w:rPr>
                <w:sz w:val="17"/>
              </w:rPr>
              <w:t>D</w:t>
            </w:r>
          </w:p>
        </w:tc>
        <w:tc>
          <w:tcPr>
            <w:tcW w:type="dxa" w:w="1008"/>
          </w:tcPr>
          <w:p>
            <w:r>
              <w:rPr>
                <w:b/>
                <w:color w:val="DB4437"/>
                <w:sz w:val="17"/>
              </w:rPr>
              <w:t>AVOID</w:t>
            </w:r>
          </w:p>
        </w:tc>
        <w:tc>
          <w:tcPr>
            <w:tcW w:type="dxa" w:w="1008"/>
          </w:tcPr>
          <w:p>
            <w:r>
              <w:rPr>
                <w:sz w:val="17"/>
              </w:rPr>
              <w:t>0.0x</w:t>
            </w:r>
          </w:p>
        </w:tc>
        <w:tc>
          <w:tcPr>
            <w:tcW w:type="dxa" w:w="1008"/>
          </w:tcPr>
          <w:p>
            <w:r>
              <w:rPr>
                <w:sz w:val="17"/>
              </w:rPr>
              <w:t>$1.00</w:t>
            </w:r>
          </w:p>
        </w:tc>
        <w:tc>
          <w:tcPr>
            <w:tcW w:type="dxa" w:w="1008"/>
          </w:tcPr>
          <w:p>
            <w:r>
              <w:rPr>
                <w:sz w:val="17"/>
              </w:rPr>
              <w:t>-4.7%</w:t>
            </w:r>
          </w:p>
        </w:tc>
        <w:tc>
          <w:tcPr>
            <w:tcW w:type="dxa" w:w="1008"/>
          </w:tcPr>
          <w:p>
            <w:r>
              <w:rPr>
                <w:sz w:val="17"/>
              </w:rPr>
              <w:t>+0.0%</w:t>
            </w:r>
          </w:p>
        </w:tc>
        <w:tc>
          <w:tcPr>
            <w:tcW w:type="dxa" w:w="1008"/>
          </w:tcPr>
          <w:p>
            <w:r>
              <w:rPr>
                <w:sz w:val="17"/>
              </w:rPr>
              <w:t>0.0M</w:t>
            </w:r>
          </w:p>
        </w:tc>
        <w:tc>
          <w:tcPr>
            <w:tcW w:type="dxa" w:w="1008"/>
          </w:tcPr>
          <w:p>
            <w:r>
              <w:rPr>
                <w:sz w:val="17"/>
              </w:rPr>
              <w:t>—</w:t>
            </w:r>
          </w:p>
        </w:tc>
      </w:tr>
      <w:tr>
        <w:tc>
          <w:tcPr>
            <w:tcW w:type="dxa" w:w="1008"/>
          </w:tcPr>
          <w:p>
            <w:r>
              <w:rPr>
                <w:sz w:val="17"/>
              </w:rPr>
              <w:t>SRFM</w:t>
            </w:r>
          </w:p>
        </w:tc>
        <w:tc>
          <w:tcPr>
            <w:tcW w:type="dxa" w:w="1008"/>
          </w:tcPr>
          <w:p>
            <w:r>
              <w:rPr>
                <w:sz w:val="17"/>
              </w:rPr>
              <w:t>7</w:t>
            </w:r>
          </w:p>
        </w:tc>
        <w:tc>
          <w:tcPr>
            <w:tcW w:type="dxa" w:w="1008"/>
          </w:tcPr>
          <w:p>
            <w:r>
              <w:rPr>
                <w:sz w:val="17"/>
              </w:rPr>
              <w:t>D</w:t>
            </w:r>
          </w:p>
        </w:tc>
        <w:tc>
          <w:tcPr>
            <w:tcW w:type="dxa" w:w="1008"/>
          </w:tcPr>
          <w:p>
            <w:r>
              <w:rPr>
                <w:b/>
                <w:color w:val="DB4437"/>
                <w:sz w:val="17"/>
              </w:rPr>
              <w:t>AVOID</w:t>
            </w:r>
          </w:p>
        </w:tc>
        <w:tc>
          <w:tcPr>
            <w:tcW w:type="dxa" w:w="1008"/>
          </w:tcPr>
          <w:p>
            <w:r>
              <w:rPr>
                <w:sz w:val="17"/>
              </w:rPr>
              <w:t>0.0x</w:t>
            </w:r>
          </w:p>
        </w:tc>
        <w:tc>
          <w:tcPr>
            <w:tcW w:type="dxa" w:w="1008"/>
          </w:tcPr>
          <w:p>
            <w:r>
              <w:rPr>
                <w:sz w:val="17"/>
              </w:rPr>
              <w:t>$1.30</w:t>
            </w:r>
          </w:p>
        </w:tc>
        <w:tc>
          <w:tcPr>
            <w:tcW w:type="dxa" w:w="1008"/>
          </w:tcPr>
          <w:p>
            <w:r>
              <w:rPr>
                <w:sz w:val="17"/>
              </w:rPr>
              <w:t>-4.7%</w:t>
            </w:r>
          </w:p>
        </w:tc>
        <w:tc>
          <w:tcPr>
            <w:tcW w:type="dxa" w:w="1008"/>
          </w:tcPr>
          <w:p>
            <w:r>
              <w:rPr>
                <w:sz w:val="17"/>
              </w:rPr>
              <w:t>+0.0%</w:t>
            </w:r>
          </w:p>
        </w:tc>
        <w:tc>
          <w:tcPr>
            <w:tcW w:type="dxa" w:w="1008"/>
          </w:tcPr>
          <w:p>
            <w:r>
              <w:rPr>
                <w:sz w:val="17"/>
              </w:rPr>
              <w:t>0.0M</w:t>
            </w:r>
          </w:p>
        </w:tc>
        <w:tc>
          <w:tcPr>
            <w:tcW w:type="dxa" w:w="1008"/>
          </w:tcPr>
          <w:p>
            <w:r>
              <w:rPr>
                <w:sz w:val="17"/>
              </w:rPr>
              <w:t>—</w:t>
            </w:r>
          </w:p>
        </w:tc>
      </w:tr>
      <w:tr>
        <w:tc>
          <w:tcPr>
            <w:tcW w:type="dxa" w:w="1008"/>
          </w:tcPr>
          <w:p>
            <w:r>
              <w:rPr>
                <w:sz w:val="17"/>
              </w:rPr>
              <w:t>NNE</w:t>
            </w:r>
          </w:p>
        </w:tc>
        <w:tc>
          <w:tcPr>
            <w:tcW w:type="dxa" w:w="1008"/>
          </w:tcPr>
          <w:p>
            <w:r>
              <w:rPr>
                <w:sz w:val="17"/>
              </w:rPr>
              <w:t>6</w:t>
            </w:r>
          </w:p>
        </w:tc>
        <w:tc>
          <w:tcPr>
            <w:tcW w:type="dxa" w:w="1008"/>
          </w:tcPr>
          <w:p>
            <w:r>
              <w:rPr>
                <w:sz w:val="17"/>
              </w:rPr>
              <w:t>D</w:t>
            </w:r>
          </w:p>
        </w:tc>
        <w:tc>
          <w:tcPr>
            <w:tcW w:type="dxa" w:w="1008"/>
          </w:tcPr>
          <w:p>
            <w:r>
              <w:rPr>
                <w:b/>
                <w:color w:val="DB4437"/>
                <w:sz w:val="17"/>
              </w:rPr>
              <w:t>AVOID</w:t>
            </w:r>
          </w:p>
        </w:tc>
        <w:tc>
          <w:tcPr>
            <w:tcW w:type="dxa" w:w="1008"/>
          </w:tcPr>
          <w:p>
            <w:r>
              <w:rPr>
                <w:sz w:val="17"/>
              </w:rPr>
              <w:t>0.0x</w:t>
            </w:r>
          </w:p>
        </w:tc>
        <w:tc>
          <w:tcPr>
            <w:tcW w:type="dxa" w:w="1008"/>
          </w:tcPr>
          <w:p>
            <w:r>
              <w:rPr>
                <w:sz w:val="17"/>
              </w:rPr>
              <w:t>$23.58</w:t>
            </w:r>
          </w:p>
        </w:tc>
        <w:tc>
          <w:tcPr>
            <w:tcW w:type="dxa" w:w="1008"/>
          </w:tcPr>
          <w:p>
            <w:r>
              <w:rPr>
                <w:sz w:val="17"/>
              </w:rPr>
              <w:t>-2.9%</w:t>
            </w:r>
          </w:p>
        </w:tc>
        <w:tc>
          <w:tcPr>
            <w:tcW w:type="dxa" w:w="1008"/>
          </w:tcPr>
          <w:p>
            <w:r>
              <w:rPr>
                <w:sz w:val="17"/>
              </w:rPr>
              <w:t>+0.0%</w:t>
            </w:r>
          </w:p>
        </w:tc>
        <w:tc>
          <w:tcPr>
            <w:tcW w:type="dxa" w:w="1008"/>
          </w:tcPr>
          <w:p>
            <w:r>
              <w:rPr>
                <w:sz w:val="17"/>
              </w:rPr>
              <w:t>0.0M</w:t>
            </w:r>
          </w:p>
        </w:tc>
        <w:tc>
          <w:tcPr>
            <w:tcW w:type="dxa" w:w="1008"/>
          </w:tcPr>
          <w:p>
            <w:r>
              <w:rPr>
                <w:sz w:val="17"/>
              </w:rPr>
              <w:t>—</w:t>
            </w:r>
          </w:p>
        </w:tc>
      </w:tr>
    </w:tbl>
    <w:p/>
    <w:p>
      <w:bookmarkStart w:id="5" w:name="go_picks"/>
      <w:pPr>
        <w:pStyle w:val="Heading2"/>
      </w:pPr>
      <w:r>
        <w:t>GO-Tier Picks — Top 0</w:t>
      </w:r>
      <w:bookmarkEnd w:id="5"/>
    </w:p>
    <w:p>
      <w:bookmarkStart w:id="6" w:name="cat_tape"/>
      <w:pPr>
        <w:pStyle w:val="Heading2"/>
      </w:pPr>
      <w:r>
        <w:t>Catalyst Tape</w:t>
      </w:r>
      <w:bookmarkEnd w:id="6"/>
    </w:p>
    <w:p>
      <w:r>
        <w:rPr>
          <w:b/>
        </w:rPr>
        <w:t>ACHV  ·  Achieve Life Sciences Inc</w:t>
      </w:r>
    </w:p>
    <w:p>
      <w:pPr>
        <w:spacing w:after="20"/>
      </w:pPr>
      <w:r>
        <w:rPr>
          <w:sz w:val="17"/>
        </w:rPr>
        <w:t xml:space="preserve">  [High Impact  5.1h  Finnhub]  Achieve Life Sciences Announces Up to $354 Million Private Placement</w:t>
      </w:r>
    </w:p>
    <w:p>
      <w:pPr>
        <w:spacing w:after="20"/>
      </w:pPr>
      <w:r>
        <w:rPr>
          <w:sz w:val="17"/>
        </w:rPr>
        <w:t xml:space="preserve">  [Medium Impact  29.9h  Benzinga]  Achieve Life Sciences Transfers Cystisinicline Manufacturing To  Adare Pharma Solutions; Manufactures First Cytisinicline Engineering Batch At Adare</w:t>
      </w:r>
    </w:p>
    <w:p>
      <w:pPr>
        <w:spacing w:after="20"/>
      </w:pPr>
      <w:r>
        <w:rPr>
          <w:sz w:val="17"/>
        </w:rPr>
        <w:t xml:space="preserve">  [Medium Impact  30.0h  Finnhub]  Achieve Life Sciences Announces Operational Progress Including Completion of Technology Transfer to Adare Pharma Solutions</w:t>
      </w:r>
    </w:p>
    <w:p>
      <w:pPr>
        <w:spacing w:after="20"/>
      </w:pPr>
      <w:r>
        <w:rPr>
          <w:sz w:val="17"/>
        </w:rPr>
        <w:t xml:space="preserve">  [Low Impact  0.4h  Yahoo Finance]  Achieve Life Sciences Launches Up to $354 Million Private Placement; Names Andrew Goldberg CEO; Shares Rise</w:t>
      </w:r>
    </w:p>
    <w:p>
      <w:pPr>
        <w:spacing w:after="20"/>
      </w:pPr>
      <w:r>
        <w:rPr>
          <w:sz w:val="17"/>
        </w:rPr>
        <w:t xml:space="preserve">  [Low Impact  5.0h  Finnhub]  Achieve Life Sciences Announces Appointment of Andrew D. Goldberg, MD, as Chief Executive Officer and to the Board of Directors</w:t>
      </w:r>
    </w:p>
    <w:p>
      <w:r>
        <w:rPr>
          <w:b/>
        </w:rPr>
        <w:t>ONFO  ·  Onfolio Holdings Inc</w:t>
      </w:r>
    </w:p>
    <w:p>
      <w:pPr>
        <w:spacing w:after="20"/>
      </w:pPr>
      <w:r>
        <w:rPr>
          <w:sz w:val="17"/>
        </w:rPr>
        <w:t xml:space="preserve">  [High Impact  1.5h  Yahoo Finance]  Onfolio Holdings Inc. Secures $100 Million Equity Facility to Accelerate Acquisition Strategy</w:t>
      </w:r>
    </w:p>
    <w:p>
      <w:r>
        <w:rPr>
          <w:b/>
        </w:rPr>
        <w:t>ARQQ  ·  Arqit Quantum Inc</w:t>
      </w:r>
    </w:p>
    <w:p>
      <w:pPr>
        <w:spacing w:after="20"/>
      </w:pPr>
      <w:r>
        <w:rPr>
          <w:sz w:val="17"/>
        </w:rPr>
        <w:t xml:space="preserve">  [Medium Impact  1.0h  GlobeNewswire Inc.]  Tomorrow Street, a joint venture between Vodafone and Luxembourg’s technology incubator, chooses Arqit to add Quantum Security Solutions to its portfolio</w:t>
      </w:r>
    </w:p>
    <w:p>
      <w:pPr>
        <w:spacing w:after="20"/>
      </w:pPr>
      <w:r>
        <w:rPr>
          <w:sz w:val="17"/>
        </w:rPr>
        <w:t xml:space="preserve">  [Low Impact  22.2h  Benzinga]  Shares of quantum computing-related companies are trading higher. The industry is extending yesterday's rally in response to NVIDIA's launch of Ising open source quantum AI models.</w:t>
      </w:r>
    </w:p>
    <w:p>
      <w:pPr>
        <w:spacing w:after="20"/>
      </w:pPr>
      <w:r>
        <w:rPr>
          <w:sz w:val="17"/>
        </w:rPr>
        <w:t xml:space="preserve">  [Low Impact  23.5h  ChartMill]  Wednesday's session: gap up and gap down stocks</w:t>
      </w:r>
    </w:p>
    <w:p>
      <w:pPr>
        <w:spacing w:after="20"/>
      </w:pPr>
      <w:r>
        <w:rPr>
          <w:sz w:val="17"/>
        </w:rPr>
        <w:t xml:space="preserve">  [Low Impact  24.3h  Benzinga]  Shares of software-related companies are trading higher as the sector rebounds from a recent selloff, with investors stepping back in after sharp declines. The uptick is supported by dip-buying and a reassessment of earlier concerns around valuations and the impact of emerging technologies like artificial intelligence.</w:t>
      </w:r>
    </w:p>
    <w:p>
      <w:pPr>
        <w:spacing w:after="20"/>
      </w:pPr>
      <w:r>
        <w:rPr>
          <w:sz w:val="17"/>
        </w:rPr>
        <w:t xml:space="preserve">  [Low Impact  49.5h  Benzinga]  Shares of quantum computing-related companies are trading higher in sympathy with IonQ, which was awarded a contract by the Defense Advanced Research Projects Agency and achieved a photonic link between remote quantum computers.</w:t>
      </w:r>
    </w:p>
    <w:p>
      <w:pPr>
        <w:spacing w:after="20"/>
      </w:pPr>
      <w:r>
        <w:rPr>
          <w:sz w:val="17"/>
        </w:rPr>
        <w:t xml:space="preserve">  [Low Impact  54.7h  Finnhub]  Travel giant A&amp;K Travel Group chooses Colt for global quantum-safe network supported by Arqit</w:t>
      </w:r>
    </w:p>
    <w:p>
      <w:r>
        <w:rPr>
          <w:b/>
        </w:rPr>
        <w:t>MYSE  ·  Myseum.AI Inc</w:t>
      </w:r>
    </w:p>
    <w:p>
      <w:pPr>
        <w:spacing w:after="20"/>
      </w:pPr>
      <w:r>
        <w:rPr>
          <w:sz w:val="17"/>
        </w:rPr>
        <w:t xml:space="preserve">  [Low Impact  2.2h  Yahoo Finance]  Top Premarket Gainers</w:t>
      </w:r>
    </w:p>
    <w:p>
      <w:pPr>
        <w:spacing w:after="20"/>
      </w:pPr>
      <w:r>
        <w:rPr>
          <w:sz w:val="17"/>
        </w:rPr>
        <w:t xml:space="preserve">  [Low Impact  5.5h  Yahoo Finance]  Myseum Rebrands to Deploy AI Tech on Social Media Platforms; Shares Soar Premarket</w:t>
      </w:r>
    </w:p>
    <w:p>
      <w:pPr>
        <w:spacing w:after="20"/>
      </w:pPr>
      <w:r>
        <w:rPr>
          <w:sz w:val="17"/>
        </w:rPr>
        <w:t xml:space="preserve">  [Low Impact  17.0h  ChartMill]  Wednesday's after hours session: top gainers and losers</w:t>
      </w:r>
    </w:p>
    <w:p>
      <w:pPr>
        <w:spacing w:after="20"/>
      </w:pPr>
      <w:r>
        <w:rPr>
          <w:sz w:val="17"/>
        </w:rPr>
        <w:t xml:space="preserve">  [Low Impact  20.1h  Finnhub]  Myseum inc co will operate under new name Myseum.Ai, inc. effective April 15</w:t>
      </w:r>
    </w:p>
    <w:p>
      <w:pPr>
        <w:spacing w:after="20"/>
      </w:pPr>
      <w:r>
        <w:rPr>
          <w:sz w:val="17"/>
        </w:rPr>
        <w:t xml:space="preserve">  [Low Impact  20.9h  Benzinga]  12 Information Technology Stocks Moving In Wednesday's After-Market Session</w:t>
      </w:r>
    </w:p>
    <w:p>
      <w:pPr>
        <w:spacing w:after="20"/>
      </w:pPr>
      <w:r>
        <w:rPr>
          <w:sz w:val="17"/>
        </w:rPr>
        <w:t xml:space="preserve">  [Low Impact  21.8h  Finnhub]  Myseum Rebrands as Myseum.AI to Align with Full Suite of Technology and Social Media Platforms</w:t>
      </w:r>
    </w:p>
    <w:p>
      <w:r>
        <w:rPr>
          <w:b/>
        </w:rPr>
        <w:t>NUCL  ·  Eagle Nuclear Energy Corp</w:t>
      </w:r>
    </w:p>
    <w:p>
      <w:pPr>
        <w:spacing w:after="20"/>
      </w:pPr>
      <w:r>
        <w:rPr>
          <w:sz w:val="17"/>
        </w:rPr>
        <w:t xml:space="preserve">  [Low Impact  20.6h  Finnhub]  Eagle Nuclear Energy Provides First Quarter 2026 Corporate Update</w:t>
      </w:r>
    </w:p>
    <w:p>
      <w:r>
        <w:rPr>
          <w:b/>
        </w:rPr>
        <w:t>MAMO  ·  Massimo Group</w:t>
      </w:r>
    </w:p>
    <w:p>
      <w:pPr>
        <w:spacing w:after="20"/>
      </w:pPr>
      <w:r>
        <w:rPr>
          <w:sz w:val="17"/>
        </w:rPr>
        <w:t xml:space="preserve">  [Medium Impact  24.6h  Yahoo Finance]  MAMO Announces Strategic Partnership to Advance Intelligent Commercial Automation and AI-Enabled Vehicle Platform Strategy</w:t>
      </w:r>
    </w:p>
    <w:p>
      <w:pPr>
        <w:spacing w:after="20"/>
      </w:pPr>
      <w:r>
        <w:rPr>
          <w:sz w:val="17"/>
        </w:rPr>
        <w:t xml:space="preserve">  [Medium Impact  28.5h  Benzinga]  Massimo Enters Into Strategic Cooperation Agreement With Shenzhen AIBO Robotics To Support MAMO's Expansion Into Intelligent Commercial Automation, Robotic Service Systems And AI-Enabled Equipment Upgrades</w:t>
      </w:r>
    </w:p>
    <w:p>
      <w:pPr>
        <w:spacing w:after="20"/>
      </w:pPr>
      <w:r>
        <w:rPr>
          <w:sz w:val="17"/>
        </w:rPr>
        <w:t xml:space="preserve">  [Low Impact  2.2h  Yahoo Finance]  Top Premarket Gainers</w:t>
      </w:r>
    </w:p>
    <w:p>
      <w:pPr>
        <w:spacing w:after="20"/>
      </w:pPr>
      <w:r>
        <w:rPr>
          <w:sz w:val="17"/>
        </w:rPr>
        <w:t xml:space="preserve">  [Low Impact  17.0h  ChartMill]  Wednesday's after hours session: top gainers and losers</w:t>
      </w:r>
    </w:p>
    <w:p>
      <w:pPr>
        <w:spacing w:after="20"/>
      </w:pPr>
      <w:r>
        <w:rPr>
          <w:sz w:val="17"/>
        </w:rPr>
        <w:t xml:space="preserve">  [Low Impact  20.9h  Benzinga]  12 Consumer Discretionary Stocks Moving In Wednesday's After-Market Session</w:t>
      </w:r>
    </w:p>
    <w:p>
      <w:r>
        <w:rPr>
          <w:b/>
        </w:rPr>
        <w:t>BTQ  ·  BTQ Technologies Corp</w:t>
      </w:r>
    </w:p>
    <w:p>
      <w:pPr>
        <w:spacing w:after="20"/>
      </w:pPr>
      <w:r>
        <w:rPr>
          <w:sz w:val="17"/>
        </w:rPr>
        <w:t xml:space="preserve">  [Low Impact  2.5h  Yahoo Finance]  BTQ Technologies Advances Quantum Reliability at Scale with First General Theory of Error Correction for Permutation-Invariant Codes</w:t>
      </w:r>
    </w:p>
    <w:p>
      <w:pPr>
        <w:spacing w:after="20"/>
      </w:pPr>
      <w:r>
        <w:rPr>
          <w:sz w:val="17"/>
        </w:rPr>
        <w:t xml:space="preserve">  [Low Impact  24.3h  Benzinga]  Shares of software-related companies are trading higher as the sector rebounds from a recent selloff, with investors stepping back in after sharp declines. The uptick is supported by dip-buying and a reassessment of earlier concerns around valuations and the impact of emerging technologies like artificial intelligence.</w:t>
      </w:r>
    </w:p>
    <w:p>
      <w:pPr>
        <w:spacing w:after="20"/>
      </w:pPr>
      <w:r>
        <w:rPr>
          <w:sz w:val="17"/>
        </w:rPr>
        <w:t xml:space="preserve">  [Low Impact  46.3h  Benzinga]  Shares of companies within the broader tech sector are trading higher amid overall market strength in response to growing optimism for continued U.S.-Iran negotiations and sliding energy costs.</w:t>
      </w:r>
    </w:p>
    <w:p>
      <w:pPr>
        <w:spacing w:after="20"/>
      </w:pPr>
      <w:r>
        <w:rPr>
          <w:sz w:val="17"/>
        </w:rPr>
        <w:t xml:space="preserve">  [Low Impact  49.8h  Yahoo Finance]  BTQ Technologies, Daou Data Collaborate on Post-Quantum Security for Payment Systems</w:t>
      </w:r>
    </w:p>
    <w:p>
      <w:pPr>
        <w:spacing w:after="20"/>
      </w:pPr>
      <w:r>
        <w:rPr>
          <w:sz w:val="17"/>
        </w:rPr>
        <w:t xml:space="preserve">  [Low Impact  50.5h  Yahoo Finance]  BTQ Technologies Partners with Daou Data to Advance Hardware-Rooted Post-Quantum Security for Korea's Payment Infrastructure</w:t>
      </w:r>
    </w:p>
    <w:p>
      <w:pPr>
        <w:spacing w:after="20"/>
      </w:pPr>
      <w:r>
        <w:rPr>
          <w:sz w:val="17"/>
        </w:rPr>
        <w:t xml:space="preserve">  [Low Impact  54.4h  Benzinga]  BTQ Technologies Partners With Korean IT And Payment Infrastructure Provider Daou Data To Advance Security For Electronic Payment Systems</w:t>
      </w:r>
    </w:p>
    <w:p>
      <w:r>
        <w:rPr>
          <w:b/>
        </w:rPr>
        <w:t>XNDU  ·  Xanadu Quantum Technologies Ltd</w:t>
      </w:r>
    </w:p>
    <w:p>
      <w:pPr>
        <w:spacing w:after="20"/>
      </w:pPr>
      <w:r>
        <w:rPr>
          <w:sz w:val="17"/>
        </w:rPr>
        <w:t xml:space="preserve">  [Low Impact  20.6h  Yahoo Finance]  Top Midday Gainers</w:t>
      </w:r>
    </w:p>
    <w:p>
      <w:pPr>
        <w:spacing w:after="20"/>
      </w:pPr>
      <w:r>
        <w:rPr>
          <w:sz w:val="17"/>
        </w:rPr>
        <w:t xml:space="preserve">  [Low Impact  22.0h  Yahoo Finance]  Canadian Investment Regulatory Organization Trade Resumption - XNDU</w:t>
      </w:r>
    </w:p>
    <w:p>
      <w:pPr>
        <w:spacing w:after="20"/>
      </w:pPr>
      <w:r>
        <w:rPr>
          <w:sz w:val="17"/>
        </w:rPr>
        <w:t xml:space="preserve">  [Low Impact  22.1h  Yahoo Finance]  Canadian Investment Regulatory Organization Trading Halt - XNDU</w:t>
      </w:r>
    </w:p>
    <w:p>
      <w:pPr>
        <w:spacing w:after="20"/>
      </w:pPr>
      <w:r>
        <w:rPr>
          <w:sz w:val="17"/>
        </w:rPr>
        <w:t xml:space="preserve">  [Low Impact  22.2h  Benzinga]  Shares of quantum computing-related companies are trading higher. The industry is extending yesterday's rally in response to NVIDIA's launch of Ising open source quantum AI models.</w:t>
      </w:r>
    </w:p>
    <w:p>
      <w:pPr>
        <w:spacing w:after="20"/>
      </w:pPr>
      <w:r>
        <w:rPr>
          <w:sz w:val="17"/>
        </w:rPr>
        <w:t xml:space="preserve">  [Low Impact  24.1h  Benzinga]  Why Is Xanadu Quantum Stock Surging Wednesday?</w:t>
      </w:r>
    </w:p>
    <w:p>
      <w:pPr>
        <w:spacing w:after="20"/>
      </w:pPr>
      <w:r>
        <w:rPr>
          <w:sz w:val="17"/>
        </w:rPr>
        <w:t xml:space="preserve">  [Low Impact  24.8h  Yahoo Finance]  Quantum Computing Stocks Surge After Nvidia's Game-Changing AI Move</w:t>
      </w:r>
    </w:p>
    <w:p>
      <w:r>
        <w:rPr>
          <w:b/>
        </w:rPr>
        <w:t>EVTL  ·  Vertical Aerospace Ltd</w:t>
      </w:r>
    </w:p>
    <w:p>
      <w:pPr>
        <w:spacing w:after="20"/>
      </w:pPr>
      <w:r>
        <w:rPr>
          <w:sz w:val="17"/>
        </w:rPr>
        <w:t xml:space="preserve">  [Low Impact  2.9h  Yahoo Finance]  Vertical Aerospace Completes Two-Way Piloted Transition Flight</w:t>
      </w:r>
    </w:p>
    <w:p>
      <w:pPr>
        <w:spacing w:after="20"/>
      </w:pPr>
      <w:r>
        <w:rPr>
          <w:sz w:val="17"/>
        </w:rPr>
        <w:t xml:space="preserve">  [Low Impact  7.3h  Finnhub]  Vertical Aerospace Achieves World First Two-Way Piloted Transition Flight</w:t>
      </w:r>
    </w:p>
    <w:p>
      <w:r>
        <w:rPr>
          <w:b/>
        </w:rPr>
        <w:t>CDNA  ·  Caredx Inc</w:t>
      </w:r>
    </w:p>
    <w:p>
      <w:pPr>
        <w:spacing w:after="20"/>
      </w:pPr>
      <w:r>
        <w:rPr>
          <w:sz w:val="17"/>
        </w:rPr>
        <w:t xml:space="preserve">  [Low Impact  0.3h  Yahoo Finance]  Why Diagnostics Names CareDx And QuidelOrtho Just Diverged</w:t>
      </w:r>
    </w:p>
    <w:p>
      <w:pPr>
        <w:spacing w:after="20"/>
      </w:pPr>
      <w:r>
        <w:rPr>
          <w:sz w:val="17"/>
        </w:rPr>
        <w:t xml:space="preserve">  [Low Impact  17.0h  Yahoo Finance]  CareDx to Sell Lab Products Business for $170 Million; Shares Rise After-Hours</w:t>
      </w:r>
    </w:p>
    <w:p>
      <w:pPr>
        <w:spacing w:after="20"/>
      </w:pPr>
      <w:r>
        <w:rPr>
          <w:sz w:val="17"/>
        </w:rPr>
        <w:t xml:space="preserve">  [Low Impact  20.2h  Finnhub]  Caredx announces agreement to divest lab products business to Eurobio Scientific for $170 million and announces first quarter preliminary financial results</w:t>
      </w:r>
    </w:p>
    <w:p>
      <w:pPr>
        <w:spacing w:after="20"/>
      </w:pPr>
      <w:r>
        <w:rPr>
          <w:sz w:val="17"/>
        </w:rPr>
        <w:t xml:space="preserve">  [Low Impact  20.9h  Benzinga]  12 Health Care Stocks Moving In Wednesday's After-Market Session</w:t>
      </w:r>
    </w:p>
    <w:p>
      <w:pPr>
        <w:spacing w:after="20"/>
      </w:pPr>
      <w:r>
        <w:rPr>
          <w:sz w:val="17"/>
        </w:rPr>
        <w:t xml:space="preserve">  [Low Impact  30.9h  Yahoo Finance]  How The CareDx (CDNA) Investment Story Is Shifting With New Targets And Policy Risks</w:t>
      </w:r>
    </w:p>
    <w:p>
      <w:pPr>
        <w:spacing w:after="20"/>
      </w:pPr>
      <w:r>
        <w:rPr>
          <w:sz w:val="17"/>
        </w:rPr>
        <w:t xml:space="preserve">  [Low Impact  46.0h  Finnhub]  CareDx to Report First Quarter 2026 Financial Results on April 28, 2026</w:t>
      </w:r>
    </w:p>
    <w:p>
      <w:r>
        <w:rPr>
          <w:b/>
        </w:rPr>
        <w:t>MRLN  ·  Merlin Inc</w:t>
      </w:r>
    </w:p>
    <w:p>
      <w:pPr>
        <w:spacing w:after="20"/>
      </w:pPr>
      <w:r>
        <w:rPr>
          <w:sz w:val="17"/>
        </w:rPr>
        <w:t xml:space="preserve">  [Low Impact  24.9h  Benzinga]  12 Industrials Stocks Moving In Wednesday's Intraday Session</w:t>
      </w:r>
    </w:p>
    <w:p>
      <w:pPr>
        <w:spacing w:after="20"/>
      </w:pPr>
      <w:r>
        <w:rPr>
          <w:sz w:val="17"/>
        </w:rPr>
        <w:t xml:space="preserve">  [Low Impact  27.9h  Benzinga]  Snap, D-Wave Quantum, Robinhood And Other Big Stocks Moving Higher On Wednesday</w:t>
      </w:r>
    </w:p>
    <w:p>
      <w:pPr>
        <w:spacing w:after="20"/>
      </w:pPr>
      <w:r>
        <w:rPr>
          <w:sz w:val="17"/>
        </w:rPr>
        <w:t xml:space="preserve">  [Low Impact  70.1h  Benzinga]  Shares of aerospace and defense companies are trading higher, possibly due to rising demand related to the Middle East conflict and the Artemis II space mission. Several companies within the industry recently received new government contracts.</w:t>
      </w:r>
    </w:p>
    <w:p>
      <w:r>
        <w:rPr>
          <w:b/>
        </w:rPr>
        <w:t>RECT  ·  Rectitude Holdings Ltd</w:t>
      </w:r>
    </w:p>
    <w:p>
      <w:pPr>
        <w:spacing w:after="20"/>
      </w:pPr>
      <w:r>
        <w:rPr>
          <w:sz w:val="17"/>
        </w:rPr>
        <w:t xml:space="preserve">  [Low Impact  20.9h  Benzinga]  12 Industrials Stocks Moving In Wednesday's After-Market Session</w:t>
      </w:r>
    </w:p>
    <w:p>
      <w:pPr>
        <w:spacing w:after="20"/>
      </w:pPr>
      <w:r>
        <w:rPr>
          <w:sz w:val="17"/>
        </w:rPr>
        <w:t xml:space="preserve">  [Low Impact  21.5h  ChartMill]  Here are the top movers in Wednesday's session.</w:t>
      </w:r>
    </w:p>
    <w:p>
      <w:pPr>
        <w:spacing w:after="20"/>
      </w:pPr>
      <w:r>
        <w:rPr>
          <w:sz w:val="17"/>
        </w:rPr>
        <w:t xml:space="preserve">  [Low Impact  23.5h  ChartMill]  Wednesday's session: gap up and gap down stocks</w:t>
      </w:r>
    </w:p>
    <w:p>
      <w:pPr>
        <w:spacing w:after="20"/>
      </w:pPr>
      <w:r>
        <w:rPr>
          <w:sz w:val="17"/>
        </w:rPr>
        <w:t xml:space="preserve">  [Low Impact  24.9h  Benzinga]  12 Industrials Stocks Moving In Wednesday's Intraday Session</w:t>
      </w:r>
    </w:p>
    <w:p>
      <w:pPr>
        <w:spacing w:after="20"/>
      </w:pPr>
      <w:r>
        <w:rPr>
          <w:sz w:val="17"/>
        </w:rPr>
        <w:t xml:space="preserve">  [Low Impact  48.9h  Benzinga]  12 Industrials Stocks Moving In Tuesday's Intraday Session</w:t>
      </w:r>
    </w:p>
    <w:p>
      <w:pPr>
        <w:spacing w:after="20"/>
      </w:pPr>
      <w:r>
        <w:rPr>
          <w:sz w:val="17"/>
        </w:rPr>
        <w:t xml:space="preserve">  [Low Impact  53.9h  Benzinga]  12 Industrials Stocks Moving In Tuesday's Pre-Market Session</w:t>
      </w:r>
    </w:p>
    <w:p>
      <w:r>
        <w:rPr>
          <w:b/>
        </w:rPr>
        <w:t>ACCL  ·  Acco Group Holdings Ltd</w:t>
      </w:r>
    </w:p>
    <w:p>
      <w:pPr>
        <w:spacing w:after="20"/>
      </w:pPr>
      <w:r>
        <w:rPr>
          <w:sz w:val="17"/>
        </w:rPr>
        <w:t xml:space="preserve">  [Low Impact  17.7h  Finnhub]  11,012,500 Ordinary Shares of Acco Group Holdings Limited are subject to a Lock-Up Agreement Ending on 16-APR-2026.</w:t>
      </w:r>
    </w:p>
    <w:p>
      <w:pPr>
        <w:spacing w:after="20"/>
      </w:pPr>
      <w:r>
        <w:rPr>
          <w:sz w:val="17"/>
        </w:rPr>
        <w:t xml:space="preserve">  [Low Impact  20.9h  Benzinga]  12 Industrials Stocks Moving In Wednesday's After-Market Session</w:t>
      </w:r>
    </w:p>
    <w:p>
      <w:r>
        <w:rPr>
          <w:b/>
        </w:rPr>
        <w:t>ANL  ·  Adlai Nortye Ltd. ADR</w:t>
      </w:r>
    </w:p>
    <w:p>
      <w:pPr>
        <w:spacing w:after="20"/>
      </w:pPr>
      <w:r>
        <w:rPr>
          <w:sz w:val="17"/>
        </w:rPr>
        <w:t xml:space="preserve">  [Low Impact  1.5h  ChartMill]  What's going on in today's pre-market session</w:t>
      </w:r>
    </w:p>
    <w:p>
      <w:pPr>
        <w:spacing w:after="20"/>
      </w:pPr>
      <w:r>
        <w:rPr>
          <w:sz w:val="17"/>
        </w:rPr>
        <w:t xml:space="preserve">  [Low Impact  7.0h  Finnhub]  Adlai Nortye Announces $150.0 Million Private Placement Equity Financing</w:t>
      </w:r>
    </w:p>
    <w:p>
      <w:pPr>
        <w:spacing w:after="20"/>
      </w:pPr>
      <w:r>
        <w:rPr>
          <w:sz w:val="17"/>
        </w:rPr>
        <w:t xml:space="preserve">  [Low Impact  23.5h  ChartMill]  Wednesday's session: gap up and gap down stocks</w:t>
      </w:r>
    </w:p>
    <w:p>
      <w:pPr>
        <w:spacing w:after="20"/>
      </w:pPr>
      <w:r>
        <w:rPr>
          <w:sz w:val="17"/>
        </w:rPr>
        <w:t xml:space="preserve">  [Low Impact  30.0h  Benzinga]  TeraWulf, BRP And Other Big Stocks Moving Lower In Wednesday's Pre-Market Session</w:t>
      </w:r>
    </w:p>
    <w:p>
      <w:r>
        <w:rPr>
          <w:b/>
        </w:rPr>
        <w:t>VANI  ·  Vivani Medical Inc</w:t>
      </w:r>
    </w:p>
    <w:p>
      <w:pPr>
        <w:spacing w:after="20"/>
      </w:pPr>
      <w:r>
        <w:rPr>
          <w:sz w:val="17"/>
        </w:rPr>
        <w:t xml:space="preserve">  [Low Impact  3.4h  Yahoo Finance]  Vivani Medical Insider Bought Shares Worth $1,999,999, According to a Recent SEC Filing</w:t>
      </w:r>
    </w:p>
    <w:p>
      <w:r>
        <w:rPr>
          <w:b/>
        </w:rPr>
        <w:t>WSHP  ·  WeShop Holdings Ltd</w:t>
      </w:r>
    </w:p>
    <w:p>
      <w:pPr>
        <w:spacing w:after="20"/>
      </w:pPr>
      <w:r>
        <w:rPr>
          <w:sz w:val="17"/>
        </w:rPr>
        <w:t xml:space="preserve">  [Low Impact  13.1h  SeekingAlpha]  WeShop: Will Need Capital Market Support While Weathering Tough Competition</w:t>
      </w:r>
    </w:p>
    <w:p>
      <w:pPr>
        <w:spacing w:after="20"/>
      </w:pPr>
      <w:r>
        <w:rPr>
          <w:sz w:val="17"/>
        </w:rPr>
        <w:t xml:space="preserve">  [Low Impact  45.5h  Finnhub]  WeShop Schedules Fourth Quarter and Full Year 2025 Earnings Conference Call and Webcast</w:t>
      </w:r>
    </w:p>
    <w:p>
      <w:bookmarkStart w:id="7" w:name="tos_export"/>
      <w:pPr>
        <w:pStyle w:val="Heading2"/>
      </w:pPr>
      <w:r>
        <w:t>ThinkorSwim Export</w:t>
      </w:r>
      <w:bookmarkEnd w:id="7"/>
    </w:p>
    <w:p>
      <w:r>
        <w:t>GO-tier symbols:  —</w:t>
      </w:r>
    </w:p>
    <w:p>
      <w:r>
        <w:t>Import: Charts → Watchlists → Import Watchlist → select .tst file</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